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11.png" ContentType="image/png"/>
  <Override PartName="/word/media/image1.jpeg" ContentType="image/jpeg"/>
  <Override PartName="/word/media/image6.png" ContentType="image/png"/>
  <Override PartName="/word/media/image2.png" ContentType="image/png"/>
  <Override PartName="/word/media/image3.png" ContentType="image/png"/>
  <Override PartName="/word/media/image4.png" ContentType="image/png"/>
  <Override PartName="/word/media/image5.png" ContentType="image/png"/>
  <Override PartName="/word/media/image7.png" ContentType="image/png"/>
  <Override PartName="/word/media/image8.png" ContentType="image/png"/>
  <Override PartName="/word/media/image10.png" ContentType="image/png"/>
  <Override PartName="/word/media/image9.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rFonts w:ascii="Times New Roman" w:hAnsi="Times New Roman" w:cs="Times New Roman"/>
          <w:b/>
          <w:b/>
          <w:bCs/>
          <w:sz w:val="28"/>
          <w:szCs w:val="20"/>
          <w:lang w:val="en-GB"/>
        </w:rPr>
      </w:pPr>
      <w:r>
        <w:rPr>
          <w:rFonts w:cs="Times New Roman" w:ascii="Times New Roman" w:hAnsi="Times New Roman"/>
          <w:b/>
          <w:bCs/>
          <w:sz w:val="28"/>
          <w:szCs w:val="20"/>
          <w:lang w:val="en-GB"/>
        </w:rPr>
        <w:t xml:space="preserve">Enhancing productivity by means of high feed in the drilling of </w:t>
      </w:r>
      <w:bookmarkStart w:id="0" w:name="_Hlk496551293"/>
      <w:bookmarkStart w:id="1" w:name="_Hlk3370163"/>
      <w:bookmarkEnd w:id="0"/>
      <w:bookmarkEnd w:id="1"/>
      <w:r>
        <w:rPr>
          <w:rFonts w:cs="Times New Roman" w:ascii="Times New Roman" w:hAnsi="Times New Roman"/>
          <w:b/>
          <w:bCs/>
          <w:sz w:val="28"/>
          <w:szCs w:val="20"/>
          <w:lang w:val="en-GB"/>
        </w:rPr>
        <w:t>Al 2011 aluminium alloy</w:t>
      </w:r>
    </w:p>
    <w:p>
      <w:pPr>
        <w:pStyle w:val="Normal"/>
        <w:spacing w:lineRule="auto" w:line="360"/>
        <w:jc w:val="center"/>
        <w:rPr>
          <w:rFonts w:ascii="Times New Roman" w:hAnsi="Times New Roman" w:cs="Times New Roman"/>
          <w:b/>
          <w:b/>
          <w:bCs/>
          <w:sz w:val="24"/>
          <w:szCs w:val="20"/>
          <w:lang w:val="pt-BR"/>
        </w:rPr>
      </w:pPr>
      <w:r>
        <w:rPr>
          <w:rFonts w:cs="Times New Roman" w:ascii="Times New Roman" w:hAnsi="Times New Roman"/>
          <w:b/>
          <w:bCs/>
          <w:sz w:val="24"/>
          <w:szCs w:val="20"/>
          <w:lang w:val="pt-BR"/>
        </w:rPr>
        <w:t>R. E. R. Pacheco</w:t>
      </w:r>
      <w:r>
        <w:rPr>
          <w:rFonts w:cs="Times New Roman" w:ascii="Times New Roman" w:hAnsi="Times New Roman"/>
          <w:b/>
          <w:bCs/>
          <w:sz w:val="24"/>
          <w:szCs w:val="20"/>
          <w:vertAlign w:val="superscript"/>
          <w:lang w:val="pt-BR"/>
        </w:rPr>
        <w:t>1,a</w:t>
      </w:r>
      <w:r>
        <w:rPr>
          <w:rFonts w:cs="Times New Roman" w:ascii="Times New Roman" w:hAnsi="Times New Roman"/>
          <w:b/>
          <w:bCs/>
          <w:sz w:val="24"/>
          <w:szCs w:val="20"/>
          <w:lang w:val="pt-BR"/>
        </w:rPr>
        <w:t>, C. H. Lauro</w:t>
      </w:r>
      <w:r>
        <w:rPr>
          <w:rFonts w:cs="Times New Roman" w:ascii="Times New Roman" w:hAnsi="Times New Roman"/>
          <w:b/>
          <w:bCs/>
          <w:sz w:val="24"/>
          <w:szCs w:val="20"/>
          <w:vertAlign w:val="superscript"/>
          <w:lang w:val="pt-BR"/>
        </w:rPr>
        <w:t>1,2,b,#</w:t>
      </w:r>
      <w:r>
        <w:rPr>
          <w:rFonts w:cs="Times New Roman" w:ascii="Times New Roman" w:hAnsi="Times New Roman"/>
          <w:b/>
          <w:bCs/>
          <w:sz w:val="24"/>
          <w:szCs w:val="20"/>
          <w:lang w:val="pt-BR"/>
        </w:rPr>
        <w:t>, R.B.D. Pereira</w:t>
      </w:r>
      <w:r>
        <w:rPr>
          <w:rFonts w:cs="Times New Roman" w:ascii="Times New Roman" w:hAnsi="Times New Roman"/>
          <w:b/>
          <w:bCs/>
          <w:sz w:val="24"/>
          <w:szCs w:val="20"/>
          <w:vertAlign w:val="superscript"/>
          <w:lang w:val="pt-BR"/>
        </w:rPr>
        <w:t>1,2,c</w:t>
      </w:r>
      <w:r>
        <w:rPr>
          <w:rFonts w:cs="Times New Roman" w:ascii="Times New Roman" w:hAnsi="Times New Roman"/>
          <w:b/>
          <w:bCs/>
          <w:sz w:val="24"/>
          <w:szCs w:val="20"/>
          <w:lang w:val="pt-BR"/>
        </w:rPr>
        <w:t>, D. Carou</w:t>
      </w:r>
      <w:r>
        <w:rPr>
          <w:rFonts w:cs="Times New Roman" w:ascii="Times New Roman" w:hAnsi="Times New Roman"/>
          <w:b/>
          <w:bCs/>
          <w:sz w:val="24"/>
          <w:szCs w:val="20"/>
          <w:vertAlign w:val="superscript"/>
          <w:lang w:val="pt-BR"/>
        </w:rPr>
        <w:t>3,d</w:t>
      </w:r>
      <w:r>
        <w:rPr>
          <w:rFonts w:cs="Times New Roman" w:ascii="Times New Roman" w:hAnsi="Times New Roman"/>
          <w:b/>
          <w:bCs/>
          <w:sz w:val="24"/>
          <w:szCs w:val="20"/>
          <w:lang w:val="pt-BR"/>
        </w:rPr>
        <w:t>, J. P. Davim</w:t>
      </w:r>
      <w:r>
        <w:rPr>
          <w:rFonts w:cs="Times New Roman" w:ascii="Times New Roman" w:hAnsi="Times New Roman"/>
          <w:b/>
          <w:bCs/>
          <w:sz w:val="24"/>
          <w:szCs w:val="20"/>
          <w:vertAlign w:val="superscript"/>
          <w:lang w:val="pt-BR"/>
        </w:rPr>
        <w:t>1,e</w:t>
      </w:r>
    </w:p>
    <w:p>
      <w:pPr>
        <w:pStyle w:val="Normal"/>
        <w:spacing w:lineRule="auto" w:line="360"/>
        <w:jc w:val="center"/>
        <w:rPr>
          <w:rFonts w:ascii="Times New Roman" w:hAnsi="Times New Roman" w:cs="Times New Roman"/>
          <w:bCs/>
          <w:sz w:val="20"/>
          <w:szCs w:val="20"/>
          <w:lang w:val="en-GB"/>
        </w:rPr>
      </w:pPr>
      <w:r>
        <w:rPr>
          <w:rFonts w:cs="Times New Roman" w:ascii="Times New Roman" w:hAnsi="Times New Roman"/>
          <w:bCs/>
          <w:sz w:val="20"/>
          <w:szCs w:val="20"/>
          <w:vertAlign w:val="superscript"/>
          <w:lang w:val="en-GB"/>
        </w:rPr>
        <w:t>1</w:t>
      </w:r>
      <w:r>
        <w:rPr>
          <w:rFonts w:cs="Times New Roman" w:ascii="Times New Roman" w:hAnsi="Times New Roman"/>
          <w:bCs/>
          <w:sz w:val="20"/>
          <w:szCs w:val="20"/>
          <w:lang w:val="en-GB"/>
        </w:rPr>
        <w:t xml:space="preserve"> Dept. of Mechanical Engineering, University of Aveiro, Campus Santiago, 3810-193 Aveiro, Portugal.</w:t>
      </w:r>
    </w:p>
    <w:p>
      <w:pPr>
        <w:pStyle w:val="Normal"/>
        <w:spacing w:lineRule="auto" w:line="360"/>
        <w:jc w:val="center"/>
        <w:rPr>
          <w:rFonts w:ascii="Times New Roman" w:hAnsi="Times New Roman" w:cs="Times New Roman"/>
          <w:bCs/>
          <w:sz w:val="20"/>
          <w:szCs w:val="20"/>
          <w:lang w:val="en-GB"/>
        </w:rPr>
      </w:pPr>
      <w:r>
        <w:rPr>
          <w:rFonts w:cs="Times New Roman" w:ascii="Times New Roman" w:hAnsi="Times New Roman"/>
          <w:bCs/>
          <w:sz w:val="20"/>
          <w:szCs w:val="20"/>
          <w:vertAlign w:val="superscript"/>
          <w:lang w:val="en-GB"/>
        </w:rPr>
        <w:t>2</w:t>
      </w:r>
      <w:r>
        <w:rPr>
          <w:rFonts w:cs="Times New Roman" w:ascii="Times New Roman" w:hAnsi="Times New Roman"/>
          <w:bCs/>
          <w:sz w:val="20"/>
          <w:szCs w:val="20"/>
          <w:lang w:val="en-GB"/>
        </w:rPr>
        <w:t xml:space="preserve"> Department of Mechanical Engineering, Centre for Innovation in Sustainable Manufacturing, Federal University of São João del Rei, Praça Frei Orlando 170, 36307-352 São João del Rei, Brazil.</w:t>
      </w:r>
    </w:p>
    <w:p>
      <w:pPr>
        <w:pStyle w:val="Normal"/>
        <w:spacing w:lineRule="auto" w:line="360"/>
        <w:jc w:val="center"/>
        <w:rPr>
          <w:rFonts w:ascii="Times New Roman" w:hAnsi="Times New Roman" w:cs="Times New Roman"/>
          <w:bCs/>
          <w:sz w:val="20"/>
          <w:szCs w:val="20"/>
          <w:lang w:val="en-GB"/>
        </w:rPr>
      </w:pPr>
      <w:r>
        <w:rPr>
          <w:rFonts w:cs="Times New Roman" w:ascii="Times New Roman" w:hAnsi="Times New Roman"/>
          <w:bCs/>
          <w:sz w:val="20"/>
          <w:szCs w:val="20"/>
          <w:vertAlign w:val="superscript"/>
          <w:lang w:val="en-GB"/>
        </w:rPr>
        <w:t>3</w:t>
      </w:r>
      <w:r>
        <w:rPr>
          <w:rFonts w:cs="Times New Roman" w:ascii="Times New Roman" w:hAnsi="Times New Roman"/>
          <w:bCs/>
          <w:sz w:val="20"/>
          <w:szCs w:val="20"/>
          <w:lang w:val="en-GB"/>
        </w:rPr>
        <w:t xml:space="preserve"> Department of Mechanical and Mining Engineering, University of Jaén, Campus de las Lagunillas sn, 23071, Jaén, Spain.</w:t>
      </w:r>
    </w:p>
    <w:p>
      <w:pPr>
        <w:pStyle w:val="Normal"/>
        <w:spacing w:lineRule="auto" w:line="360"/>
        <w:jc w:val="center"/>
        <w:rPr>
          <w:rFonts w:ascii="Times New Roman" w:hAnsi="Times New Roman" w:cs="Times New Roman"/>
          <w:bCs/>
          <w:sz w:val="20"/>
          <w:szCs w:val="20"/>
          <w:lang w:val="pt-BR"/>
        </w:rPr>
      </w:pPr>
      <w:r>
        <w:rPr>
          <w:rFonts w:cs="Times New Roman" w:ascii="Times New Roman" w:hAnsi="Times New Roman"/>
          <w:bCs/>
          <w:sz w:val="20"/>
          <w:szCs w:val="20"/>
          <w:vertAlign w:val="superscript"/>
          <w:lang w:val="pt-BR"/>
        </w:rPr>
        <w:t>a</w:t>
      </w:r>
      <w:r>
        <w:rPr>
          <w:rFonts w:cs="Times New Roman" w:ascii="Times New Roman" w:hAnsi="Times New Roman"/>
          <w:bCs/>
          <w:sz w:val="20"/>
          <w:szCs w:val="20"/>
          <w:lang w:val="pt-BR"/>
        </w:rPr>
        <w:t xml:space="preserve"> ruipacheco@ua.pt; </w:t>
      </w:r>
      <w:r>
        <w:rPr>
          <w:rFonts w:cs="Times New Roman" w:ascii="Times New Roman" w:hAnsi="Times New Roman"/>
          <w:bCs/>
          <w:sz w:val="20"/>
          <w:szCs w:val="20"/>
          <w:vertAlign w:val="superscript"/>
          <w:lang w:val="pt-BR"/>
        </w:rPr>
        <w:t>b</w:t>
      </w:r>
      <w:r>
        <w:rPr>
          <w:rFonts w:cs="Times New Roman" w:ascii="Times New Roman" w:hAnsi="Times New Roman"/>
          <w:bCs/>
          <w:sz w:val="20"/>
          <w:szCs w:val="20"/>
          <w:lang w:val="pt-BR"/>
        </w:rPr>
        <w:t xml:space="preserve"> carlos.lauro@ua.pt; </w:t>
      </w:r>
      <w:r>
        <w:rPr>
          <w:rFonts w:cs="Times New Roman" w:ascii="Times New Roman" w:hAnsi="Times New Roman"/>
          <w:bCs/>
          <w:sz w:val="20"/>
          <w:szCs w:val="20"/>
          <w:vertAlign w:val="superscript"/>
          <w:lang w:val="pt-BR"/>
        </w:rPr>
        <w:t>c</w:t>
      </w:r>
      <w:r>
        <w:rPr>
          <w:rFonts w:cs="Times New Roman" w:ascii="Times New Roman" w:hAnsi="Times New Roman"/>
          <w:bCs/>
          <w:sz w:val="20"/>
          <w:szCs w:val="20"/>
          <w:lang w:val="pt-BR"/>
        </w:rPr>
        <w:t xml:space="preserve"> robsondutra@ufsj.edu.br; </w:t>
      </w:r>
      <w:r>
        <w:rPr>
          <w:rFonts w:cs="Times New Roman" w:ascii="Times New Roman" w:hAnsi="Times New Roman"/>
          <w:bCs/>
          <w:sz w:val="20"/>
          <w:szCs w:val="20"/>
          <w:vertAlign w:val="superscript"/>
          <w:lang w:val="pt-BR"/>
        </w:rPr>
        <w:t>d</w:t>
      </w:r>
      <w:r>
        <w:rPr>
          <w:rFonts w:cs="Times New Roman" w:ascii="Times New Roman" w:hAnsi="Times New Roman"/>
          <w:bCs/>
          <w:sz w:val="20"/>
          <w:szCs w:val="20"/>
          <w:lang w:val="pt-BR"/>
        </w:rPr>
        <w:t xml:space="preserve"> dcarou@ujaen.es, </w:t>
      </w:r>
      <w:r>
        <w:rPr>
          <w:rFonts w:cs="Times New Roman" w:ascii="Times New Roman" w:hAnsi="Times New Roman"/>
          <w:bCs/>
          <w:sz w:val="20"/>
          <w:szCs w:val="20"/>
          <w:vertAlign w:val="superscript"/>
          <w:lang w:val="pt-BR"/>
        </w:rPr>
        <w:t>e</w:t>
      </w:r>
      <w:bookmarkStart w:id="2" w:name="_Hlk496117794"/>
      <w:bookmarkEnd w:id="2"/>
      <w:r>
        <w:rPr>
          <w:rFonts w:cs="Times New Roman" w:ascii="Times New Roman" w:hAnsi="Times New Roman"/>
          <w:bCs/>
          <w:sz w:val="20"/>
          <w:szCs w:val="20"/>
          <w:lang w:val="pt-BR"/>
        </w:rPr>
        <w:t xml:space="preserve"> pdavim@ua.pt</w:t>
      </w:r>
    </w:p>
    <w:p>
      <w:pPr>
        <w:pStyle w:val="Normal"/>
        <w:spacing w:lineRule="auto" w:line="360"/>
        <w:jc w:val="center"/>
        <w:rPr>
          <w:rFonts w:ascii="Times New Roman" w:hAnsi="Times New Roman" w:cs="Times New Roman"/>
          <w:bCs/>
          <w:sz w:val="20"/>
          <w:szCs w:val="20"/>
          <w:lang w:val="en-GB"/>
        </w:rPr>
      </w:pPr>
      <w:r>
        <w:rPr>
          <w:rFonts w:cs="Times New Roman" w:ascii="Times New Roman" w:hAnsi="Times New Roman"/>
          <w:bCs/>
          <w:sz w:val="20"/>
          <w:szCs w:val="20"/>
          <w:vertAlign w:val="superscript"/>
          <w:lang w:val="en-GB"/>
        </w:rPr>
        <w:t>#</w:t>
      </w:r>
      <w:r>
        <w:rPr>
          <w:rFonts w:cs="Times New Roman" w:ascii="Times New Roman" w:hAnsi="Times New Roman"/>
          <w:bCs/>
          <w:sz w:val="20"/>
          <w:szCs w:val="20"/>
          <w:lang w:val="en-GB"/>
        </w:rPr>
        <w:t>Corresponding author</w:t>
      </w:r>
    </w:p>
    <w:p>
      <w:pPr>
        <w:pStyle w:val="Normal"/>
        <w:spacing w:lineRule="auto" w:line="360"/>
        <w:jc w:val="both"/>
        <w:rPr>
          <w:rFonts w:ascii="Times New Roman" w:hAnsi="Times New Roman" w:cs="Times New Roman"/>
          <w:sz w:val="20"/>
          <w:szCs w:val="20"/>
          <w:lang w:val="en-GB"/>
        </w:rPr>
      </w:pPr>
      <w:r>
        <w:rPr>
          <w:rFonts w:cs="Times New Roman" w:ascii="Times New Roman" w:hAnsi="Times New Roman"/>
          <w:b/>
          <w:sz w:val="20"/>
          <w:szCs w:val="20"/>
          <w:lang w:val="en-GB"/>
        </w:rPr>
        <w:t xml:space="preserve">Abstract: </w:t>
      </w:r>
      <w:r>
        <w:rPr>
          <w:rFonts w:cs="Times New Roman" w:ascii="Times New Roman" w:hAnsi="Times New Roman"/>
          <w:sz w:val="20"/>
          <w:szCs w:val="20"/>
          <w:lang w:val="en-GB"/>
        </w:rPr>
        <w:t>Drilling is one of the most popular machining operations for industry. It is employed for manufacturing a large number of materials (e.g., steel, aluminium and composite) and sectors (e.g., aeronautic, automotive and medical). Nowadays, increasing productivity and reducing costs, without compromising of the quality of the products, are two of the main objectives for most manufacturing companies. In machining, the increase of the feed rate can cause the reduction of the cutting time and, thus, increase productivity. Based on that, the present work analyses the use of high feed rates in the drilling of Al 2011 aluminium alloy. For that purpose, the diameter and surface roughness obtained with the tool feed rate recommended by the manufacturer (conventional feed) and high feed, in both dry and wet conditions, were compared. In general, the use of high feed improves surface roughness, mainly in wet condition. When comparing the optimal condition for both conventional and high feed processes, the diameter of the hole did not present significant variation. However, the surface roughness was lower with high feed, between 26.7% and 81.6%, diminishing cutting time by 84.3%.</w:t>
      </w:r>
    </w:p>
    <w:p>
      <w:pPr>
        <w:pStyle w:val="Normal"/>
        <w:spacing w:lineRule="auto" w:line="240" w:before="0" w:after="0"/>
        <w:rPr>
          <w:rFonts w:ascii="Times New Roman" w:hAnsi="Times New Roman" w:cs="Times New Roman"/>
          <w:sz w:val="20"/>
          <w:szCs w:val="20"/>
          <w:lang w:val="en-GB"/>
        </w:rPr>
      </w:pPr>
      <w:r>
        <w:rPr>
          <w:rFonts w:cs="Times New Roman" w:ascii="Times New Roman" w:hAnsi="Times New Roman"/>
          <w:b/>
          <w:sz w:val="20"/>
          <w:szCs w:val="20"/>
          <w:lang w:val="en-GB"/>
        </w:rPr>
        <w:t>Keywords</w:t>
      </w:r>
      <w:r>
        <w:rPr>
          <w:rFonts w:cs="Times New Roman" w:ascii="Times New Roman" w:hAnsi="Times New Roman"/>
          <w:sz w:val="20"/>
          <w:szCs w:val="20"/>
          <w:lang w:val="en-GB"/>
        </w:rPr>
        <w:t>: Drilling; High feed; Productivity; Aluminium alloy; Surface roughness</w:t>
      </w:r>
    </w:p>
    <w:p>
      <w:pPr>
        <w:pStyle w:val="Normal"/>
        <w:spacing w:lineRule="auto" w:line="240" w:before="0" w:after="0"/>
        <w:rPr>
          <w:rFonts w:ascii="Times New Roman" w:hAnsi="Times New Roman" w:cs="Times New Roman"/>
          <w:sz w:val="20"/>
          <w:szCs w:val="20"/>
          <w:lang w:val="en-GB"/>
        </w:rPr>
      </w:pPr>
      <w:r>
        <w:rPr>
          <w:rFonts w:cs="Times New Roman" w:ascii="Times New Roman" w:hAnsi="Times New Roman"/>
          <w:sz w:val="20"/>
          <w:szCs w:val="20"/>
          <w:lang w:val="en-GB"/>
        </w:rPr>
      </w:r>
    </w:p>
    <w:p>
      <w:pPr>
        <w:pStyle w:val="Normal"/>
        <w:spacing w:lineRule="auto" w:line="240" w:before="0" w:after="0"/>
        <w:rPr>
          <w:rFonts w:ascii="Times New Roman" w:hAnsi="Times New Roman" w:cs="Times New Roman"/>
          <w:b/>
          <w:b/>
          <w:sz w:val="20"/>
          <w:szCs w:val="20"/>
          <w:lang w:val="en-GB"/>
        </w:rPr>
      </w:pPr>
      <w:r>
        <w:rPr>
          <w:rFonts w:cs="Times New Roman" w:ascii="Times New Roman" w:hAnsi="Times New Roman"/>
          <w:b/>
          <w:sz w:val="20"/>
          <w:szCs w:val="20"/>
          <w:lang w:val="en-GB"/>
        </w:rPr>
        <w:t>Nomenclature</w:t>
      </w:r>
    </w:p>
    <w:p>
      <w:pPr>
        <w:sectPr>
          <w:footerReference w:type="default" r:id="rId2"/>
          <w:type w:val="nextPage"/>
          <w:pgSz w:w="12240" w:h="15840"/>
          <w:pgMar w:left="1417" w:right="1417" w:header="0" w:top="1417" w:footer="709" w:bottom="1417" w:gutter="0"/>
          <w:pgNumType w:fmt="decimal"/>
          <w:formProt w:val="false"/>
          <w:textDirection w:val="lrTb"/>
        </w:sectPr>
      </w:pPr>
    </w:p>
    <w:p>
      <w:pPr>
        <w:pStyle w:val="Normal"/>
        <w:spacing w:lineRule="auto" w:line="240" w:before="0" w:after="0"/>
        <w:rPr>
          <w:rFonts w:ascii="Times New Roman" w:hAnsi="Times New Roman" w:cs="Times New Roman"/>
          <w:sz w:val="20"/>
          <w:lang w:val="en-GB"/>
        </w:rPr>
      </w:pPr>
      <w:r>
        <w:rPr>
          <w:rFonts w:cs="Times New Roman" w:ascii="Times New Roman" w:hAnsi="Times New Roman"/>
          <w:sz w:val="20"/>
          <w:lang w:val="en-GB"/>
        </w:rPr>
      </w:r>
    </w:p>
    <w:p>
      <w:pPr>
        <w:sectPr>
          <w:type w:val="continuous"/>
          <w:pgSz w:w="12240" w:h="15840"/>
          <w:pgMar w:left="1417" w:right="1417" w:header="0" w:top="1417" w:footer="709" w:bottom="1417" w:gutter="0"/>
          <w:cols w:num="2" w:space="708" w:equalWidth="true" w:sep="false"/>
          <w:formProt w:val="false"/>
          <w:textDirection w:val="lrTb"/>
          <w:docGrid w:type="default" w:linePitch="312" w:charSpace="4294965247"/>
        </w:sectPr>
      </w:pPr>
    </w:p>
    <w:p>
      <w:pPr>
        <w:pStyle w:val="Articletext1"/>
        <w:ind w:hanging="0"/>
        <w:rPr>
          <w:sz w:val="20"/>
        </w:rPr>
      </w:pPr>
      <w:r>
        <w:rPr>
          <w:i/>
          <w:sz w:val="20"/>
        </w:rPr>
        <w:t>f</w:t>
      </w:r>
      <w:r>
        <w:rPr>
          <w:sz w:val="20"/>
        </w:rPr>
        <w:t xml:space="preserve"> </w:t>
        <w:tab/>
        <w:t>feed rate (m/min)</w:t>
      </w:r>
    </w:p>
    <w:p>
      <w:pPr>
        <w:pStyle w:val="Articletext1"/>
        <w:ind w:hanging="0"/>
        <w:rPr>
          <w:sz w:val="20"/>
        </w:rPr>
      </w:pPr>
      <w:r>
        <w:rPr>
          <w:i/>
          <w:sz w:val="20"/>
        </w:rPr>
        <w:t>R</w:t>
      </w:r>
      <w:r>
        <w:rPr>
          <w:i/>
          <w:sz w:val="20"/>
          <w:vertAlign w:val="subscript"/>
        </w:rPr>
        <w:t>a</w:t>
      </w:r>
      <w:r>
        <w:rPr>
          <w:sz w:val="20"/>
        </w:rPr>
        <w:tab/>
        <w:t>Arithmetic average roughness (μm)</w:t>
      </w:r>
    </w:p>
    <w:p>
      <w:pPr>
        <w:pStyle w:val="Articletext1"/>
        <w:ind w:hanging="0"/>
        <w:rPr>
          <w:sz w:val="20"/>
        </w:rPr>
      </w:pPr>
      <w:r>
        <w:rPr>
          <w:i/>
          <w:sz w:val="20"/>
        </w:rPr>
        <w:t>R</w:t>
      </w:r>
      <w:r>
        <w:rPr>
          <w:i/>
          <w:sz w:val="20"/>
          <w:vertAlign w:val="subscript"/>
        </w:rPr>
        <w:t>t</w:t>
      </w:r>
      <w:r>
        <w:rPr>
          <w:sz w:val="20"/>
        </w:rPr>
        <w:tab/>
        <w:t>Maximum roughness height (μm)</w:t>
      </w:r>
    </w:p>
    <w:p>
      <w:pPr>
        <w:pStyle w:val="Articletext1"/>
        <w:ind w:hanging="0"/>
        <w:rPr>
          <w:sz w:val="20"/>
        </w:rPr>
      </w:pPr>
      <w:r>
        <w:rPr>
          <w:i/>
          <w:sz w:val="20"/>
        </w:rPr>
        <w:t>R</w:t>
      </w:r>
      <w:r>
        <w:rPr>
          <w:i/>
          <w:sz w:val="20"/>
          <w:vertAlign w:val="subscript"/>
        </w:rPr>
        <w:t>z</w:t>
      </w:r>
      <w:r>
        <w:rPr>
          <w:sz w:val="20"/>
        </w:rPr>
        <w:tab/>
        <w:t>Mean roughness depth (μm)</w:t>
      </w:r>
    </w:p>
    <w:p>
      <w:pPr>
        <w:pStyle w:val="Articletext1"/>
        <w:ind w:hanging="0"/>
        <w:rPr>
          <w:sz w:val="20"/>
        </w:rPr>
      </w:pPr>
      <w:r>
        <w:rPr>
          <w:sz w:val="20"/>
        </w:rPr>
        <w:t>S/N</w:t>
        <w:tab/>
        <w:t>Signal to noise ratio</w:t>
      </w:r>
    </w:p>
    <w:p>
      <w:pPr>
        <w:pStyle w:val="Articletext1"/>
        <w:ind w:hanging="0"/>
        <w:rPr>
          <w:sz w:val="20"/>
        </w:rPr>
      </w:pPr>
      <w:r>
        <w:rPr>
          <w:i/>
          <w:sz w:val="20"/>
        </w:rPr>
        <w:t>v</w:t>
      </w:r>
      <w:r>
        <w:rPr>
          <w:i/>
          <w:sz w:val="20"/>
          <w:vertAlign w:val="subscript"/>
        </w:rPr>
        <w:t>c</w:t>
      </w:r>
      <w:r>
        <w:rPr>
          <w:sz w:val="20"/>
        </w:rPr>
        <w:tab/>
        <w:t>Cutting speed (m/min)</w:t>
      </w:r>
    </w:p>
    <w:p>
      <w:pPr>
        <w:sectPr>
          <w:type w:val="continuous"/>
          <w:pgSz w:w="12240" w:h="15840"/>
          <w:pgMar w:left="1417" w:right="1417" w:header="0" w:top="1417" w:footer="709" w:bottom="1417" w:gutter="0"/>
          <w:cols w:num="2" w:space="708" w:equalWidth="true" w:sep="false"/>
          <w:formProt w:val="false"/>
          <w:textDirection w:val="lrTb"/>
          <w:docGrid w:type="default" w:linePitch="312" w:charSpace="4294965247"/>
        </w:sectPr>
      </w:pPr>
    </w:p>
    <w:p>
      <w:pPr>
        <w:pStyle w:val="Articletext1"/>
        <w:ind w:hanging="0"/>
        <w:rPr/>
      </w:pPr>
      <w:r>
        <w:rPr/>
      </w:r>
    </w:p>
    <w:p>
      <w:pPr>
        <w:sectPr>
          <w:type w:val="continuous"/>
          <w:pgSz w:w="12240" w:h="15840"/>
          <w:pgMar w:left="1417" w:right="1417" w:header="0" w:top="1417" w:footer="709" w:bottom="1417" w:gutter="0"/>
          <w:formProt w:val="false"/>
          <w:textDirection w:val="lrTb"/>
          <w:docGrid w:type="default" w:linePitch="312" w:charSpace="4294965247"/>
        </w:sectPr>
      </w:pPr>
    </w:p>
    <w:p>
      <w:pPr>
        <w:pStyle w:val="ArticleTitletext"/>
        <w:numPr>
          <w:ilvl w:val="0"/>
          <w:numId w:val="1"/>
        </w:numPr>
        <w:rPr/>
      </w:pPr>
      <w:r>
        <w:rPr/>
        <w:t>Introduction</w:t>
      </w:r>
    </w:p>
    <w:p>
      <w:pPr>
        <w:pStyle w:val="Articletext"/>
        <w:rPr/>
      </w:pPr>
      <w:r>
        <w:rPr/>
        <w:t xml:space="preserve">Making holes is of great importance in manufacturing engineering because holes facilitate the assembly/disassembly, weight relief, and other. Drilling can be the ultimate stage in a manufacturing process or can be used to assist other operations such as tapping and broaching. Although drilling could be identified as a simple operation, the operation is complex and operational parameters such as feed rate, cutting speed and the geometry of the drill can play an important role on the results of the process. The importance of drilling can be identified by considering the number of holes needed in the assembly of aircrafts (e.g., around 1 million holes for an Airbus A300, and 3 million for a Boeing B747) </w:t>
      </w:r>
      <w:r>
        <w:fldChar w:fldCharType="begin"/>
      </w:r>
      <w:r>
        <w:instrText>ADDIN CSL_CITATION {"citationItems":[{"id":"ITEM-1","itemData":{"DOI":"10.1016/J.MECHATRONICS.2017.07.004","ISSN":"0957-4158","abstract":"In order to meet the high quality, reliability and high efficiency requirements of aircraft assembly, a new multifunction end-effector (MFEE) is developed, which integrates three functions: drilling, helical milling and oval countersinking. After an introduction to the design of the MFEE, the working principle of automatic oval countersinking is discussed in detail, which has rarely been studied before in literature. The architecture of the whole drilling system is elaborately presented, and particular emphasis is put on the key techniques to guarantee hole quality, which are hole position compensation, normal vector adjustment and countersinking depth control. Finally, results of drilling experiments conducted on aluminum 7050-T6 alloy and titanium Ti–6Al–4 V alloy are presented. It is shown that the system could improve the assembly quality and drilling speed of aircraft components effectively. The position accuracy could be controlled within ± 0.5 mm, the normal direction accuracy was better than 0.5°, and the countersinking depth variation could be controlled within 0.02 mm at the worst case, all the machined holes and oval countersinks satisfy both the geometric dimensions and surface roughness.","author":[{"dropping-particle":"","family":"Liu","given":"Hua","non-dropping-particle":"","parse-names":false,"suffix":""},{"dropping-particle":"","family":"Zhu","given":"Weidong","non-dropping-particle":"","parse-names":false,"suffix":""},{"dropping-particle":"","family":"Dong","given":"Huiyue","non-dropping-particle":"","parse-names":false,"suffix":""},{"dropping-particle":"","family":"Ke","given":"Yinglin","non-dropping-particle":"","parse-names":false,"suffix":""}],"container-title":"Mechatronics","id":"ITEM-1","issued":{"date-parts":[["2017","10","1"]]},"page":"101-114","publisher":"Pergamon","title":"A helical milling and oval countersinking end-effector for aircraft assembly","type":"article-journal","volume":"46"},"uris":["http://www.mendeley.com/documents/?uuid=b89b9d23-6c0d-31be-b9fd-f5ef3d15d45b"]}],"mendeley":{"formattedCitation":"[1]","plainTextFormattedCitation":"[1]","previouslyFormattedCitation":"[1]"},"properties":{"noteIndex":0},"schema":"https://github.com/citation-style-language/schema/raw/master/csl-citation.json"}</w:instrText>
      </w:r>
      <w:r>
        <w:fldChar w:fldCharType="separate"/>
      </w:r>
      <w:bookmarkStart w:id="3" w:name="__Fieldmark__321_2768839"/>
      <w:r>
        <w:rPr/>
        <w:t>[1]</w:t>
      </w:r>
      <w:r>
        <w:rPr/>
      </w:r>
      <w:r>
        <w:fldChar w:fldCharType="end"/>
      </w:r>
      <w:bookmarkEnd w:id="3"/>
      <w:r>
        <w:rPr/>
        <w:t>. Several alternatives are open for creating holes, being helical drilling one of the most popular operations.</w:t>
      </w:r>
    </w:p>
    <w:p>
      <w:pPr>
        <w:pStyle w:val="Articletext"/>
        <w:rPr/>
      </w:pPr>
      <w:r>
        <w:rPr/>
        <w:t xml:space="preserve">Light alloys are of special interest for sectors such as transportation because of the advantages that they provide in terms of weight reduction and, thus, energy consumption and emissions to the atmosphere </w:t>
      </w:r>
      <w:r>
        <w:fldChar w:fldCharType="begin"/>
      </w:r>
      <w:r>
        <w:instrText>ADDIN CSL_CITATION {"citationItems":[{"id":"ITEM-1","itemData":{"DOI":"10.1007/978-3-662-45088-8_5","ISBN":"978-3-662-45087-1","author":[{"dropping-particle":"","family":"Carou","given":"Diego","non-dropping-particle":"","parse-names":false,"suffix":""},{"dropping-particle":"","family":"Rubio","given":"Eva M.","non-dropping-particle":"","parse-names":false,"suffix":""},{"dropping-particle":"","family":"Davim","given":"J. Paulo","non-dropping-particle":"","parse-names":false,"suffix":""}],"chapter-number":"5","container-title":"Traditional Machining Processes","edition":"1","editor":[{"dropping-particle":"","family":"Davim","given":"J. Paulo","non-dropping-particle":"","parse-names":false,"suffix":""}],"id":"ITEM-1","issued":{"date-parts":[["2015"]]},"page":"133-152","publisher":"Springer, Berlin, Heidelberg","publisher-place":"Heidelberg","title":"Machinability of Magnesium and Its Alloys: A Review","type":"chapter"},"uris":["http://www.mendeley.com/documents/?uuid=1882868a-33ef-3374-b0c3-b0e8ea41ca7e"]}],"mendeley":{"formattedCitation":"[2]","plainTextFormattedCitation":"[2]","previouslyFormattedCitation":"[2]"},"properties":{"noteIndex":0},"schema":"https://github.com/citation-style-language/schema/raw/master/csl-citation.json"}</w:instrText>
      </w:r>
      <w:r>
        <w:fldChar w:fldCharType="separate"/>
      </w:r>
      <w:bookmarkStart w:id="4" w:name="__Fieldmark__333_2768839"/>
      <w:r>
        <w:rPr/>
        <w:t>[2]</w:t>
      </w:r>
      <w:r>
        <w:rPr/>
      </w:r>
      <w:r>
        <w:fldChar w:fldCharType="end"/>
      </w:r>
      <w:bookmarkEnd w:id="4"/>
      <w:r>
        <w:rPr/>
        <w:t xml:space="preserve">. Some applications include the fabrication of car wheels, panels, and structures, pistons, brake discs, brake drums, and piston sleeves </w:t>
      </w:r>
      <w:r>
        <w:fldChar w:fldCharType="begin"/>
      </w:r>
      <w:r>
        <w:instrText>ADDIN CSL_CITATION {"citationItems":[{"id":"ITEM-1","itemData":{"DOI":"10.1007/s00170-016-8431-9","ISSN":"0268-3768","author":[{"dropping-particle":"","family":"Santos","given":"Mário C.","non-dropping-particle":"","parse-names":false,"suffix":""},{"dropping-particle":"","family":"Machado","given":"Alisson R.","non-dropping-particle":"","parse-names":false,"suffix":""},{"dropping-particle":"","family":"Sales","given":"Wisley F.","non-dropping-particle":"","parse-names":false,"suffix":""},{"dropping-particle":"","family":"Barrozo","given":"Marcos A. S.","non-dropping-particle":"","parse-names":false,"suffix":""},{"dropping-particle":"","family":"Ezugwu","given":"Emmanuel O.","non-dropping-particle":"","parse-names":false,"suffix":""}],"container-title":"The International Journal of Advanced Manufacturing Technology","id":"ITEM-1","issue":"9-12","issued":{"date-parts":[["2016","10","10"]]},"page":"3067-3080","publisher":"Springer London","title":"Machining of aluminum alloys: a review","type":"article-journal","volume":"86"},"uris":["http://www.mendeley.com/documents/?uuid=51a4e4ac-f242-387d-b6e1-aa7766946972"]}],"mendeley":{"formattedCitation":"[3]","plainTextFormattedCitation":"[3]","previouslyFormattedCitation":"[3]"},"properties":{"noteIndex":0},"schema":"https://github.com/citation-style-language/schema/raw/master/csl-citation.json"}</w:instrText>
      </w:r>
      <w:r>
        <w:fldChar w:fldCharType="separate"/>
      </w:r>
      <w:bookmarkStart w:id="5" w:name="__Fieldmark__339_2768839"/>
      <w:r>
        <w:rPr/>
        <w:t>[3]</w:t>
      </w:r>
      <w:bookmarkEnd w:id="5"/>
      <w:r>
        <w:rPr/>
      </w:r>
      <w:r>
        <w:fldChar w:fldCharType="end"/>
      </w:r>
    </w:p>
    <w:p>
      <w:pPr>
        <w:pStyle w:val="Articletext"/>
        <w:rPr/>
      </w:pPr>
      <w:r>
        <w:rPr/>
        <w:t xml:space="preserve">In the literature, they can be found different studies for the drilling of several materials ranging from conventional alloys to hybrid materials. For instance, Rubio </w:t>
      </w:r>
      <w:r>
        <w:rPr>
          <w:i/>
        </w:rPr>
        <w:t>et al</w:t>
      </w:r>
      <w:r>
        <w:rPr/>
        <w:t xml:space="preserve">. </w:t>
      </w:r>
      <w:r>
        <w:fldChar w:fldCharType="begin"/>
      </w:r>
      <w:r>
        <w:instrText>ADDIN CSL_CITATION {"citationItems":[{"id":"ITEM-1","itemData":{"DOI":"10.1007/s00170-017-0138-z","ISSN":"0268-3768","author":[{"dropping-particle":"","family":"Campos Rubio","given":"Juan Carlos","non-dropping-particle":"","parse-names":false,"suffix":""},{"dropping-particle":"","family":"Rezende","given":"Bruna Aparecida","non-dropping-particle":"","parse-names":false,"suffix":""},{"dropping-particle":"","family":"Vieira","given":"Luciano Machado Gomes","non-dropping-particle":"","parse-names":false,"suffix":""},{"dropping-particle":"","family":"Houmard","given":"Manuel","non-dropping-particle":"","parse-names":false,"suffix":""}],"container-title":"The International Journal of Advanced Manufacturing Technology","id":"ITEM-1","issue":"5-8","issued":{"date-parts":[["2017","9","15"]]},"page":"1567-1577","publisher":"Springer London","title":"Drilling of aluminium/PE sandwich material with a novel TiO2-coated HSS drill deposited by sol–gel process","type":"article-journal","volume":"92"},"suppress-author":1,"uris":["http://www.mendeley.com/documents/?uuid=3f0b3c5a-0693-388f-8d68-61cbeccfe714"]}],"mendeley":{"formattedCitation":"[4]","plainTextFormattedCitation":"[4]","previouslyFormattedCitation":"[4]"},"properties":{"noteIndex":0},"schema":"https://github.com/citation-style-language/schema/raw/master/csl-citation.json"}</w:instrText>
      </w:r>
      <w:r>
        <w:fldChar w:fldCharType="separate"/>
      </w:r>
      <w:bookmarkStart w:id="6" w:name="__Fieldmark__358_2768839"/>
      <w:r>
        <w:rPr/>
        <w:t>[4]</w:t>
      </w:r>
      <w:r>
        <w:rPr/>
      </w:r>
      <w:r>
        <w:fldChar w:fldCharType="end"/>
      </w:r>
      <w:bookmarkEnd w:id="6"/>
      <w:r>
        <w:rPr/>
        <w:t xml:space="preserve"> studied the drilling of a sandwich material, emphasizing the importance of the optimization of the operation to avoid or at least reduce the appearance of burrs, because the burr height influences the cost in the assembly due to the deburring. Zhu </w:t>
      </w:r>
      <w:r>
        <w:rPr>
          <w:i/>
        </w:rPr>
        <w:t>et al.</w:t>
      </w:r>
      <w:r>
        <w:rPr/>
        <w:t xml:space="preserve"> </w:t>
      </w:r>
      <w:r>
        <w:fldChar w:fldCharType="begin"/>
      </w:r>
      <w:r>
        <w:instrText>ADDIN CSL_CITATION {"citationItems":[{"id":"ITEM-1","itemData":{"DOI":"10.1016/J.JMATPROTEC.2018.04.044","ISSN":"0924-0136","abstract":"Three novel drill geometries, multipoint, step and double cone, were designed and experimentally evaluated to understand the effect of tool geometries on the machining performance of dry drilling Al/Ti stack. Results showed that the double cone drill achieved a better hole quality and a higher efficiency due to the smaller thrust force, broken chips, and less burrs compared to the other two drill geometries. The multipoint drill generated serrated chips in titanium alloy drilling. Significant microstructure deformation occurred in the adiabatic shear band (ASB) and the second shear band. Visible cracks propagated along the ASB from the free to back surface of the chip. Phase transformation from β phase to martensite occurred in the second shear band. The drill geometry design and experimental investigation in this paper could provide guidance for drill bit design and manufacturing for Al/Ti stack drilling.","author":[{"dropping-particle":"","family":"Zhu","given":"Zhaoju","non-dropping-particle":"","parse-names":false,"suffix":""},{"dropping-particle":"","family":"Guo","given":"Kai","non-dropping-particle":"","parse-names":false,"suffix":""},{"dropping-particle":"","family":"Sun","given":"Jie","non-dropping-particle":"","parse-names":false,"suffix":""},{"dropping-particle":"","family":"Li","given":"Jianfeng","non-dropping-particle":"","parse-names":false,"suffix":""},{"dropping-particle":"","family":"Liu","given":"Yang","non-dropping-particle":"","parse-names":false,"suffix":""},{"dropping-particle":"","family":"Zheng","given":"Yihao","non-dropping-particle":"","parse-names":false,"suffix":""},{"dropping-particle":"","family":"Chen","given":"Lei","non-dropping-particle":"","parse-names":false,"suffix":""}],"container-title":"Journal of Materials Processing Technology","id":"ITEM-1","issued":{"date-parts":[["2018","9","1"]]},"page":"270-281","publisher":"Elsevier","title":"Evaluation of novel tool geometries in dry drilling aluminium 2024-T351/titanium Ti6Al4V stack","type":"article-journal","volume":"259"},"suppress-author":1,"uris":["http://www.mendeley.com/documents/?uuid=0216cbb4-056c-36bf-9378-950102816029"]}],"mendeley":{"formattedCitation":"[5]","plainTextFormattedCitation":"[5]","previouslyFormattedCitation":"[5]"},"properties":{"noteIndex":0},"schema":"https://github.com/citation-style-language/schema/raw/master/csl-citation.json"}</w:instrText>
      </w:r>
      <w:r>
        <w:fldChar w:fldCharType="separate"/>
      </w:r>
      <w:bookmarkStart w:id="7" w:name="__Fieldmark__401_2768839"/>
      <w:r>
        <w:rPr/>
        <w:t>[5]</w:t>
      </w:r>
      <w:r>
        <w:rPr/>
      </w:r>
      <w:r>
        <w:fldChar w:fldCharType="end"/>
      </w:r>
      <w:bookmarkEnd w:id="7"/>
      <w:r>
        <w:rPr/>
        <w:t xml:space="preserve"> analysed the influence of different point geometries (multipoint drill, step drill, and double cone) in the drilling of aluminium/titanium hybrid composites. The authors highlighted that still more studies need to be developed for novel point geometries, mainly for drilling laminates materials. </w:t>
      </w:r>
    </w:p>
    <w:p>
      <w:pPr>
        <w:pStyle w:val="Articletext"/>
        <w:rPr/>
      </w:pPr>
      <w:r>
        <w:rPr/>
        <w:t xml:space="preserve">Costa </w:t>
      </w:r>
      <w:r>
        <w:rPr>
          <w:i/>
        </w:rPr>
        <w:t>et al</w:t>
      </w:r>
      <w:r>
        <w:rPr/>
        <w:t xml:space="preserve">. </w:t>
      </w:r>
      <w:r>
        <w:fldChar w:fldCharType="begin"/>
      </w:r>
      <w:r>
        <w:instrText>ADDIN CSL_CITATION {"citationItems":[{"id":"ITEM-1","itemData":{"DOI":"10.1590/S1678-58782009000100009","ISSN":"1678-5878","author":[{"dropping-particle":"","family":"Costa","given":"Eder Silva","non-dropping-particle":"","parse-names":false,"suffix":""},{"dropping-particle":"da","family":"Silva","given":"Marcio Bacci","non-dropping-particle":"","parse-names":false,"suffix":""},{"dropping-particle":"","family":"Machado","given":"Alisson Rocha","non-dropping-particle":"","parse-names":false,"suffix":""}],"container-title":"Journal of the Brazilian Society of Mechanical Sciences and Engineering","id":"ITEM-1","issue":"1","issued":{"date-parts":[["2009","3"]]},"page":"57-63","publisher":"The Brazilian Society of Mechanical Sciences and Engineering","title":"Burr produced on the drilling process as a function of tool wear and lubricant-coolant conditions","type":"article-journal","volume":"31"},"suppress-author":1,"uris":["http://www.mendeley.com/documents/?uuid=aebd4a20-b9c7-3ff9-ad6a-9841859baaf9"]}],"mendeley":{"formattedCitation":"[6]","plainTextFormattedCitation":"[6]","previouslyFormattedCitation":"[6]"},"properties":{"noteIndex":0},"schema":"https://github.com/citation-style-language/schema/raw/master/csl-citation.json"}</w:instrText>
      </w:r>
      <w:r>
        <w:fldChar w:fldCharType="separate"/>
      </w:r>
      <w:bookmarkStart w:id="8" w:name="__Fieldmark__439_2768839"/>
      <w:r>
        <w:rPr/>
        <w:t>[6]</w:t>
      </w:r>
      <w:r>
        <w:rPr/>
      </w:r>
      <w:r>
        <w:fldChar w:fldCharType="end"/>
      </w:r>
      <w:bookmarkEnd w:id="8"/>
      <w:r>
        <w:rPr/>
        <w:t xml:space="preserve"> analysed the height and shape of the burr in the drilling of micro-alloyed steel DIN 38MnS6 at different stages of tool wear with cutting speed of 45 and 60 m/min. The authors observed that the burr height increased as the wear increased, which were practically exponential after 64% (45 m/min) and 82% (60 m/min) of the tool life.</w:t>
      </w:r>
    </w:p>
    <w:p>
      <w:pPr>
        <w:pStyle w:val="Articletext"/>
        <w:rPr/>
      </w:pPr>
      <w:r>
        <w:rPr/>
        <w:t xml:space="preserve">According to Brandão </w:t>
      </w:r>
      <w:r>
        <w:rPr>
          <w:i/>
        </w:rPr>
        <w:t>et al.</w:t>
      </w:r>
      <w:r>
        <w:rPr/>
        <w:t xml:space="preserve"> </w:t>
      </w:r>
      <w:r>
        <w:fldChar w:fldCharType="begin"/>
      </w:r>
      <w:r>
        <w:instrText>ADDIN CSL_CITATION {"citationItems":[{"id":"ITEM-1","itemData":{"DOI":"10.1155/2011/746535","ISSN":"1687-8140","abstract":"This work evaluates the hole quality on AISI H13 hardened steel using high-speed drilling. Specimens were machined with new and worn out drills with 8.6 mm diameter and (TiAl)N coating. Two levels of cutting speed and three levels of cooling/lubrication systems (flooded, minimum lubrication quantity, and dry) were used. The hole quality is evaluated on surface roughness (Ra) parameter, diameter error, circularity, and cylindricity error. A statistical analysis of the results shows that the cooling/lubrication system significantly affects the hole quality for all measured variables. This analysis indicates that dry machining produces the worst results. Higher cutting speeds not only prove beneficial to diameter error and circularity errors, but also show no significant difference on surface roughness and cylindricity errors. The effects of the interaction between the cooling/lubrication systems, tool wear, and cutting speed indicate that only cylindricity error is influenced. Thus, the conclusion is that t...","author":[{"dropping-particle":"","family":"Brandão","given":"Lincoln Cardoso","non-dropping-particle":"","parse-names":false,"suffix":""},{"dropping-particle":"","family":"Neves","given":"Frederico Ozanan","non-dropping-particle":"","parse-names":false,"suffix":""},{"dropping-particle":"","family":"Nocelli","given":"Gregório Christo","non-dropping-particle":"","parse-names":false,"suffix":""}],"container-title":"Advances in Mechanical Engineering","id":"ITEM-1","issued":{"date-parts":[["2011","1","22"]]},"page":"746535","publisher":"SAGE PublicationsSage UK: London, England","title":"Evaluation of Hole Quality in Hardened Steel with High-Speed Drilling Using Different Cooling Systems","type":"article-journal","volume":"3"},"suppress-author":1,"uris":["http://www.mendeley.com/documents/?uuid=d5ed39c0-1049-3c91-a4f3-ccd1f0d06c8b"]}],"mendeley":{"formattedCitation":"[7]","plainTextFormattedCitation":"[7]","previouslyFormattedCitation":"[7]"},"properties":{"noteIndex":0},"schema":"https://github.com/citation-style-language/schema/raw/master/csl-citation.json"}</w:instrText>
      </w:r>
      <w:r>
        <w:fldChar w:fldCharType="separate"/>
      </w:r>
      <w:bookmarkStart w:id="9" w:name="__Fieldmark__456_2768839"/>
      <w:r>
        <w:rPr/>
        <w:t>[7]</w:t>
      </w:r>
      <w:r>
        <w:rPr/>
      </w:r>
      <w:r>
        <w:fldChar w:fldCharType="end"/>
      </w:r>
      <w:bookmarkEnd w:id="9"/>
      <w:r>
        <w:rPr/>
        <w:t xml:space="preserve">, to qualify the hole, the most important variable is the diameter variation, which was evaluated in the drilling of AISI H13 employing the flooded systems and high cutting speeds. De Sousa </w:t>
      </w:r>
      <w:r>
        <w:rPr>
          <w:i/>
        </w:rPr>
        <w:t>et al</w:t>
      </w:r>
      <w:r>
        <w:rPr/>
        <w:t xml:space="preserve">. </w:t>
      </w:r>
      <w:r>
        <w:fldChar w:fldCharType="begin"/>
      </w:r>
      <w:r>
        <w:instrText>ADDIN CSL_CITATION {"citationItems":[{"id":"ITEM-1","itemData":{"DOI":"10.1016/J.APPLTHERMALENG.2012.04.061","ISSN":"1359-4311","abstract":"This study presents an inverse technique to estimate temperature and heat flux at the tool–piece interface during drilling process. The technique used a method based on Green's function and dynamic observers. While most works found in literature focused the tool, in this study the work piece was modeled thermally. The thermal model was obtained by numerical solution of the transient three-dimensional heat diffusion equation considering the drill as a moving heat source. Two numerical simulations were performed in order to evaluate the thermal model, the inverse algorithm and to locate measurement regions with low sensitivity. Finite volumes method was used to solve the heat diffusion equation. Experimental tests were performed using cemented carbide tool to drill a micro-alloyed steel workpiece (HSLA steel- High-Strength Low-Alloy). The heat flux generated at the cutting interface during the drilling process was estimated using the developed inverse technique and only experimental data from the heating period was used. After heat flux estimation the temperature field was calculated. Comparisons between experimental and estimated data present a good accordance for the thermocouples not used in the heat flux estimation.","author":[{"dropping-particle":"","family":"Sousa","given":"Priscila F.B.","non-dropping-particle":"de","parse-names":false,"suffix":""},{"dropping-particle":"","family":"Borges","given":"Valério L.","non-dropping-particle":"","parse-names":false,"suffix":""},{"dropping-particle":"","family":"Pereira","given":"Igor C.","non-dropping-particle":"","parse-names":false,"suffix":""},{"dropping-particle":"","family":"Silva","given":"Marcio B.","non-dropping-particle":"da","parse-names":false,"suffix":""},{"dropping-particle":"","family":"Guimarães","given":"Gilmar","non-dropping-particle":"","parse-names":false,"suffix":""}],"container-title":"Applied Thermal Engineering","id":"ITEM-1","issued":{"date-parts":[["2012","12","15"]]},"page":"144-154","publisher":"Pergamon","title":"Estimation of heat flux and temperature field during drilling process using dynamic observers based on Green's function","type":"article-journal","volume":"48"},"suppress-author":1,"uris":["http://www.mendeley.com/documents/?uuid=6a2ef982-04f0-3254-8348-0bea5e6fafd5"]}],"mendeley":{"formattedCitation":"[8]","plainTextFormattedCitation":"[8]","previouslyFormattedCitation":"[8]"},"properties":{"noteIndex":0},"schema":"https://github.com/citation-style-language/schema/raw/master/csl-citation.json"}</w:instrText>
      </w:r>
      <w:r>
        <w:fldChar w:fldCharType="separate"/>
      </w:r>
      <w:bookmarkStart w:id="10" w:name="__Fieldmark__468_2768839"/>
      <w:r>
        <w:rPr/>
        <w:t>[8]</w:t>
      </w:r>
      <w:r>
        <w:rPr/>
      </w:r>
      <w:r>
        <w:fldChar w:fldCharType="end"/>
      </w:r>
      <w:bookmarkEnd w:id="10"/>
      <w:r>
        <w:rPr/>
        <w:t xml:space="preserve"> used the Finite Elements Method to develop a heat transfer study for drilling with small deviation compared to validation tests. Le Coz </w:t>
      </w:r>
      <w:r>
        <w:rPr>
          <w:i/>
        </w:rPr>
        <w:t>et al.</w:t>
      </w:r>
      <w:r>
        <w:rPr/>
        <w:t xml:space="preserve"> </w:t>
      </w:r>
      <w:r>
        <w:fldChar w:fldCharType="begin"/>
      </w:r>
      <w:r>
        <w:instrText>ADDIN CSL_CITATION {"citationItems":[{"id":"ITEM-1","itemData":{"DOI":"10.1007/s00170-017-0671-9","ISSN":"0268-3768","author":[{"dropping-particle":"","family":"Coz","given":"G.","non-dropping-particle":"Le","parse-names":false,"suffix":""},{"dropping-particle":"","family":"Jrad","given":"M.","non-dropping-particle":"","parse-names":false,"suffix":""},{"dropping-particle":"","family":"Laheurte","given":"P.","non-dropping-particle":"","parse-names":false,"suffix":""},{"dropping-particle":"","family":"Dudzinski","given":"D.","non-dropping-particle":"","parse-names":false,"suffix":""}],"container-title":"The International Journal of Advanced Manufacturing Technology","id":"ITEM-1","issue":"5-8","issued":{"date-parts":[["2017","11","26"]]},"page":"2037-2044","publisher":"Springer London","title":"Analysis of local cutting edge geometry on temperature distribution and surface integrity when dry drilling of aeronautical alloys","type":"article-journal","volume":"93"},"suppress-author":1,"uris":["http://www.mendeley.com/documents/?uuid=d73f66bb-82f5-3167-adfa-dbea6d6b2aa6"]}],"mendeley":{"formattedCitation":"[9]","plainTextFormattedCitation":"[9]","previouslyFormattedCitation":"[9]"},"properties":{"noteIndex":0},"schema":"https://github.com/citation-style-language/schema/raw/master/csl-citation.json"}</w:instrText>
      </w:r>
      <w:r>
        <w:fldChar w:fldCharType="separate"/>
      </w:r>
      <w:bookmarkStart w:id="11" w:name="__Fieldmark__481_2768839"/>
      <w:r>
        <w:rPr/>
        <w:t>[9]</w:t>
      </w:r>
      <w:r>
        <w:rPr/>
      </w:r>
      <w:r>
        <w:fldChar w:fldCharType="end"/>
      </w:r>
      <w:bookmarkEnd w:id="11"/>
      <w:r>
        <w:rPr/>
        <w:t xml:space="preserve"> studied the dry drilling in aluminium and titanium aeronautical alloys. They observed that the temperature distributions along the cutting edge are due to the thermo-mechanical properties of the workpiece and the thermal sensitivity to cutting speed and rake angle.</w:t>
      </w:r>
    </w:p>
    <w:p>
      <w:pPr>
        <w:pStyle w:val="Articletext"/>
        <w:rPr/>
      </w:pPr>
      <w:r>
        <w:rPr/>
        <w:t xml:space="preserve">To improve the understanding of the drilling process, Caggiano </w:t>
      </w:r>
      <w:r>
        <w:rPr>
          <w:i/>
        </w:rPr>
        <w:t>et al</w:t>
      </w:r>
      <w:r>
        <w:rPr/>
        <w:t xml:space="preserve">. </w:t>
      </w:r>
      <w:r>
        <w:fldChar w:fldCharType="begin"/>
      </w:r>
      <w:r>
        <w:instrText>ADDIN CSL_CITATION {"citationItems":[{"id":"ITEM-1","itemData":{"DOI":"10.1016/J.PROCIR.2019.02.079","ISSN":"2212-8271","abstract":"Multi-material stack products made of carbon fibre reinforce polymers (CFRP) and light-weight metal alloys, such as aluminium alloys, are becoming increasingly employed for aerospace applications. When composite laminates are stacked with metal alloy sheets, the drilling process becomes more complex due to the diverse properties of the stacked materials which involve different wear mechanisms and different drilling parameters. In this framework, the aim of this paper is to investigate the drilling process of Al/CFRP stacks for aeronautical applications through an experimental testing campaign under different drilling conditions. In order to study the thrust force and torque generated during the drilling process, a multiple sensor system is employed for data acquisition, and an advanced methodology for sensor signal processing in the time and frequency domain is developed.","author":[{"dropping-particle":"","family":"Caggiano","given":"Alessandra","non-dropping-particle":"","parse-names":false,"suffix":""},{"dropping-particle":"","family":"Napolitano","given":"Francesco","non-dropping-particle":"","parse-names":false,"suffix":""},{"dropping-particle":"","family":"Nele","given":"Luigi","non-dropping-particle":"","parse-names":false,"suffix":""}],"container-title":"Procedia CIRP","id":"ITEM-1","issued":{"date-parts":[["2019","1","1"]]},"page":"337-342","publisher":"Elsevier","title":"Study on thrust force and torque sensor signals in drilling of Al/CFRP stacks for aeronautical applications","type":"article-journal","volume":"79"},"uris":["http://www.mendeley.com/documents/?uuid=ba033a49-7d8d-3137-acdc-b0124d729d2b"]}],"mendeley":{"formattedCitation":"[10]","plainTextFormattedCitation":"[10]","previouslyFormattedCitation":"[10]"},"properties":{"noteIndex":0},"schema":"https://github.com/citation-style-language/schema/raw/master/csl-citation.json"}</w:instrText>
      </w:r>
      <w:r>
        <w:fldChar w:fldCharType="separate"/>
      </w:r>
      <w:bookmarkStart w:id="12" w:name="__Fieldmark__508_2768839"/>
      <w:r>
        <w:rPr/>
        <w:t>[10]</w:t>
      </w:r>
      <w:r>
        <w:rPr/>
      </w:r>
      <w:r>
        <w:fldChar w:fldCharType="end"/>
      </w:r>
      <w:bookmarkEnd w:id="12"/>
      <w:r>
        <w:rPr/>
        <w:t xml:space="preserve"> developed a processing signal method to observe the influence of the tool wear. According these authors, the increase of the spindle speed makes more complicated the drilling of carbon fibre reinforced polymer/aluminium alloy stacks, recommending spindle speeds and feed rate in the range 3,000 to 4,500 rpm, 0.10 to 0.15 mm/rev, respectively. In similar process, Angelone </w:t>
      </w:r>
      <w:r>
        <w:rPr>
          <w:i/>
        </w:rPr>
        <w:t>et al</w:t>
      </w:r>
      <w:r>
        <w:rPr/>
        <w:t xml:space="preserve">. </w:t>
      </w:r>
      <w:r>
        <w:fldChar w:fldCharType="begin"/>
      </w:r>
      <w:r>
        <w:instrText>ADDIN CSL_CITATION {"citationItems":[{"id":"ITEM-1","itemData":{"DOI":"10.1016/J.PROCIR.2019.02.074","ISSN":"2212-8271","abstract":"The use of hybrid components made of aluminium alloys and carbon fibre reinforced polymer composites is increasing in aerospace applications for their excellent weight/strength ratio. These components are generally mechanically assembled and thus require a large number of hole making operations. One shot drilling is the most desirable process to improve productivity, however, an optimization of the drilling process on such dissimilar materials is indispensable. The aim of this research work is to identify, with reference to drilling of Al/CFRP stacks for aeronautical applications, the best combination of cutting speed and feed rate, based on the quality of drilled holes and on a thermographic study of the process.","author":[{"dropping-particle":"","family":"Angelone","given":"Roberta","non-dropping-particle":"","parse-names":false,"suffix":""},{"dropping-particle":"","family":"Caggiano","given":"Alessandra","non-dropping-particle":"","parse-names":false,"suffix":""},{"dropping-particle":"","family":"Improta","given":"Ilaria","non-dropping-particle":"","parse-names":false,"suffix":""},{"dropping-particle":"","family":"Nele","given":"Luigi","non-dropping-particle":"","parse-names":false,"suffix":""}],"container-title":"Procedia CIRP","id":"ITEM-1","issued":{"date-parts":[["2019","1","1"]]},"page":"319-324","publisher":"Elsevier","title":"Characterization of hole quality and temperature in drilling of Al/CFRP stacks under different process condition","type":"article-journal","volume":"79"},"uris":["http://www.mendeley.com/documents/?uuid=ddfecbd0-337d-3120-b0d7-f1cf52201ca4"]}],"mendeley":{"formattedCitation":"[11]","plainTextFormattedCitation":"[11]","previouslyFormattedCitation":"[11]"},"properties":{"noteIndex":0},"schema":"https://github.com/citation-style-language/schema/raw/master/csl-citation.json"}</w:instrText>
      </w:r>
      <w:r>
        <w:fldChar w:fldCharType="separate"/>
      </w:r>
      <w:bookmarkStart w:id="13" w:name="__Fieldmark__536_2768839"/>
      <w:r>
        <w:rPr/>
        <w:t>[11]</w:t>
      </w:r>
      <w:r>
        <w:rPr/>
      </w:r>
      <w:r>
        <w:fldChar w:fldCharType="end"/>
      </w:r>
      <w:bookmarkEnd w:id="13"/>
      <w:r>
        <w:rPr/>
        <w:t xml:space="preserve"> employed a thermographic camera to analyse the temperature, which is related to the quality of holes. The authors observed that low feed values were less effective for the quality of hole and temperature profiles.</w:t>
      </w:r>
    </w:p>
    <w:p>
      <w:pPr>
        <w:pStyle w:val="Articletext"/>
        <w:rPr/>
      </w:pPr>
      <w:r>
        <w:rPr/>
        <w:t xml:space="preserve">Among the main materials used in the drilling studies, aluminium alloys and composites are of great interest because the weight/strength ratio that is beneficial in applications such as aeronautics. According to Antunes </w:t>
      </w:r>
      <w:r>
        <w:rPr>
          <w:i/>
        </w:rPr>
        <w:t>et al</w:t>
      </w:r>
      <w:r>
        <w:rPr/>
        <w:t xml:space="preserve">. </w:t>
      </w:r>
      <w:r>
        <w:fldChar w:fldCharType="begin"/>
      </w:r>
      <w:r>
        <w:instrText>ADDIN CSL_CITATION {"citationItems":[{"id":"ITEM-1","itemData":{"DOI":"10.1016/J.IJFATIGUE.2018.03.020","ISSN":"0142-1123","abstract":"Fatigue crack growth (FCG) is usually studied using ΔK, however several limitations have been found in the use of da/dN-ΔK curves. Therefore, the FCG in the 2050-T8 aluminium alloy is studied here using the plastic CTOD. Experimental work was developed to obtain FCG in M(T) specimens. The experimental procedure was replicated numerically in terms of geometry, loading and material behaviour. The cyclic plastic behaviour of the material was modeled using stress-strain curves obtained in low-cycle fatigue tests. Numerical predictions of plastic CTOD were obtained for different crack lengths and a da/dN versus plastic CTOD model was built. This model was used to predict the effect of variable amplitude loading, namely, overloads and load blocks. All the predictions agreed qualitatively with the known effect of the load patterns studied. Crack closure was found to be a main mechanism behind the variations of plastic CTOD and therefore of da/dN.","author":[{"dropping-particle":"","family":"Antunes","given":"F.V.","non-dropping-particle":"","parse-names":false,"suffix":""},{"dropping-particle":"","family":"Serrano","given":"S.","non-dropping-particle":"","parse-names":false,"suffix":""},{"dropping-particle":"","family":"Branco","given":"R.","non-dropping-particle":"","parse-names":false,"suffix":""},{"dropping-particle":"","family":"Prates","given":"P.","non-dropping-particle":"","parse-names":false,"suffix":""}],"container-title":"International Journal of Fatigue","id":"ITEM-1","issued":{"date-parts":[["0","3"]]},"page":"In press","publisher":"Elsevier","title":"Fatigue crack growth in the 2050-T8 aluminium alloy","type":"article-journal"},"uris":["http://www.mendeley.com/documents/?uuid=3684b7a9-b36f-3407-94ae-532ca5b260ff"]}],"mendeley":{"formattedCitation":"[12]","plainTextFormattedCitation":"[12]","previouslyFormattedCitation":"[12]"},"properties":{"noteIndex":0},"schema":"https://github.com/citation-style-language/schema/raw/master/csl-citation.json"}</w:instrText>
      </w:r>
      <w:r>
        <w:fldChar w:fldCharType="separate"/>
      </w:r>
      <w:bookmarkStart w:id="14" w:name="__Fieldmark__567_2768839"/>
      <w:r>
        <w:rPr/>
        <w:t>[12]</w:t>
      </w:r>
      <w:r>
        <w:rPr/>
      </w:r>
      <w:r>
        <w:fldChar w:fldCharType="end"/>
      </w:r>
      <w:bookmarkEnd w:id="14"/>
      <w:r>
        <w:rPr/>
        <w:t xml:space="preserve">, a great number of applications of aluminium alloys can be found in the aeronautic industry such as fuselage, wing or internal structure. In general, aluminium can be considered an easy to machine material, even at high speed </w:t>
      </w:r>
      <w:r>
        <w:fldChar w:fldCharType="begin"/>
      </w:r>
      <w:r>
        <w:instrText>ADDIN CSL_CITATION {"citationItems":[{"id":"ITEM-1","itemData":{"DOI":"10.1016/J.PROENG.2017.01.200","ISSN":"1877-7058","abstract":"Base on the development practice of carbide milling cutter used for high speed machining of aluminum alloy, through the empirical analysis of the failure mechanism of milling cutter, and combined with the cutting performance of high strength aluminum alloy and the stress strain characteristics of cutter on high speed condition, the design principle, manufacture and using technology of carbide milling cutter for high speed machining of aluminum alloy are discussed in detail.","author":[{"dropping-particle":"","family":"Chang","given":"Hongbin","non-dropping-particle":"","parse-names":false,"suffix":""},{"dropping-particle":"","family":"Li","given":"Suyun","non-dropping-particle":"","parse-names":false,"suffix":""},{"dropping-particle":"","family":"Shi","given":"Runping","non-dropping-particle":"","parse-names":false,"suffix":""}],"container-title":"Procedia Engineering","id":"ITEM-1","issued":{"date-parts":[["2017","1","1"]]},"page":"630-637","publisher":"Elsevier","title":"Design and Manufacturing Technology of High Speed Milling Cutter for Aluminum Alloy","type":"article-journal","volume":"174"},"uris":["http://www.mendeley.com/documents/?uuid=64b42a5e-cdc8-330c-b315-4edbe09ef138"]}],"mendeley":{"formattedCitation":"[13]","plainTextFormattedCitation":"[13]","previouslyFormattedCitation":"[13]"},"properties":{"noteIndex":0},"schema":"https://github.com/citation-style-language/schema/raw/master/csl-citation.json"}</w:instrText>
      </w:r>
      <w:r>
        <w:fldChar w:fldCharType="separate"/>
      </w:r>
      <w:bookmarkStart w:id="15" w:name="__Fieldmark__586_2768839"/>
      <w:r>
        <w:rPr/>
        <w:t>[13]</w:t>
      </w:r>
      <w:r>
        <w:rPr/>
      </w:r>
      <w:r>
        <w:fldChar w:fldCharType="end"/>
      </w:r>
      <w:bookmarkEnd w:id="15"/>
      <w:r>
        <w:rPr/>
        <w:t xml:space="preserve">. In the literature is possible to find several works that used the Al 2011 aluminium alloy, as the ones presented by Montross </w:t>
      </w:r>
      <w:r>
        <w:rPr>
          <w:i/>
        </w:rPr>
        <w:t>et al</w:t>
      </w:r>
      <w:r>
        <w:rPr/>
        <w:t xml:space="preserve">. </w:t>
      </w:r>
      <w:r>
        <w:fldChar w:fldCharType="begin"/>
      </w:r>
      <w:r>
        <w:instrText>ADDIN CSL_CITATION {"citationItems":[{"id":"ITEM-1","itemData":{"DOI":"10.1023/A:1017537011772","ISSN":"00222461","author":[{"dropping-particle":"","family":"Montross","given":"C. S.","non-dropping-particle":"","parse-names":false,"suffix":""},{"dropping-particle":"","family":"Florea","given":"V.","non-dropping-particle":"","parse-names":false,"suffix":""},{"dropping-particle":"V.","family":"Swain","given":"M.","non-dropping-particle":"","parse-names":false,"suffix":""}],"container-title":"Journal of Materials Science","id":"ITEM-1","issue":"7","issued":{"date-parts":[["2001"]]},"page":"1801-1807","publisher":"Kluwer Academic Publishers","title":"The influence of coatings on subsurface mechanical properties of laser peened 2011-T3 aluminum","type":"article-journal","volume":"36"},"uris":["http://www.mendeley.com/documents/?uuid=b6c0c94e-c206-3e99-9135-4c2b8f4dc986"]}],"mendeley":{"formattedCitation":"[14]","plainTextFormattedCitation":"[14]","previouslyFormattedCitation":"[14]"},"properties":{"noteIndex":0},"schema":"https://github.com/citation-style-language/schema/raw/master/csl-citation.json"}</w:instrText>
      </w:r>
      <w:r>
        <w:fldChar w:fldCharType="separate"/>
      </w:r>
      <w:bookmarkStart w:id="16" w:name="__Fieldmark__596_2768839"/>
      <w:r>
        <w:rPr/>
        <w:t>[14]</w:t>
      </w:r>
      <w:r>
        <w:rPr/>
      </w:r>
      <w:r>
        <w:fldChar w:fldCharType="end"/>
      </w:r>
      <w:bookmarkEnd w:id="16"/>
      <w:r>
        <w:rPr/>
        <w:t xml:space="preserve">, Jeelani and Reddy </w:t>
      </w:r>
      <w:r>
        <w:fldChar w:fldCharType="begin"/>
      </w:r>
      <w:r>
        <w:instrText>ADDIN CSL_CITATION {"citationItems":[{"id":"ITEM-1","itemData":{"DOI":"10.1016/0025-5416(82)90100-8","ISSN":"0025-5416","abstract":"Experimental data were obtained using aluminum alloy 2011-T3 specimens under stress ratios R of −1, −0.5 and 0.0 for low-to-high, low-to-high mixed, high-to-low and high-to-low mixed stress sequences. Analysis of the data for a stress ratio of −1 using Kramer's equation indicated that the predicted cumulative fatigue damage and fatigue life are in close agreement with those obtained experimentally.","author":[{"dropping-particle":"","family":"Jeelani","given":"Shaik","non-dropping-particle":"","parse-names":false,"suffix":""},{"dropping-particle":"","family":"Reddy","given":"Purander A.","non-dropping-particle":"","parse-names":false,"suffix":""}],"container-title":"Materials Science and Engineering","id":"ITEM-1","issue":"3","issued":{"date-parts":[["1982","12","1"]]},"page":"253-258","publisher":"Elsevier","title":"A study of cumulative fatigue damage in aluminum alloy 2011-T3","type":"article-journal","volume":"56"},"uris":["http://www.mendeley.com/documents/?uuid=8d7828b7-9f48-34ea-b3ac-1dd6b894a921"]}],"mendeley":{"formattedCitation":"[15]","plainTextFormattedCitation":"[15]","previouslyFormattedCitation":"[15]"},"properties":{"noteIndex":0},"schema":"https://github.com/citation-style-language/schema/raw/master/csl-citation.json"}</w:instrText>
      </w:r>
      <w:r>
        <w:fldChar w:fldCharType="separate"/>
      </w:r>
      <w:bookmarkStart w:id="17" w:name="__Fieldmark__601_2768839"/>
      <w:r>
        <w:rPr/>
        <w:t>[15]</w:t>
      </w:r>
      <w:r>
        <w:rPr/>
      </w:r>
      <w:r>
        <w:fldChar w:fldCharType="end"/>
      </w:r>
      <w:bookmarkEnd w:id="17"/>
      <w:r>
        <w:rPr/>
        <w:t xml:space="preserve">, Jímenez and Bermúdez </w:t>
      </w:r>
      <w:r>
        <w:fldChar w:fldCharType="begin"/>
      </w:r>
      <w:r>
        <w:instrText>ADDIN CSL_CITATION {"citationItems":[{"id":"ITEM-1","itemData":{"DOI":"10.1179/1751584X12Y.0000000011","ISSN":"1751-5831","abstract":"AbstractIn this study the authors have compared the tribological behaviour of three aluminium alloys (ASTM 2011 T3, ASTM 6061 T6 and ASTM 7075 T6) lubricated with two room temperature ionic liquids (ILs) with the same short alkyl chain imidazolium cation, 1-ethyl-3-methylimidazolium, and two different anions, tetrafluoroborate (BF4) (L102) and bis(trifluoromethylsulfonyl)imide {[(CF3SO2)2N]; NTf} (LNTf102). The ILs were used as 1 wt-% additives of the synthetic ester base oil propylene glycol dioleate (PGDO) in reciprocating sliding tests. The results are discussed in terms of the properties of the lubricants and the hardness of the aluminium alloys. Plastic deformation, wear mechanisms and surface interactions have been studied by electron microscopy (SEM), energy dispersive (EDS) spectroscopy and three-dimensional profilometry. The tribological performance of both ionic liquids is similar, and depends on hardness values and on the degree of plastic deformation of each alloy. Reductions of more than 40% ...","author":[{"dropping-particle":"","family":"Jiménez","given":"A.-E.","non-dropping-particle":"","parse-names":false,"suffix":""},{"dropping-particle":"","family":"Bermúdez","given":"M.-D.","non-dropping-particle":"","parse-names":false,"suffix":""}],"container-title":"Tribology - Materials, Surfaces &amp; Interfaces","id":"ITEM-1","issue":"3","issued":{"date-parts":[["2012","9","12"]]},"page":"109-115","publisher":"Taylor &amp; Francis","title":"Short alkyl chain imidazolium ionic liquid additives in lubrication of three aluminium alloys with synthetic ester oil","type":"article-journal","volume":"6"},"uris":["http://www.mendeley.com/documents/?uuid=76cd865d-043c-3b01-a1db-96fd07b217e0"]}],"mendeley":{"formattedCitation":"[16]","plainTextFormattedCitation":"[16]","previouslyFormattedCitation":"[16]"},"properties":{"noteIndex":0},"schema":"https://github.com/citation-style-language/schema/raw/master/csl-citation.json"}</w:instrText>
      </w:r>
      <w:r>
        <w:fldChar w:fldCharType="separate"/>
      </w:r>
      <w:bookmarkStart w:id="18" w:name="__Fieldmark__608_2768839"/>
      <w:r>
        <w:rPr/>
        <w:t>[16]</w:t>
      </w:r>
      <w:r>
        <w:rPr/>
      </w:r>
      <w:r>
        <w:fldChar w:fldCharType="end"/>
      </w:r>
      <w:bookmarkEnd w:id="18"/>
      <w:r>
        <w:rPr/>
        <w:t xml:space="preserve">, Bononi and Giovanardi </w:t>
      </w:r>
      <w:r>
        <w:fldChar w:fldCharType="begin"/>
      </w:r>
      <w:r>
        <w:instrText>ADDIN CSL_CITATION {"citationItems":[{"id":"ITEM-1","itemData":{"DOI":"10.1016/J.CORSCI.2018.07.004","ISSN":"0010-938X","abstract":"The free-cutting Al-Cu-Pb-Bi alloy AA2011-T3 has been anodized in a traditional sulphuric bath with the aim of producing hard and uniform oxides of technological interest. H2SO4 concentration, electrolyte temperature, Al3+ concentration and current density have been modified. The effect of each process parameter has been evaluated through Potential-vs-time plot, coating hardness, coating thickness, volumetric expansion-ratio and coating defectiveness. SEM analysis has shown that Bi-based intermetallics are the main responsible for the severe defective state. Higher H2SO4 concentration and higher current density have improved coating hardness and defectiveness, however potentiodynamic polarizations have revealed that they do not enhance corrosion resistance.","author":[{"dropping-particle":"","family":"Bononi","given":"Massimiliano","non-dropping-particle":"","parse-names":false,"suffix":""},{"dropping-particle":"","family":"Giovanardi","given":"Roberto","non-dropping-particle":"","parse-names":false,"suffix":""}],"container-title":"Corrosion Science","id":"ITEM-1","issued":{"date-parts":[["2018","8","15"]]},"page":"63-71","publisher":"Pergamon","title":"Hard anodizing of AA2011-T3 Al-Cu-Pb-Bi free-cutting alloy: improvement of the process parameters","type":"article-journal","volume":"141"},"uris":["http://www.mendeley.com/documents/?uuid=22b14b7c-1d2e-358e-bf0a-eea007b8614c"]}],"mendeley":{"formattedCitation":"[17]","plainTextFormattedCitation":"[17]","previouslyFormattedCitation":"[17]"},"properties":{"noteIndex":0},"schema":"https://github.com/citation-style-language/schema/raw/master/csl-citation.json"}</w:instrText>
      </w:r>
      <w:r>
        <w:fldChar w:fldCharType="separate"/>
      </w:r>
      <w:bookmarkStart w:id="19" w:name="__Fieldmark__615_2768839"/>
      <w:r>
        <w:rPr/>
        <w:t>[17]</w:t>
      </w:r>
      <w:r>
        <w:rPr/>
      </w:r>
      <w:r>
        <w:fldChar w:fldCharType="end"/>
      </w:r>
      <w:bookmarkEnd w:id="19"/>
      <w:r>
        <w:rPr/>
        <w:t xml:space="preserve"> and others. Cardoso and Davim </w:t>
      </w:r>
      <w:r>
        <w:fldChar w:fldCharType="begin"/>
      </w:r>
      <w:r>
        <w:instrText>ADDIN CSL_CITATION {"citationItems":[{"id":"ITEM-1","itemData":{"DOI":"10.1080/10426914.2010.481002","ISBN":"Materials and Manufacturing Processes, Vol. 25, No. 10, October, 2010: pp. 1115–1119","ISSN":"1042-6914","abstract":"Micromilling is a process that utilizes end mills that typically vary in diameter from 100 to 1000 µm and have edge radii that vary from 1 to 10 µm. In the present article, the machining of microsurfaces on aluminium alloy is made, using conventional CNC (Computer numerical control) milling center and commercially available miniature tools. In order to perform a comprehensive study on the surface roughness of the machined surfaces cutting parameters such as feed rate as well as machining strategies were varied to optimisation micromilling.","author":[{"dropping-particle":"","family":"Cardoso","given":"P.","non-dropping-particle":"","parse-names":false,"suffix":""},{"dropping-particle":"","family":"Davim","given":"J.P.","non-dropping-particle":"","parse-names":false,"suffix":""}],"container-title":"Materials and Manufacturing Processes","id":"ITEM-1","issue":"10","issued":{"date-parts":[["2010","12","3"]]},"language":"en","page":"1115-1119","publisher":"Taylor &amp; Francis Group","title":"Optimization of Surface Roughness in Micromilling","type":"article-journal","volume":"25"},"suppress-author":1,"uris":["http://www.mendeley.com/documents/?uuid=dc4e30a8-b6ed-4b4b-9b76-f4ed89ebe601"]}],"mendeley":{"formattedCitation":"[18]","plainTextFormattedCitation":"[18]","previouslyFormattedCitation":"[18]"},"properties":{"noteIndex":0},"schema":"https://github.com/citation-style-language/schema/raw/master/csl-citation.json"}</w:instrText>
      </w:r>
      <w:r>
        <w:fldChar w:fldCharType="separate"/>
      </w:r>
      <w:bookmarkStart w:id="20" w:name="__Fieldmark__623_2768839"/>
      <w:r>
        <w:rPr/>
        <w:t>[18]</w:t>
      </w:r>
      <w:r>
        <w:rPr/>
      </w:r>
      <w:r>
        <w:fldChar w:fldCharType="end"/>
      </w:r>
      <w:bookmarkEnd w:id="20"/>
      <w:r>
        <w:rPr/>
        <w:t xml:space="preserve"> used the Al 2011 alloy in micro-milling due to its good machinability and mechanical properties.</w:t>
      </w:r>
    </w:p>
    <w:p>
      <w:pPr>
        <w:pStyle w:val="Articletext"/>
        <w:rPr/>
      </w:pPr>
      <w:r>
        <w:rPr/>
        <w:t xml:space="preserve">Although a big number of studies on aluminium machining are already available, there are still a limited number of studies on important topics such as the use of high feed rates in drilling of aluminium alloys. Some studies for improving productivity in the case of other machining processes were carried out by several researchers. For instance, Coelho </w:t>
      </w:r>
      <w:r>
        <w:rPr>
          <w:i/>
        </w:rPr>
        <w:t>et al</w:t>
      </w:r>
      <w:r>
        <w:rPr/>
        <w:t xml:space="preserve">. </w:t>
      </w:r>
      <w:r>
        <w:fldChar w:fldCharType="begin"/>
      </w:r>
      <w:r>
        <w:instrText>ADDIN CSL_CITATION {"citationItems":[{"id":"ITEM-1","itemData":{"DOI":"10.1007/s00170-009-2183-8","ISSN":"0268-3768","author":[{"dropping-particle":"","family":"Coelho","given":"R.T.","non-dropping-particle":"","parse-names":false,"suffix":""},{"dropping-particle":"","family":"Souza","given":"A.F.","non-dropping-particle":"","parse-names":false,"suffix":""},{"dropping-particle":"","family":"Roger","given":"A.R.","non-dropping-particle":"","parse-names":false,"suffix":""},{"dropping-particle":"","family":"Rigatti","given":"A.M.Y.","non-dropping-particle":"","parse-names":false,"suffix":""},{"dropping-particle":"","family":"Lima Ribeiro","given":"A.A.","non-dropping-particle":"","parse-names":false,"suffix":""}],"container-title":"The International Journal of Advanced Manufacturing Technology","id":"ITEM-1","issue":"9-12","issued":{"date-parts":[["2009","7","8"]]},"page":"1103-1111","title":"Mechanistic approach to predict real machining time for milling free-form geometries applying high feed rate","type":"article-journal","volume":"46"},"suppress-author":1,"uris":["http://www.mendeley.com/documents/?uuid=aba54fd6-fc3c-43ce-8218-a3330694e176"]}],"mendeley":{"formattedCitation":"[19]","plainTextFormattedCitation":"[19]","previouslyFormattedCitation":"[19]"},"properties":{"noteIndex":0},"schema":"https://github.com/citation-style-language/schema/raw/master/csl-citation.json"}</w:instrText>
      </w:r>
      <w:r>
        <w:fldChar w:fldCharType="separate"/>
      </w:r>
      <w:bookmarkStart w:id="21" w:name="__Fieldmark__659_2768839"/>
      <w:r>
        <w:rPr/>
        <w:t>[19]</w:t>
      </w:r>
      <w:r>
        <w:rPr/>
      </w:r>
      <w:r>
        <w:fldChar w:fldCharType="end"/>
      </w:r>
      <w:bookmarkEnd w:id="21"/>
      <w:r>
        <w:rPr/>
        <w:t xml:space="preserve"> and Hense </w:t>
      </w:r>
      <w:r>
        <w:rPr>
          <w:i/>
        </w:rPr>
        <w:t>et al</w:t>
      </w:r>
      <w:r>
        <w:rPr/>
        <w:t xml:space="preserve">. </w:t>
      </w:r>
      <w:r>
        <w:fldChar w:fldCharType="begin"/>
      </w:r>
      <w:r>
        <w:instrText>ADDIN CSL_CITATION {"citationItems":[{"id":"ITEM-1","itemData":{"DOI":"10.1007/s11740-014-0597-0","ISSN":"0944-6524","author":[{"dropping-particle":"","family":"Hense","given":"Rouven","non-dropping-particle":"","parse-names":false,"suffix":""},{"dropping-particle":"","family":"Wels","given":"Christoph","non-dropping-particle":"","parse-names":false,"suffix":""},{"dropping-particle":"","family":"Kersting","given":"Petra","non-dropping-particle":"","parse-names":false,"suffix":""},{"dropping-particle":"","family":"Vierzigmann","given":"Ulrich","non-dropping-particle":"","parse-names":false,"suffix":""},{"dropping-particle":"","family":"Löffler","given":"Maria","non-dropping-particle":"","parse-names":false,"suffix":""},{"dropping-particle":"","family":"Biermann","given":"Dirk","non-dropping-particle":"","parse-names":false,"suffix":""},{"dropping-particle":"","family":"Merklein","given":"Marion","non-dropping-particle":"","parse-names":false,"suffix":""}],"container-title":"Production Engineering","id":"ITEM-1","issue":"2","issued":{"date-parts":[["2015","4","12"]]},"page":"215-223","publisher":"Springer Berlin Heidelberg","title":"High-feed milling of tailored surfaces for sheet-bulk metal forming tools","type":"article-journal","volume":"9"},"suppress-author":1,"uris":["http://www.mendeley.com/documents/?uuid=dd1849b4-ada7-364f-acc6-f5993c38e1bf"]}],"mendeley":{"formattedCitation":"[20]","plainTextFormattedCitation":"[20]","previouslyFormattedCitation":"[20]"},"properties":{"noteIndex":0},"schema":"https://github.com/citation-style-language/schema/raw/master/csl-citation.json"}</w:instrText>
      </w:r>
      <w:r>
        <w:fldChar w:fldCharType="separate"/>
      </w:r>
      <w:bookmarkStart w:id="22" w:name="__Fieldmark__667_2768839"/>
      <w:r>
        <w:rPr/>
        <w:t>[20]</w:t>
      </w:r>
      <w:r>
        <w:rPr/>
      </w:r>
      <w:r>
        <w:fldChar w:fldCharType="end"/>
      </w:r>
      <w:bookmarkEnd w:id="22"/>
      <w:r>
        <w:rPr/>
        <w:t xml:space="preserve"> studied the use of high feed rate in milling. Biermann and Iovkov </w:t>
      </w:r>
      <w:r>
        <w:fldChar w:fldCharType="begin"/>
      </w:r>
      <w:r>
        <w:instrText>ADDIN CSL_CITATION {"citationItems":[{"id":"ITEM-1","itemData":{"DOI":"10.1016/j.cirp.2015.04.072","ISSN":"00078506","abstract":"Dry machining is frequently applied in cutting operations, in order to reduce the energy consumption and the production costs. In deep hole drilling operations minimum quantity lubrication (MQL) is used to obtain a reliable chip evacuation, since completely dry machining is not feasible. Due to the low cooling effect of MQL, the drilling process generates a high thermal load on the workpiece, which leads to thermally induced workpiece deformations. This paper presents fundamental experimental investigations on the workpiece temperature, the resulting in-process deformations and the achievable straightness accuracy of the borehole. The investigations focus on two different strategies for enhancing the deep hole drilling using MQL. Initially, a high-feed process guiding is introduced, in order to obtain a higher productivity and to reduce the heat input into the workpiece. The second approach is a novel radial spindle compensation, which performs a directional control of the straightness deviation of the deep hole.","author":[{"dropping-particle":"","family":"Biermann","given":"D.","non-dropping-particle":"","parse-names":false,"suffix":""},{"dropping-particle":"","family":"Iovkov","given":"I.","non-dropping-particle":"","parse-names":false,"suffix":""}],"container-title":"CIRP Annals - Manufacturing Technology","id":"ITEM-1","issue":"1","issued":{"date-parts":[["2015"]]},"page":"85-88","title":"Investigations on the thermal workpiece distortion in MQL deep hole drilling of an aluminium cast alloy","type":"article-journal","volume":"64"},"suppress-author":1,"uris":["http://www.mendeley.com/documents/?uuid=ddfc5535-1105-3f23-81cd-524fb468729c"]}],"mendeley":{"formattedCitation":"[21]","plainTextFormattedCitation":"[21]","previouslyFormattedCitation":"[21]"},"properties":{"noteIndex":0},"schema":"https://github.com/citation-style-language/schema/raw/master/csl-citation.json"}</w:instrText>
      </w:r>
      <w:r>
        <w:fldChar w:fldCharType="separate"/>
      </w:r>
      <w:bookmarkStart w:id="23" w:name="__Fieldmark__675_2768839"/>
      <w:r>
        <w:rPr/>
        <w:t>[21]</w:t>
      </w:r>
      <w:r>
        <w:rPr/>
      </w:r>
      <w:r>
        <w:fldChar w:fldCharType="end"/>
      </w:r>
      <w:bookmarkEnd w:id="23"/>
      <w:r>
        <w:rPr/>
        <w:t xml:space="preserve"> employed the high feed, feed rate between 1 and 4 mm, in the deep drilling of EN AC-46000 aluminium alloy. The authors observed that the heat flux was reduced when employing high feed, which improves the heat dispersion by the chips.</w:t>
      </w:r>
    </w:p>
    <w:p>
      <w:pPr>
        <w:pStyle w:val="Articletext"/>
        <w:rPr/>
      </w:pPr>
      <w:r>
        <w:rPr/>
        <w:t>The present study analyses the influence of the feed rate on the diameter and surface roughness obtained in the drilling of Al 2011 aluminium alloy, employing the feed rate suggested by the tool’s manufacturer, conventional feed, and a higher feed. Drilling was carried out in both dry and wet conditions using solid carbide drill with TiAlN coating. The objective of this work is to understand the problems associated to the use of high feed in a production process, particularly to evaluate the quality of the drilled workpieces.</w:t>
      </w:r>
    </w:p>
    <w:p>
      <w:pPr>
        <w:pStyle w:val="Articletext"/>
        <w:rPr/>
      </w:pPr>
      <w:r>
        <w:rPr/>
      </w:r>
    </w:p>
    <w:p>
      <w:pPr>
        <w:pStyle w:val="Articletext"/>
        <w:rPr/>
      </w:pPr>
      <w:r>
        <w:rPr/>
      </w:r>
    </w:p>
    <w:p>
      <w:pPr>
        <w:pStyle w:val="ArticleTitletext"/>
        <w:numPr>
          <w:ilvl w:val="0"/>
          <w:numId w:val="1"/>
        </w:numPr>
        <w:rPr/>
      </w:pPr>
      <w:r>
        <w:rPr/>
        <w:t>Materials and methods</w:t>
      </w:r>
    </w:p>
    <w:p>
      <w:pPr>
        <w:pStyle w:val="Articletext"/>
        <w:rPr/>
      </w:pPr>
      <w:r>
        <w:rPr/>
        <w:t>To perform the experiment, a Mikron VCE 500</w:t>
      </w:r>
      <w:r>
        <w:rPr>
          <w:vertAlign w:val="superscript"/>
        </w:rPr>
        <w:t>TM</w:t>
      </w:r>
      <w:r>
        <w:rPr/>
        <w:t xml:space="preserve"> CNC vertical machining centre, with 11 kW of power and maximum spindle speed of 7,500 rpm was used. The solid carbide and coating of TiAlN helicoidal drill from Sandvik was chosen, R846-0500-30-A1A 1220 CoroDrill</w:t>
      </w:r>
      <w:r>
        <w:rPr>
          <w:vertAlign w:val="superscript"/>
        </w:rPr>
        <w:t>TM</w:t>
      </w:r>
      <w:r>
        <w:rPr/>
        <w:t xml:space="preserve"> Delta-C. The tool diameter was of 5 mm and the chip flute length of 28 mm.</w:t>
      </w:r>
    </w:p>
    <w:p>
      <w:pPr>
        <w:pStyle w:val="Articletext"/>
        <w:rPr/>
      </w:pPr>
      <w:r>
        <w:rPr/>
        <w:t>For the conventional feed, the selection of the cutting parameters, cutting speed (</w:t>
      </w:r>
      <w:r>
        <w:rPr>
          <w:i/>
        </w:rPr>
        <w:t>v</w:t>
      </w:r>
      <w:r>
        <w:rPr>
          <w:i/>
          <w:vertAlign w:val="subscript"/>
        </w:rPr>
        <w:t>c</w:t>
      </w:r>
      <w:r>
        <w:rPr/>
        <w:t>) and feed rate (</w:t>
      </w:r>
      <w:r>
        <w:rPr>
          <w:i/>
        </w:rPr>
        <w:t>f</w:t>
      </w:r>
      <w:r>
        <w:rPr/>
        <w:t xml:space="preserve">), was based on the manufacturer’s catalogue. For the high feed, the cutting speed was fixed based on the manufacturer’s catalogue and the feed rate was increased about 8 times. However, the cutting parameters should be adjusted because of the limits of the machine tool. The experimental design was disbalanced with four corner points and one centre point. The tests were carried out randomly and all tests were replicated twice. The cooling condition was another input in this study, dry or wet (external flow) condition. Table 1 shows the design of experiments used in the drilling </w:t>
      </w:r>
      <w:bookmarkStart w:id="24" w:name="_Hlk496548464"/>
      <w:r>
        <w:rPr/>
        <w:t>of the Al 2011 aluminium alloy</w:t>
      </w:r>
      <w:bookmarkEnd w:id="24"/>
      <w:r>
        <w:rPr/>
        <w:t>.</w:t>
      </w:r>
    </w:p>
    <w:p>
      <w:pPr>
        <w:pStyle w:val="Articlefigure"/>
        <w:rPr/>
      </w:pPr>
      <w:r>
        <w:rPr/>
        <w:t xml:space="preserve">Table </w:t>
      </w:r>
      <w:r>
        <w:rPr/>
        <w:fldChar w:fldCharType="begin"/>
      </w:r>
      <w:r>
        <w:instrText> SEQ Table \* ARABIC </w:instrText>
      </w:r>
      <w:r>
        <w:fldChar w:fldCharType="separate"/>
      </w:r>
      <w:r>
        <w:t>1</w:t>
      </w:r>
      <w:r>
        <w:fldChar w:fldCharType="end"/>
      </w:r>
      <w:r>
        <w:rPr/>
        <w:t xml:space="preserve"> – Design of experiments used in the drilling of aluminium alloy</w:t>
      </w:r>
    </w:p>
    <w:tbl>
      <w:tblPr>
        <w:tblStyle w:val="Tabelacomgrade"/>
        <w:tblW w:w="6237" w:type="dxa"/>
        <w:jc w:val="center"/>
        <w:tblInd w:w="0" w:type="dxa"/>
        <w:tblCellMar>
          <w:top w:w="0" w:type="dxa"/>
          <w:left w:w="108" w:type="dxa"/>
          <w:bottom w:w="0" w:type="dxa"/>
          <w:right w:w="108" w:type="dxa"/>
        </w:tblCellMar>
        <w:tblLook w:val="04a0" w:noVBand="1" w:noHBand="0" w:lastColumn="0" w:firstColumn="1" w:lastRow="0" w:firstRow="1"/>
      </w:tblPr>
      <w:tblGrid>
        <w:gridCol w:w="1133"/>
        <w:gridCol w:w="852"/>
        <w:gridCol w:w="850"/>
        <w:gridCol w:w="851"/>
        <w:gridCol w:w="850"/>
        <w:gridCol w:w="852"/>
        <w:gridCol w:w="848"/>
      </w:tblGrid>
      <w:tr>
        <w:trPr/>
        <w:tc>
          <w:tcPr>
            <w:tcW w:w="1133" w:type="dxa"/>
            <w:vMerge w:val="restart"/>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Factor</w:t>
            </w:r>
          </w:p>
        </w:tc>
        <w:tc>
          <w:tcPr>
            <w:tcW w:w="2553" w:type="dxa"/>
            <w:gridSpan w:val="3"/>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Conventional feed</w:t>
            </w:r>
          </w:p>
        </w:tc>
        <w:tc>
          <w:tcPr>
            <w:tcW w:w="2550" w:type="dxa"/>
            <w:gridSpan w:val="3"/>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High feed</w:t>
            </w:r>
          </w:p>
        </w:tc>
      </w:tr>
      <w:tr>
        <w:trPr/>
        <w:tc>
          <w:tcPr>
            <w:tcW w:w="1133" w:type="dxa"/>
            <w:vMerge w:val="continue"/>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eastAsia="SimSun" w:cs="Calibri"/>
                <w:sz w:val="20"/>
                <w:szCs w:val="24"/>
                <w:lang w:val="en-GB" w:eastAsia="es-ES"/>
              </w:rPr>
            </w:pPr>
            <w:r>
              <w:rPr>
                <w:rFonts w:eastAsia="SimSun" w:cs="Calibri" w:ascii="Times New Roman" w:hAnsi="Times New Roman"/>
                <w:sz w:val="20"/>
                <w:szCs w:val="24"/>
                <w:lang w:val="en-GB" w:eastAsia="es-ES"/>
              </w:rPr>
            </w:r>
          </w:p>
        </w:tc>
        <w:tc>
          <w:tcPr>
            <w:tcW w:w="852"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1</w:t>
            </w:r>
          </w:p>
        </w:tc>
        <w:tc>
          <w:tcPr>
            <w:tcW w:w="850"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2</w:t>
            </w:r>
          </w:p>
        </w:tc>
        <w:tc>
          <w:tcPr>
            <w:tcW w:w="851"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3</w:t>
            </w:r>
          </w:p>
        </w:tc>
        <w:tc>
          <w:tcPr>
            <w:tcW w:w="850"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1</w:t>
            </w:r>
          </w:p>
        </w:tc>
        <w:tc>
          <w:tcPr>
            <w:tcW w:w="852"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2</w:t>
            </w:r>
          </w:p>
        </w:tc>
        <w:tc>
          <w:tcPr>
            <w:tcW w:w="848"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Level 3</w:t>
            </w:r>
          </w:p>
        </w:tc>
      </w:tr>
      <w:tr>
        <w:trPr/>
        <w:tc>
          <w:tcPr>
            <w:tcW w:w="1133"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Calibri" w:ascii="Times New Roman" w:hAnsi="Times New Roman"/>
                <w:i/>
                <w:sz w:val="20"/>
                <w:szCs w:val="24"/>
                <w:lang w:val="en-GB" w:eastAsia="es-ES"/>
              </w:rPr>
              <w:t>v</w:t>
            </w:r>
            <w:r>
              <w:rPr>
                <w:rFonts w:eastAsia="SimSun" w:cs="Calibri" w:ascii="Times New Roman" w:hAnsi="Times New Roman"/>
                <w:i/>
                <w:sz w:val="20"/>
                <w:szCs w:val="24"/>
                <w:vertAlign w:val="subscript"/>
                <w:lang w:val="en-GB" w:eastAsia="es-ES"/>
              </w:rPr>
              <w:t>c</w:t>
            </w:r>
            <w:r>
              <w:rPr>
                <w:rFonts w:eastAsia="SimSun" w:cs="Calibri" w:ascii="Times New Roman" w:hAnsi="Times New Roman"/>
                <w:sz w:val="20"/>
                <w:szCs w:val="24"/>
                <w:lang w:val="en-GB" w:eastAsia="es-ES"/>
              </w:rPr>
              <w:t xml:space="preserve"> (m/min)</w:t>
            </w:r>
          </w:p>
        </w:tc>
        <w:tc>
          <w:tcPr>
            <w:tcW w:w="852"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30</w:t>
            </w:r>
          </w:p>
        </w:tc>
        <w:tc>
          <w:tcPr>
            <w:tcW w:w="850"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70</w:t>
            </w:r>
          </w:p>
        </w:tc>
        <w:tc>
          <w:tcPr>
            <w:tcW w:w="851"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110</w:t>
            </w:r>
          </w:p>
        </w:tc>
        <w:tc>
          <w:tcPr>
            <w:tcW w:w="850"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30</w:t>
            </w:r>
          </w:p>
        </w:tc>
        <w:tc>
          <w:tcPr>
            <w:tcW w:w="852"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50</w:t>
            </w:r>
          </w:p>
        </w:tc>
        <w:tc>
          <w:tcPr>
            <w:tcW w:w="848" w:type="dxa"/>
            <w:tcBorders>
              <w:top w:val="single" w:sz="12" w:space="0" w:color="00000A"/>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70</w:t>
            </w:r>
          </w:p>
        </w:tc>
      </w:tr>
      <w:tr>
        <w:trPr/>
        <w:tc>
          <w:tcPr>
            <w:tcW w:w="1133"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Calibri" w:ascii="Times New Roman" w:hAnsi="Times New Roman"/>
                <w:i/>
                <w:sz w:val="20"/>
                <w:szCs w:val="24"/>
                <w:lang w:val="en-GB" w:eastAsia="es-ES"/>
              </w:rPr>
              <w:t>f</w:t>
            </w:r>
            <w:r>
              <w:rPr>
                <w:rFonts w:eastAsia="SimSun" w:cs="Calibri" w:ascii="Times New Roman" w:hAnsi="Times New Roman"/>
                <w:sz w:val="20"/>
                <w:szCs w:val="24"/>
                <w:lang w:val="en-GB" w:eastAsia="es-ES"/>
              </w:rPr>
              <w:t xml:space="preserve"> (mm/rev)</w:t>
            </w:r>
          </w:p>
        </w:tc>
        <w:tc>
          <w:tcPr>
            <w:tcW w:w="852"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0.15</w:t>
            </w:r>
          </w:p>
        </w:tc>
        <w:tc>
          <w:tcPr>
            <w:tcW w:w="850"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0.20</w:t>
            </w:r>
          </w:p>
        </w:tc>
        <w:tc>
          <w:tcPr>
            <w:tcW w:w="851"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0.25</w:t>
            </w:r>
          </w:p>
        </w:tc>
        <w:tc>
          <w:tcPr>
            <w:tcW w:w="850"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1.00</w:t>
            </w:r>
          </w:p>
        </w:tc>
        <w:tc>
          <w:tcPr>
            <w:tcW w:w="852"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1.50</w:t>
            </w:r>
          </w:p>
        </w:tc>
        <w:tc>
          <w:tcPr>
            <w:tcW w:w="848" w:type="dxa"/>
            <w:tcBorders>
              <w:top w:val="nil"/>
              <w:left w:val="nil"/>
              <w:bottom w:val="nil"/>
              <w:right w:val="nil"/>
              <w:insideH w:val="nil"/>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2.50</w:t>
            </w:r>
          </w:p>
        </w:tc>
      </w:tr>
      <w:tr>
        <w:trPr/>
        <w:tc>
          <w:tcPr>
            <w:tcW w:w="1133"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Cooling</w:t>
            </w:r>
          </w:p>
        </w:tc>
        <w:tc>
          <w:tcPr>
            <w:tcW w:w="852"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eastAsia="SimSun" w:cs="Calibri"/>
                <w:sz w:val="20"/>
                <w:szCs w:val="24"/>
                <w:lang w:val="en-GB" w:eastAsia="es-ES"/>
              </w:rPr>
            </w:pPr>
            <w:r>
              <w:rPr>
                <w:rFonts w:eastAsia="SimSun" w:cs="Calibri" w:ascii="Times New Roman" w:hAnsi="Times New Roman"/>
                <w:sz w:val="20"/>
                <w:szCs w:val="24"/>
                <w:lang w:val="en-GB" w:eastAsia="es-ES"/>
              </w:rPr>
            </w:r>
          </w:p>
        </w:tc>
        <w:tc>
          <w:tcPr>
            <w:tcW w:w="850"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Dry</w:t>
            </w:r>
          </w:p>
        </w:tc>
        <w:tc>
          <w:tcPr>
            <w:tcW w:w="851"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Wet</w:t>
            </w:r>
          </w:p>
        </w:tc>
        <w:tc>
          <w:tcPr>
            <w:tcW w:w="850"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eastAsia="SimSun" w:cs="Calibri"/>
                <w:sz w:val="20"/>
                <w:szCs w:val="24"/>
                <w:lang w:val="en-GB" w:eastAsia="es-ES"/>
              </w:rPr>
            </w:pPr>
            <w:r>
              <w:rPr>
                <w:rFonts w:eastAsia="SimSun" w:cs="Calibri" w:ascii="Times New Roman" w:hAnsi="Times New Roman"/>
                <w:sz w:val="20"/>
                <w:szCs w:val="24"/>
                <w:lang w:val="en-GB" w:eastAsia="es-ES"/>
              </w:rPr>
            </w:r>
          </w:p>
        </w:tc>
        <w:tc>
          <w:tcPr>
            <w:tcW w:w="852"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Dry</w:t>
            </w:r>
          </w:p>
        </w:tc>
        <w:tc>
          <w:tcPr>
            <w:tcW w:w="848" w:type="dxa"/>
            <w:tcBorders>
              <w:top w:val="nil"/>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0"/>
                <w:szCs w:val="24"/>
                <w:lang w:val="en-GB"/>
              </w:rPr>
            </w:pPr>
            <w:r>
              <w:rPr>
                <w:rFonts w:eastAsia="SimSun" w:cs="Times New Roman" w:ascii="Times New Roman" w:hAnsi="Times New Roman"/>
                <w:sz w:val="20"/>
                <w:szCs w:val="24"/>
                <w:lang w:val="en-GB" w:eastAsia="es-ES"/>
              </w:rPr>
              <w:t>Wet</w:t>
            </w:r>
          </w:p>
        </w:tc>
      </w:tr>
    </w:tbl>
    <w:p>
      <w:pPr>
        <w:pStyle w:val="Articletext"/>
        <w:rPr/>
      </w:pPr>
      <w:r>
        <w:rPr/>
      </w:r>
    </w:p>
    <w:p>
      <w:pPr>
        <w:pStyle w:val="Articletext"/>
        <w:rPr/>
      </w:pPr>
      <w:r>
        <w:rPr/>
        <w:t xml:space="preserve">The workpieces with a diameter of 25 mm and height of 10 mm were made in the Al 2011 aluminium alloy, which is an Al-Cu-Bi-Pb age-hardened alloy </w:t>
      </w:r>
      <w:r>
        <w:fldChar w:fldCharType="begin"/>
      </w:r>
      <w:r>
        <w:instrText>ADDIN CSL_CITATION {"citationItems":[{"id":"ITEM-1","itemData":{"DOI":"10.1080/10426914.2010.481002","ISBN":"Materials and Manufacturing Processes, Vol. 25, No. 10, October, 2010: pp. 1115–1119","ISSN":"1042-6914","abstract":"Micromilling is a process that utilizes end mills that typically vary in diameter from 100 to 1000 µm and have edge radii that vary from 1 to 10 µm. In the present article, the machining of microsurfaces on aluminium alloy is made, using conventional CNC (Computer numerical control) milling center and commercially available miniature tools. In order to perform a comprehensive study on the surface roughness of the machined surfaces cutting parameters such as feed rate as well as machining strategies were varied to optimisation micromilling.","author":[{"dropping-particle":"","family":"Cardoso","given":"P.","non-dropping-particle":"","parse-names":false,"suffix":""},{"dropping-particle":"","family":"Davim","given":"J.P.","non-dropping-particle":"","parse-names":false,"suffix":""}],"container-title":"Materials and Manufacturing Processes","id":"ITEM-1","issue":"10","issued":{"date-parts":[["2010","12","3"]]},"language":"en","page":"1115-1119","publisher":"Taylor &amp; Francis Group","title":"Optimization of Surface Roughness in Micromilling","type":"article-journal","volume":"25"},"uris":["http://www.mendeley.com/documents/?uuid=dc4e30a8-b6ed-4b4b-9b76-f4ed89ebe601"]}],"mendeley":{"formattedCitation":"[18]","plainTextFormattedCitation":"[18]","previouslyFormattedCitation":"[18]"},"properties":{"noteIndex":0},"schema":"https://github.com/citation-style-language/schema/raw/master/csl-citation.json"}</w:instrText>
      </w:r>
      <w:r>
        <w:fldChar w:fldCharType="separate"/>
      </w:r>
      <w:bookmarkStart w:id="25" w:name="__Fieldmark__1244_2768839"/>
      <w:r>
        <w:rPr/>
        <w:t>[18]</w:t>
      </w:r>
      <w:r>
        <w:rPr/>
      </w:r>
      <w:r>
        <w:fldChar w:fldCharType="end"/>
      </w:r>
      <w:bookmarkEnd w:id="25"/>
      <w:r>
        <w:rPr/>
        <w:t xml:space="preserve">. They were fixed using a chuck with a foam protector that was placed between the workpiece and the chuck for safe exit burr, </w:t>
      </w:r>
      <w:r>
        <w:rPr/>
        <w:fldChar w:fldCharType="begin"/>
      </w:r>
      <w:r>
        <w:instrText> REF _Ref496553458 \h </w:instrText>
      </w:r>
      <w:r>
        <w:fldChar w:fldCharType="separate"/>
      </w:r>
      <w:r>
        <w:t>Figure 1</w:t>
      </w:r>
      <w:r>
        <w:fldChar w:fldCharType="end"/>
      </w:r>
      <w:r>
        <w:rPr/>
        <w:t>. In each workpiece, three holes were drilled.</w:t>
      </w:r>
    </w:p>
    <w:p>
      <w:pPr>
        <w:pStyle w:val="Articleimage"/>
        <w:rPr>
          <w:lang w:val="en-GB"/>
        </w:rPr>
      </w:pPr>
      <w:r>
        <w:rPr/>
        <w:drawing>
          <wp:inline distT="0" distB="6985" distL="0" distR="8890">
            <wp:extent cx="2296160" cy="1840865"/>
            <wp:effectExtent l="0" t="0" r="0" b="0"/>
            <wp:docPr id="1" name="Imagem 1" descr="Uma imagem contend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interior&#10;&#10;Descrição gerada automaticamente"/>
                    <pic:cNvPicPr>
                      <a:picLocks noChangeAspect="1" noChangeArrowheads="1"/>
                    </pic:cNvPicPr>
                  </pic:nvPicPr>
                  <pic:blipFill>
                    <a:blip r:embed="rId3"/>
                    <a:srcRect l="0" t="5527" r="37762" b="5768"/>
                    <a:stretch>
                      <a:fillRect/>
                    </a:stretch>
                  </pic:blipFill>
                  <pic:spPr bwMode="auto">
                    <a:xfrm>
                      <a:off x="0" y="0"/>
                      <a:ext cx="2296160" cy="1840865"/>
                    </a:xfrm>
                    <a:prstGeom prst="rect">
                      <a:avLst/>
                    </a:prstGeom>
                  </pic:spPr>
                </pic:pic>
              </a:graphicData>
            </a:graphic>
          </wp:inline>
        </w:drawing>
      </w:r>
    </w:p>
    <w:p>
      <w:pPr>
        <w:pStyle w:val="Articlefigure"/>
        <w:rPr/>
      </w:pPr>
      <w:bookmarkStart w:id="26" w:name="_Ref496553458"/>
      <w:r>
        <w:rPr/>
        <w:t xml:space="preserve">Figure </w:t>
      </w:r>
      <w:r>
        <w:rPr/>
        <w:fldChar w:fldCharType="begin"/>
      </w:r>
      <w:r>
        <w:instrText> SEQ Figure \* ARABIC </w:instrText>
      </w:r>
      <w:r>
        <w:fldChar w:fldCharType="separate"/>
      </w:r>
      <w:r>
        <w:t>1</w:t>
      </w:r>
      <w:r>
        <w:fldChar w:fldCharType="end"/>
      </w:r>
      <w:bookmarkEnd w:id="26"/>
      <w:r>
        <w:rPr/>
        <w:t xml:space="preserve"> – Clamping of the workpiece</w:t>
      </w:r>
    </w:p>
    <w:p>
      <w:pPr>
        <w:pStyle w:val="Articletext"/>
        <w:rPr/>
      </w:pPr>
      <w:r>
        <w:rPr/>
        <w:t>Surface roughness was measured using a Hommel Tester</w:t>
      </w:r>
      <w:r>
        <w:rPr>
          <w:vertAlign w:val="superscript"/>
        </w:rPr>
        <w:t>TM</w:t>
      </w:r>
      <w:r>
        <w:rPr/>
        <w:t xml:space="preserve"> T1000 profilometer. For each repetition, the </w:t>
      </w:r>
      <w:r>
        <w:rPr>
          <w:i/>
        </w:rPr>
        <w:t>R</w:t>
      </w:r>
      <w:r>
        <w:rPr>
          <w:i/>
          <w:vertAlign w:val="subscript"/>
        </w:rPr>
        <w:t>a</w:t>
      </w:r>
      <w:r>
        <w:rPr/>
        <w:t xml:space="preserve">, </w:t>
      </w:r>
      <w:r>
        <w:rPr>
          <w:i/>
        </w:rPr>
        <w:t>R</w:t>
      </w:r>
      <w:r>
        <w:rPr>
          <w:i/>
          <w:vertAlign w:val="subscript"/>
        </w:rPr>
        <w:t>t</w:t>
      </w:r>
      <w:r>
        <w:rPr/>
        <w:t xml:space="preserve">, and </w:t>
      </w:r>
      <w:r>
        <w:rPr>
          <w:i/>
        </w:rPr>
        <w:t>R</w:t>
      </w:r>
      <w:r>
        <w:rPr>
          <w:i/>
          <w:vertAlign w:val="subscript"/>
        </w:rPr>
        <w:t>z</w:t>
      </w:r>
      <w:r>
        <w:rPr/>
        <w:t xml:space="preserve"> (DIN) profiles were measured at angles of 120º. The quality of the hole (diameter and the exit burr) was analysed with a Mitutoyo</w:t>
      </w:r>
      <w:r>
        <w:rPr>
          <w:vertAlign w:val="superscript"/>
        </w:rPr>
        <w:t>TM</w:t>
      </w:r>
      <w:r>
        <w:rPr/>
        <w:t xml:space="preserve"> microscope model TM-510 equipped with a Moticam 2.0 CMOS cam (Motic</w:t>
      </w:r>
      <w:r>
        <w:rPr>
          <w:vertAlign w:val="superscript"/>
        </w:rPr>
        <w:t>TM</w:t>
      </w:r>
      <w:r>
        <w:rPr/>
        <w:t>), Motic</w:t>
      </w:r>
      <w:r>
        <w:rPr>
          <w:vertAlign w:val="superscript"/>
        </w:rPr>
        <w:t>TM</w:t>
      </w:r>
      <w:r>
        <w:rPr/>
        <w:t xml:space="preserve"> MLC-150 fibre optic illuminator, and Motic</w:t>
      </w:r>
      <w:r>
        <w:rPr>
          <w:vertAlign w:val="superscript"/>
        </w:rPr>
        <w:t>TM</w:t>
      </w:r>
      <w:r>
        <w:rPr/>
        <w:t xml:space="preserve"> Images Plus 2.0 software. The diameter of the hole was calculated by the average of the parts measured, </w:t>
      </w:r>
      <w:r>
        <w:rPr/>
        <w:fldChar w:fldCharType="begin"/>
      </w:r>
      <w:r>
        <w:instrText> REF _Ref509416628 \h </w:instrText>
      </w:r>
      <w:r>
        <w:fldChar w:fldCharType="separate"/>
      </w:r>
      <w:r>
        <w:t>Figure 2</w:t>
      </w:r>
      <w:r>
        <w:fldChar w:fldCharType="end"/>
      </w:r>
      <w:r>
        <w:rPr/>
        <w:t>.</w:t>
      </w:r>
    </w:p>
    <w:p>
      <w:pPr>
        <w:pStyle w:val="Articleimage"/>
        <w:rPr/>
      </w:pPr>
      <w:r>
        <w:rPr/>
        <w:drawing>
          <wp:inline distT="0" distB="8890" distL="0" distR="635">
            <wp:extent cx="4247515" cy="2010410"/>
            <wp:effectExtent l="0" t="0" r="0" b="0"/>
            <wp:docPr id="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
                    <pic:cNvPicPr>
                      <a:picLocks noChangeAspect="1" noChangeArrowheads="1"/>
                    </pic:cNvPicPr>
                  </pic:nvPicPr>
                  <pic:blipFill>
                    <a:blip r:embed="rId4"/>
                    <a:srcRect l="0" t="0" r="0" b="15854"/>
                    <a:stretch>
                      <a:fillRect/>
                    </a:stretch>
                  </pic:blipFill>
                  <pic:spPr bwMode="auto">
                    <a:xfrm>
                      <a:off x="0" y="0"/>
                      <a:ext cx="4247515" cy="2010410"/>
                    </a:xfrm>
                    <a:prstGeom prst="rect">
                      <a:avLst/>
                    </a:prstGeom>
                  </pic:spPr>
                </pic:pic>
              </a:graphicData>
            </a:graphic>
          </wp:inline>
        </w:drawing>
      </w:r>
    </w:p>
    <w:p>
      <w:pPr>
        <w:pStyle w:val="Articlefigure"/>
        <w:rPr/>
      </w:pPr>
      <w:bookmarkStart w:id="27" w:name="_Ref509416628"/>
      <w:r>
        <w:rPr/>
        <w:t xml:space="preserve">Figure </w:t>
      </w:r>
      <w:r>
        <w:rPr/>
        <w:fldChar w:fldCharType="begin"/>
      </w:r>
      <w:r>
        <w:instrText> SEQ Figure \* ARABIC </w:instrText>
      </w:r>
      <w:r>
        <w:fldChar w:fldCharType="separate"/>
      </w:r>
      <w:r>
        <w:t>2</w:t>
      </w:r>
      <w:r>
        <w:fldChar w:fldCharType="end"/>
      </w:r>
      <w:bookmarkEnd w:id="27"/>
      <w:r>
        <w:rPr/>
        <w:t xml:space="preserve"> – Example of the measurement of the hole</w:t>
      </w:r>
    </w:p>
    <w:p>
      <w:pPr>
        <w:pStyle w:val="Articletext"/>
        <w:rPr/>
      </w:pPr>
      <w:r>
        <w:rPr/>
        <w:t xml:space="preserve">The optimum conditions, for each output, were defined using the mean signal-to-noise (S/N) ratio (smaller is better). To determine the values of the outputs in the combination not performed, models were developed using multiple regression to obtain these values, Eq. 1 to Eq. 8. </w:t>
      </w:r>
    </w:p>
    <w:p>
      <w:pPr>
        <w:pStyle w:val="Articletext"/>
        <w:rPr/>
      </w:pPr>
      <w:r>
        <w:rPr/>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a</m:t>
                </m:r>
              </m:e>
              <m:sub>
                <m:r>
                  <w:rPr>
                    <w:rFonts w:ascii="Cambria Math" w:hAnsi="Cambria Math"/>
                  </w:rPr>
                  <m:t xml:space="preserve">Conv</m:t>
                </m:r>
              </m:sub>
            </m:sSub>
          </m:sub>
        </m:sSub>
        <m:r>
          <w:rPr>
            <w:rFonts w:ascii="Cambria Math" w:hAnsi="Cambria Math"/>
          </w:rPr>
          <m:t xml:space="preserve">=</m:t>
        </m:r>
        <m:r>
          <w:rPr>
            <w:rFonts w:ascii="Cambria Math" w:hAnsi="Cambria Math"/>
          </w:rPr>
          <m:t xml:space="preserve">−</m:t>
        </m:r>
        <m:r>
          <w:rPr>
            <w:rFonts w:ascii="Cambria Math" w:hAnsi="Cambria Math"/>
          </w:rPr>
          <m:t xml:space="preserve">0.768</m:t>
        </m:r>
        <m:r>
          <w:rPr>
            <w:rFonts w:ascii="Cambria Math" w:hAnsi="Cambria Math"/>
          </w:rPr>
          <m:t xml:space="preserve">+</m:t>
        </m:r>
        <m:r>
          <w:rPr>
            <w:rFonts w:ascii="Cambria Math" w:hAnsi="Cambria Math"/>
          </w:rPr>
          <m:t xml:space="preserve">28.89</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6,905</m:t>
        </m:r>
        <m:r>
          <w:rPr>
            <w:rFonts w:ascii="Cambria Math" w:hAnsi="Cambria Math"/>
          </w:rPr>
          <m:t xml:space="preserve">f</m:t>
        </m:r>
        <m:r>
          <w:rPr>
            <w:rFonts w:ascii="Cambria Math" w:hAnsi="Cambria Math"/>
          </w:rPr>
          <m:t xml:space="preserve">−</m:t>
        </m:r>
        <m:r>
          <w:rPr>
            <w:rFonts w:ascii="Cambria Math" w:hAnsi="Cambria Math"/>
          </w:rPr>
          <m:t xml:space="preserve">0,103</m:t>
        </m:r>
        <m:r>
          <w:rPr>
            <w:rFonts w:ascii="Cambria Math" w:hAnsi="Cambria Math"/>
          </w:rPr>
          <m:t xml:space="preserve">Cooling</m:t>
        </m:r>
        <m:r>
          <w:rPr>
            <w:rFonts w:ascii="Cambria Math" w:hAnsi="Cambria Math"/>
          </w:rPr>
          <m:t xml:space="preserve">−</m:t>
        </m:r>
        <m:r>
          <w:rPr>
            <w:rFonts w:ascii="Cambria Math" w:hAnsi="Cambria Math"/>
          </w:rPr>
          <m:t xml:space="preserve">0,000152</m:t>
        </m:r>
        <m:r>
          <w:rPr>
            <w:rFonts w:ascii="Cambria Math" w:hAnsi="Cambria Math"/>
          </w:rPr>
          <m:t xml:space="preserve">Vc</m:t>
        </m:r>
        <m:r>
          <w:rPr>
            <w:rFonts w:ascii="Cambria Math" w:hAnsi="Cambria Math"/>
          </w:rPr>
          <m:t xml:space="preserve">∗</m:t>
        </m:r>
        <m:r>
          <w:rPr>
            <w:rFonts w:ascii="Cambria Math" w:hAnsi="Cambria Math"/>
          </w:rPr>
          <m:t xml:space="preserve">Vc</m:t>
        </m:r>
        <m:r>
          <w:rPr>
            <w:rFonts w:ascii="Cambria Math" w:hAnsi="Cambria Math"/>
          </w:rPr>
          <m:t xml:space="preserve">−</m:t>
        </m:r>
        <m:r>
          <w:rPr>
            <w:rFonts w:ascii="Cambria Math" w:hAnsi="Cambria Math"/>
          </w:rPr>
          <m:t xml:space="preserve">0,06032</m:t>
        </m:r>
        <m:r>
          <w:rPr>
            <w:rFonts w:ascii="Cambria Math" w:hAnsi="Cambria Math"/>
          </w:rPr>
          <m:t xml:space="preserve">Vc</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0,000376</m:t>
        </m:r>
        <m:r>
          <w:rPr>
            <w:rFonts w:ascii="Cambria Math" w:hAnsi="Cambria Math"/>
          </w:rPr>
          <m:t xml:space="preserve">Vc</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2,051</m:t>
        </m:r>
        <m:r>
          <w:rPr>
            <w:rFonts w:ascii="Cambria Math" w:hAnsi="Cambria Math"/>
          </w:rPr>
          <m:t xml:space="preserve">f</m:t>
        </m:r>
        <m:r>
          <w:rPr>
            <w:rFonts w:ascii="Cambria Math" w:hAnsi="Cambria Math"/>
          </w:rPr>
          <m:t xml:space="preserve">∗</m:t>
        </m:r>
        <m:r>
          <w:rPr>
            <w:rFonts w:ascii="Cambria Math" w:hAnsi="Cambria Math"/>
          </w:rPr>
          <m:t xml:space="preserve">Cooling</m:t>
        </m:r>
        <m:r>
          <w:rPr>
            <w:rFonts w:ascii="Cambria Math" w:hAnsi="Cambria Math"/>
          </w:rPr>
          <m:t xml:space="preserve">0.396</m:t>
        </m:r>
        <m:r>
          <w:rPr>
            <w:rFonts w:ascii="Cambria Math" w:hAnsi="Cambria Math"/>
          </w:rPr>
          <m:t xml:space="preserve">−</m:t>
        </m:r>
        <m:r>
          <w:rPr>
            <w:rFonts w:ascii="Cambria Math" w:hAnsi="Cambria Math"/>
          </w:rPr>
          <m:t xml:space="preserve">4.97</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3.919</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0.298</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1)</w:t>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t</m:t>
                </m:r>
              </m:e>
              <m:sub>
                <m:r>
                  <w:rPr>
                    <w:rFonts w:ascii="Cambria Math" w:hAnsi="Cambria Math"/>
                  </w:rPr>
                  <m:t xml:space="preserve">Conv</m:t>
                </m:r>
              </m:sub>
            </m:sSub>
          </m:sub>
        </m:sSub>
        <m:r>
          <w:rPr>
            <w:rFonts w:ascii="Cambria Math" w:hAnsi="Cambria Math"/>
          </w:rPr>
          <m:t xml:space="preserve">=</m:t>
        </m:r>
        <m:r>
          <w:rPr>
            <w:rFonts w:ascii="Cambria Math" w:hAnsi="Cambria Math"/>
          </w:rPr>
          <m:t xml:space="preserve">−</m:t>
        </m:r>
        <m:r>
          <w:rPr>
            <w:rFonts w:ascii="Cambria Math" w:hAnsi="Cambria Math"/>
          </w:rPr>
          <m:t xml:space="preserve">6.84</m:t>
        </m:r>
        <m:r>
          <w:rPr>
            <w:rFonts w:ascii="Cambria Math" w:hAnsi="Cambria Math"/>
          </w:rPr>
          <m:t xml:space="preserve">+</m:t>
        </m:r>
        <m:r>
          <w:rPr>
            <w:rFonts w:ascii="Cambria Math" w:hAnsi="Cambria Math"/>
          </w:rPr>
          <m:t xml:space="preserve">0.2376</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74.0</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0.57</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1.277</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0.584</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23.2</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3.1</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2)</w:t>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z</m:t>
                </m:r>
              </m:e>
              <m:sub>
                <m:r>
                  <w:rPr>
                    <w:rFonts w:ascii="Cambria Math" w:hAnsi="Cambria Math"/>
                  </w:rPr>
                  <m:t xml:space="preserve">Conv</m:t>
                </m:r>
              </m:sub>
            </m:sSub>
          </m:sub>
        </m:sSub>
        <m:r>
          <w:rPr>
            <w:rFonts w:ascii="Cambria Math" w:hAnsi="Cambria Math"/>
          </w:rPr>
          <m:t xml:space="preserve">=</m:t>
        </m:r>
        <m:r>
          <w:rPr>
            <w:rFonts w:ascii="Cambria Math" w:hAnsi="Cambria Math"/>
          </w:rPr>
          <m:t xml:space="preserve">−</m:t>
        </m:r>
        <m:r>
          <w:rPr>
            <w:rFonts w:ascii="Cambria Math" w:hAnsi="Cambria Math"/>
          </w:rPr>
          <m:t xml:space="preserve">4.15</m:t>
        </m:r>
        <m:r>
          <w:rPr>
            <w:rFonts w:ascii="Cambria Math" w:hAnsi="Cambria Math"/>
          </w:rPr>
          <m:t xml:space="preserve">+</m:t>
        </m:r>
        <m:r>
          <w:rPr>
            <w:rFonts w:ascii="Cambria Math" w:hAnsi="Cambria Math"/>
          </w:rPr>
          <m:t xml:space="preserve">0.164</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45.62</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0.09</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0.941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0.347</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0.013</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0.29</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3)</w:t>
      </w:r>
    </w:p>
    <w:p>
      <w:pPr>
        <w:pStyle w:val="Articletext"/>
        <w:ind w:hanging="0"/>
        <w:rPr>
          <w:rFonts w:eastAsia="Times New Roman"/>
        </w:rPr>
      </w:pPr>
      <w:r>
        <w:rPr/>
      </w:r>
      <m:oMath xmlns:m="http://schemas.openxmlformats.org/officeDocument/2006/math">
        <m:sSub>
          <m:e>
            <m:r>
              <w:rPr>
                <w:rFonts w:ascii="Cambria Math" w:hAnsi="Cambria Math"/>
              </w:rPr>
              <m:t xml:space="preserve">D</m:t>
            </m:r>
          </m:e>
          <m:sub>
            <m:r>
              <w:rPr>
                <w:rFonts w:ascii="Cambria Math" w:hAnsi="Cambria Math"/>
              </w:rPr>
              <m:t xml:space="preserve">Conv</m:t>
            </m:r>
          </m:sub>
        </m:sSub>
        <m:r>
          <w:rPr>
            <w:rFonts w:ascii="Cambria Math" w:hAnsi="Cambria Math"/>
          </w:rPr>
          <m:t xml:space="preserve">=</m:t>
        </m:r>
        <m:r>
          <w:rPr>
            <w:rFonts w:ascii="Cambria Math" w:hAnsi="Cambria Math"/>
          </w:rPr>
          <m:t xml:space="preserve">6,052</m:t>
        </m:r>
        <m:r>
          <w:rPr>
            <w:rFonts w:ascii="Cambria Math" w:hAnsi="Cambria Math"/>
          </w:rPr>
          <m:t xml:space="preserve">−</m:t>
        </m:r>
        <m:r>
          <w:rPr>
            <w:rFonts w:ascii="Cambria Math" w:hAnsi="Cambria Math"/>
          </w:rPr>
          <m:t xml:space="preserve">10.1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2,85</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0,005</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14</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42.8</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0,94</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0,62</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4)</w:t>
      </w:r>
    </w:p>
    <w:p>
      <w:pPr>
        <w:pStyle w:val="Articletext"/>
        <w:rPr>
          <w:rFonts w:eastAsia="Times New Roman"/>
        </w:rPr>
      </w:pPr>
      <w:r>
        <w:rPr>
          <w:rFonts w:eastAsia="Times New Roman"/>
        </w:rPr>
      </w:r>
    </w:p>
    <w:p>
      <w:pPr>
        <w:pStyle w:val="Articletext"/>
        <w:rPr/>
      </w:pPr>
      <w:r>
        <w:rPr/>
        <w:t xml:space="preserve">where, </w:t>
      </w:r>
      <w:r>
        <w:rPr>
          <w:i/>
        </w:rPr>
        <w:t>v</w:t>
      </w:r>
      <w:r>
        <w:rPr>
          <w:i/>
          <w:vertAlign w:val="subscript"/>
        </w:rPr>
        <w:t>c</w:t>
      </w:r>
      <w:r>
        <w:rPr/>
        <w:t xml:space="preserve"> is the cutting speed (between 30 and 110 m/min); </w:t>
      </w:r>
      <w:r>
        <w:rPr>
          <w:i/>
        </w:rPr>
        <w:t>f</w:t>
      </w:r>
      <w:r>
        <w:rPr/>
        <w:t xml:space="preserve"> is the feed rate (between 0.15 and 0.25 mm/rev); and cooling is the use of cutting fluid, 0 (dry) or 1 (wet).</w:t>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a</m:t>
                </m:r>
              </m:e>
              <m:sub>
                <m:r>
                  <w:rPr>
                    <w:rFonts w:ascii="Cambria Math" w:hAnsi="Cambria Math"/>
                  </w:rPr>
                  <m:t xml:space="preserve">High</m:t>
                </m:r>
              </m:sub>
            </m:sSub>
          </m:sub>
        </m:sSub>
        <m:r>
          <w:rPr>
            <w:rFonts w:ascii="Cambria Math" w:hAnsi="Cambria Math"/>
          </w:rPr>
          <m:t xml:space="preserve">=</m:t>
        </m:r>
        <m:r>
          <w:rPr>
            <w:rFonts w:ascii="Cambria Math" w:hAnsi="Cambria Math"/>
          </w:rPr>
          <m:t xml:space="preserve">−</m:t>
        </m:r>
        <m:r>
          <w:rPr>
            <w:rFonts w:ascii="Cambria Math" w:hAnsi="Cambria Math"/>
          </w:rPr>
          <m:t xml:space="preserve">64.2</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2.983</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1.267</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5.672</m:t>
        </m:r>
        <m:r>
          <w:rPr>
            <w:rFonts w:ascii="Cambria Math" w:hAnsi="Cambria Math"/>
          </w:rPr>
          <m:t xml:space="preserve">+</m:t>
        </m:r>
        <m:r>
          <w:rPr>
            <w:rFonts w:ascii="Cambria Math" w:hAnsi="Cambria Math"/>
          </w:rPr>
          <m:t xml:space="preserve">0.402</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p>
          <m:e>
            <m:sSub>
              <m:e>
                <m:r>
                  <w:rPr>
                    <w:rFonts w:ascii="Cambria Math" w:hAnsi="Cambria Math"/>
                  </w:rPr>
                  <m:t xml:space="preserve">v</m:t>
                </m:r>
              </m:e>
              <m:sub>
                <m:r>
                  <w:rPr>
                    <w:rFonts w:ascii="Cambria Math" w:hAnsi="Cambria Math"/>
                  </w:rPr>
                  <m:t xml:space="preserve">c</m:t>
                </m:r>
              </m:sub>
            </m:sSub>
          </m:e>
          <m:sup>
            <m:r>
              <w:rPr>
                <w:rFonts w:ascii="Cambria Math" w:hAnsi="Cambria Math"/>
              </w:rPr>
              <m:t xml:space="preserve">2</m:t>
            </m:r>
          </m:sup>
        </m:sSup>
        <m:r>
          <w:rPr>
            <w:rFonts w:ascii="Cambria Math" w:hAnsi="Cambria Math"/>
          </w:rPr>
          <m:t xml:space="preserve">+</m:t>
        </m:r>
        <m:r>
          <w:rPr>
            <w:rFonts w:ascii="Cambria Math" w:hAnsi="Cambria Math"/>
          </w:rPr>
          <m:t xml:space="preserve">0.813</m:t>
        </m:r>
        <m:r>
          <w:rPr>
            <w:rFonts w:ascii="Cambria Math" w:hAnsi="Cambria Math"/>
          </w:rPr>
          <m:t xml:space="preserve">∗</m:t>
        </m:r>
        <m:sSup>
          <m:e>
            <m:r>
              <w:rPr>
                <w:rFonts w:ascii="Cambria Math" w:hAnsi="Cambria Math"/>
              </w:rPr>
              <m:t xml:space="preserve">f</m:t>
            </m:r>
          </m:e>
          <m:sup>
            <m:r>
              <w:rPr>
                <w:rFonts w:ascii="Cambria Math" w:hAnsi="Cambria Math"/>
              </w:rPr>
              <m:t xml:space="preserve">2</m:t>
            </m:r>
          </m:sup>
        </m:sSup>
        <m:r>
          <w:rPr>
            <w:rFonts w:ascii="Cambria Math" w:hAnsi="Cambria Math"/>
          </w:rPr>
          <m:t xml:space="preserve">+</m:t>
        </m:r>
        <m:r>
          <w:rPr>
            <w:rFonts w:ascii="Cambria Math" w:hAnsi="Cambria Math"/>
          </w:rPr>
          <m:t xml:space="preserve">9.83</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0.126</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5)</w:t>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t</m:t>
                </m:r>
              </m:e>
              <m:sub>
                <m:r>
                  <w:rPr>
                    <w:rFonts w:ascii="Cambria Math" w:hAnsi="Cambria Math"/>
                  </w:rPr>
                  <m:t xml:space="preserve">High</m:t>
                </m:r>
              </m:sub>
            </m:sSub>
          </m:sub>
        </m:sSub>
        <m:r>
          <w:rPr>
            <w:rFonts w:ascii="Cambria Math" w:hAnsi="Cambria Math"/>
          </w:rPr>
          <m:t xml:space="preserve">=</m:t>
        </m:r>
        <m:r>
          <w:rPr>
            <w:rFonts w:ascii="Cambria Math" w:hAnsi="Cambria Math"/>
          </w:rPr>
          <m:t xml:space="preserve">22.4</m:t>
        </m:r>
        <m:r>
          <w:rPr>
            <w:rFonts w:ascii="Cambria Math" w:hAnsi="Cambria Math"/>
          </w:rPr>
          <m:t xml:space="preserve">−</m:t>
        </m:r>
        <m:r>
          <w:rPr>
            <w:rFonts w:ascii="Cambria Math" w:hAnsi="Cambria Math"/>
          </w:rPr>
          <m:t xml:space="preserve">0.063</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7.5</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0.22</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0.95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2.81</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5.4</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3.64</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6)</w:t>
      </w:r>
    </w:p>
    <w:p>
      <w:pPr>
        <w:pStyle w:val="Articletext"/>
        <w:ind w:hanging="0"/>
        <w:rPr>
          <w:rFonts w:eastAsia="Times New Roman"/>
        </w:rPr>
      </w:pPr>
      <w:r>
        <w:rPr/>
      </w:r>
      <m:oMath xmlns:m="http://schemas.openxmlformats.org/officeDocument/2006/math">
        <m:sSub>
          <m:e>
            <m:r>
              <w:rPr>
                <w:rFonts w:ascii="Cambria Math" w:hAnsi="Cambria Math"/>
              </w:rPr>
              <m:t xml:space="preserve">R</m:t>
            </m:r>
          </m:e>
          <m:sub>
            <m:sSub>
              <m:e>
                <m:r>
                  <w:rPr>
                    <w:rFonts w:ascii="Cambria Math" w:hAnsi="Cambria Math"/>
                  </w:rPr>
                  <m:t xml:space="preserve">z</m:t>
                </m:r>
              </m:e>
              <m:sub>
                <m:r>
                  <w:rPr>
                    <w:rFonts w:ascii="Cambria Math" w:hAnsi="Cambria Math"/>
                  </w:rPr>
                  <m:t xml:space="preserve">High</m:t>
                </m:r>
              </m:sub>
            </m:sSub>
          </m:sub>
        </m:sSub>
        <m:r>
          <w:rPr>
            <w:rFonts w:ascii="Cambria Math" w:hAnsi="Cambria Math"/>
          </w:rPr>
          <m:t xml:space="preserve">=</m:t>
        </m:r>
        <m:r>
          <w:rPr>
            <w:rFonts w:ascii="Cambria Math" w:hAnsi="Cambria Math"/>
          </w:rPr>
          <m:t xml:space="preserve">24.24</m:t>
        </m:r>
        <m:r>
          <w:rPr>
            <w:rFonts w:ascii="Cambria Math" w:hAnsi="Cambria Math"/>
          </w:rPr>
          <m:t xml:space="preserve">−</m:t>
        </m:r>
        <m:r>
          <w:rPr>
            <w:rFonts w:ascii="Cambria Math" w:hAnsi="Cambria Math"/>
          </w:rPr>
          <m:t xml:space="preserve">0.227</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13.49</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1.95</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1.51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4.02</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0.041</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1.85</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7)</w:t>
      </w:r>
    </w:p>
    <w:p>
      <w:pPr>
        <w:pStyle w:val="Articletext"/>
        <w:ind w:hanging="0"/>
        <w:rPr>
          <w:rFonts w:eastAsia="Times New Roman"/>
        </w:rPr>
      </w:pPr>
      <w:r>
        <w:rPr/>
      </w:r>
      <m:oMath xmlns:m="http://schemas.openxmlformats.org/officeDocument/2006/math">
        <m:sSub>
          <m:e>
            <m:r>
              <w:rPr>
                <w:rFonts w:ascii="Cambria Math" w:hAnsi="Cambria Math"/>
              </w:rPr>
              <m:t xml:space="preserve">D</m:t>
            </m:r>
          </m:e>
          <m:sub>
            <m:r>
              <w:rPr>
                <w:rFonts w:ascii="Cambria Math" w:hAnsi="Cambria Math"/>
              </w:rPr>
              <m:t xml:space="preserve">High</m:t>
            </m:r>
          </m:sub>
        </m:sSub>
        <m:r>
          <w:rPr>
            <w:rFonts w:ascii="Cambria Math" w:hAnsi="Cambria Math"/>
          </w:rPr>
          <m:t xml:space="preserve">=</m:t>
        </m:r>
        <m:r>
          <w:rPr>
            <w:rFonts w:ascii="Cambria Math" w:hAnsi="Cambria Math"/>
          </w:rPr>
          <m:t xml:space="preserve">6.728</m:t>
        </m:r>
        <m:r>
          <w:rPr>
            <w:rFonts w:ascii="Cambria Math" w:hAnsi="Cambria Math"/>
          </w:rPr>
          <m:t xml:space="preserve">−</m:t>
        </m:r>
        <m:r>
          <w:rPr>
            <w:rFonts w:ascii="Cambria Math" w:hAnsi="Cambria Math"/>
          </w:rPr>
          <m:t xml:space="preserve">0.024</m:t>
        </m:r>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0.545</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0.421</m:t>
        </m:r>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0.195</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0.105</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3.12</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3</m:t>
            </m:r>
          </m:sup>
        </m:sSup>
        <m:r>
          <w:rPr>
            <w:rFonts w:ascii="Cambria Math" w:hAnsi="Cambria Math"/>
          </w:rPr>
          <m:t xml:space="preserve">∗</m:t>
        </m:r>
        <m:sSub>
          <m:e>
            <m:r>
              <w:rPr>
                <w:rFonts w:ascii="Cambria Math" w:hAnsi="Cambria Math"/>
              </w:rPr>
              <m:t xml:space="preserve">v</m:t>
            </m:r>
          </m:e>
          <m:sub>
            <m:r>
              <w:rPr>
                <w:rFonts w:ascii="Cambria Math" w:hAnsi="Cambria Math"/>
              </w:rPr>
              <m:t xml:space="preserve">c</m:t>
            </m:r>
          </m:sub>
        </m:sSub>
        <m:r>
          <w:rPr>
            <w:rFonts w:ascii="Cambria Math" w:hAnsi="Cambria Math"/>
          </w:rPr>
          <m:t xml:space="preserve">∗</m:t>
        </m:r>
        <m:r>
          <w:rPr>
            <w:rFonts w:ascii="Cambria Math" w:hAnsi="Cambria Math"/>
          </w:rPr>
          <m:t xml:space="preserve">Cooling</m:t>
        </m:r>
        <m:r>
          <w:rPr>
            <w:rFonts w:ascii="Cambria Math" w:hAnsi="Cambria Math"/>
          </w:rPr>
          <m:t xml:space="preserve">+</m:t>
        </m:r>
        <m:r>
          <w:rPr>
            <w:rFonts w:ascii="Cambria Math" w:hAnsi="Cambria Math"/>
          </w:rPr>
          <m:t xml:space="preserve">0.256</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Cooling</m:t>
        </m:r>
      </m:oMath>
      <w:r>
        <w:rPr>
          <w:rFonts w:eastAsia="Times New Roman"/>
        </w:rPr>
        <w:t xml:space="preserve"> </w:t>
      </w:r>
      <w:r>
        <w:rPr>
          <w:rFonts w:eastAsia="Times New Roman"/>
        </w:rPr>
        <w:t>(Eq. 8)</w:t>
      </w:r>
    </w:p>
    <w:p>
      <w:pPr>
        <w:pStyle w:val="Articletext"/>
        <w:ind w:hanging="0"/>
        <w:rPr>
          <w:rFonts w:eastAsia="Times New Roman"/>
        </w:rPr>
      </w:pPr>
      <w:r>
        <w:rPr>
          <w:rFonts w:eastAsia="Times New Roman"/>
        </w:rPr>
      </w:r>
    </w:p>
    <w:p>
      <w:pPr>
        <w:pStyle w:val="Articletext"/>
        <w:ind w:hanging="0"/>
        <w:rPr/>
      </w:pPr>
      <w:r>
        <w:rPr/>
        <w:t xml:space="preserve">where, </w:t>
      </w:r>
      <w:r>
        <w:rPr>
          <w:i/>
        </w:rPr>
        <w:t>v</w:t>
      </w:r>
      <w:r>
        <w:rPr>
          <w:i/>
          <w:vertAlign w:val="subscript"/>
        </w:rPr>
        <w:t>c</w:t>
      </w:r>
      <w:r>
        <w:rPr/>
        <w:t xml:space="preserve"> is the cutting speed (between 30 and 70 m/min); </w:t>
      </w:r>
      <w:r>
        <w:rPr>
          <w:i/>
        </w:rPr>
        <w:t>f</w:t>
      </w:r>
      <w:r>
        <w:rPr/>
        <w:t xml:space="preserve"> is the feed rate (between 1.00 and 2.50 mm/rev); and cooling is the use of cutting fluid, 0 (dry) or 1 (wet).</w:t>
      </w:r>
    </w:p>
    <w:p>
      <w:pPr>
        <w:pStyle w:val="Articletext"/>
        <w:ind w:hanging="0"/>
        <w:rPr/>
      </w:pPr>
      <w:r>
        <w:rPr/>
      </w:r>
    </w:p>
    <w:p>
      <w:pPr>
        <w:pStyle w:val="ArticleTitletext"/>
        <w:numPr>
          <w:ilvl w:val="0"/>
          <w:numId w:val="1"/>
        </w:numPr>
        <w:rPr/>
      </w:pPr>
      <w:r>
        <w:rPr/>
        <w:t>Analysis of results and discussion</w:t>
      </w:r>
    </w:p>
    <w:p>
      <w:pPr>
        <w:pStyle w:val="Articletext"/>
        <w:rPr/>
      </w:pPr>
      <w:r>
        <w:rPr/>
        <w:t xml:space="preserve">In the </w:t>
      </w:r>
      <w:r>
        <w:rPr/>
        <w:fldChar w:fldCharType="begin"/>
      </w:r>
      <w:r>
        <w:instrText> REF _Ref510041688 \h </w:instrText>
      </w:r>
      <w:r>
        <w:fldChar w:fldCharType="separate"/>
      </w:r>
      <w:r>
        <w:t>Figure 3</w:t>
      </w:r>
      <w:r>
        <w:fldChar w:fldCharType="end"/>
      </w:r>
      <w:r>
        <w:rPr/>
        <w:t>, they are shown the values of the measured diameters for the conventional and high feed in the drilling of Al 2011 aluminium alloy. The increase of the cutting speed varied the diameter between -4.1% and 5.5% for conventional feed and -9.1% and 2.1% for high feed. When comparing the cooling conditions, under wet conditions, the values of the diameter increased on average by 1% for the conventional feed and by 1.4% for the high feed. The increase of feed rate increased the diameters, on average, by 0.9% in conventional feed and decreased by 1.6% in high feed.</w:t>
      </w:r>
    </w:p>
    <w:tbl>
      <w:tblPr>
        <w:tblStyle w:val="Tabelacomgrade"/>
        <w:tblW w:w="9972" w:type="dxa"/>
        <w:jc w:val="left"/>
        <w:tblInd w:w="0" w:type="dxa"/>
        <w:tblCellMar>
          <w:top w:w="0" w:type="dxa"/>
          <w:left w:w="108" w:type="dxa"/>
          <w:bottom w:w="0" w:type="dxa"/>
          <w:right w:w="108" w:type="dxa"/>
        </w:tblCellMar>
        <w:tblLook w:val="04a0" w:noVBand="1" w:noHBand="0" w:lastColumn="0" w:firstColumn="1" w:lastRow="0" w:firstRow="1"/>
      </w:tblPr>
      <w:tblGrid>
        <w:gridCol w:w="4986"/>
        <w:gridCol w:w="4985"/>
      </w:tblGrid>
      <w:tr>
        <w:trPr/>
        <w:tc>
          <w:tcPr>
            <w:tcW w:w="4986"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3" name="Imagem 3"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captura de tela&#10;&#10;Descrição gerada automaticamente"/>
                          <pic:cNvPicPr>
                            <a:picLocks noChangeAspect="1" noChangeArrowheads="1"/>
                          </pic:cNvPicPr>
                        </pic:nvPicPr>
                        <pic:blipFill>
                          <a:blip r:embed="rId5"/>
                          <a:stretch>
                            <a:fillRect/>
                          </a:stretch>
                        </pic:blipFill>
                        <pic:spPr bwMode="auto">
                          <a:xfrm>
                            <a:off x="0" y="0"/>
                            <a:ext cx="3072130" cy="1727835"/>
                          </a:xfrm>
                          <a:prstGeom prst="rect">
                            <a:avLst/>
                          </a:prstGeom>
                        </pic:spPr>
                      </pic:pic>
                    </a:graphicData>
                  </a:graphic>
                </wp:inline>
              </w:drawing>
            </w:r>
          </w:p>
        </w:tc>
        <w:tc>
          <w:tcPr>
            <w:tcW w:w="4985"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4" name="Imagem 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captura de tela&#10;&#10;Descrição gerada automaticamente"/>
                          <pic:cNvPicPr>
                            <a:picLocks noChangeAspect="1" noChangeArrowheads="1"/>
                          </pic:cNvPicPr>
                        </pic:nvPicPr>
                        <pic:blipFill>
                          <a:blip r:embed="rId6"/>
                          <a:stretch>
                            <a:fillRect/>
                          </a:stretch>
                        </pic:blipFill>
                        <pic:spPr bwMode="auto">
                          <a:xfrm>
                            <a:off x="0" y="0"/>
                            <a:ext cx="3072130" cy="1727835"/>
                          </a:xfrm>
                          <a:prstGeom prst="rect">
                            <a:avLst/>
                          </a:prstGeom>
                        </pic:spPr>
                      </pic:pic>
                    </a:graphicData>
                  </a:graphic>
                </wp:inline>
              </w:drawing>
            </w:r>
          </w:p>
        </w:tc>
      </w:tr>
      <w:tr>
        <w:trPr/>
        <w:tc>
          <w:tcPr>
            <w:tcW w:w="4986" w:type="dxa"/>
            <w:tcBorders>
              <w:top w:val="nil"/>
              <w:left w:val="nil"/>
              <w:bottom w:val="nil"/>
              <w:right w:val="nil"/>
              <w:insideH w:val="nil"/>
              <w:insideV w:val="nil"/>
            </w:tcBorders>
            <w:shd w:fill="auto" w:val="clear"/>
          </w:tcPr>
          <w:p>
            <w:pPr>
              <w:pStyle w:val="Articleimage"/>
              <w:spacing w:before="0" w:after="240"/>
              <w:rPr>
                <w:rFonts w:eastAsia="SimSun" w:cs="Calibri"/>
                <w:lang w:eastAsia="es-ES"/>
              </w:rPr>
            </w:pPr>
            <w:r>
              <w:rPr>
                <w:rFonts w:eastAsia="SimSun" w:cs="Calibri"/>
                <w:lang w:eastAsia="es-ES"/>
              </w:rPr>
              <w:t>a) Conventional feed</w:t>
            </w:r>
          </w:p>
        </w:tc>
        <w:tc>
          <w:tcPr>
            <w:tcW w:w="4985" w:type="dxa"/>
            <w:tcBorders>
              <w:top w:val="nil"/>
              <w:left w:val="nil"/>
              <w:bottom w:val="nil"/>
              <w:right w:val="nil"/>
              <w:insideH w:val="nil"/>
              <w:insideV w:val="nil"/>
            </w:tcBorders>
            <w:shd w:fill="auto" w:val="clear"/>
          </w:tcPr>
          <w:p>
            <w:pPr>
              <w:pStyle w:val="Articleimage"/>
              <w:spacing w:before="0" w:after="240"/>
              <w:rPr>
                <w:rFonts w:eastAsia="SimSun" w:cs="Calibri"/>
                <w:lang w:eastAsia="es-ES"/>
              </w:rPr>
            </w:pPr>
            <w:r>
              <w:rPr>
                <w:rFonts w:eastAsia="SimSun" w:cs="Calibri"/>
                <w:lang w:eastAsia="es-ES"/>
              </w:rPr>
              <w:t>b) High feed</w:t>
            </w:r>
          </w:p>
        </w:tc>
      </w:tr>
    </w:tbl>
    <w:p>
      <w:pPr>
        <w:pStyle w:val="Articlefigure"/>
        <w:rPr/>
      </w:pPr>
      <w:bookmarkStart w:id="28" w:name="_Ref510041688"/>
      <w:r>
        <w:rPr/>
        <w:t xml:space="preserve">Figure </w:t>
      </w:r>
      <w:r>
        <w:rPr/>
        <w:fldChar w:fldCharType="begin"/>
      </w:r>
      <w:r>
        <w:instrText> SEQ Figure \* ARABIC </w:instrText>
      </w:r>
      <w:r>
        <w:fldChar w:fldCharType="separate"/>
      </w:r>
      <w:r>
        <w:t>3</w:t>
      </w:r>
      <w:r>
        <w:fldChar w:fldCharType="end"/>
      </w:r>
      <w:bookmarkEnd w:id="28"/>
      <w:r>
        <w:rPr/>
        <w:t xml:space="preserve"> – Values of diameter for conventional and high feed</w:t>
      </w:r>
    </w:p>
    <w:p>
      <w:pPr>
        <w:pStyle w:val="Articletext"/>
        <w:rPr/>
      </w:pPr>
      <w:r>
        <w:rPr/>
        <w:t xml:space="preserve">The high deviation in the dimension of the diameter can be related to the geometry deviation, the circularity. To analyse the diameter, the holes were divided into several parts and the measurement was developed by picking 3 points, which were chosen in the region more furthest from hole centre, i.e., the circular runout influenced the diameter dimension. The circular runout is influenced by circularity and concentricity imperfections </w:t>
      </w:r>
      <w:r>
        <w:fldChar w:fldCharType="begin"/>
      </w:r>
      <w:r>
        <w:instrText>ADDIN CSL_CITATION {"citationItems":[{"id":"ITEM-1","itemData":{"DOI":"10.1016/0278-6125(88)90006-4","ISSN":"0278-6125","abstract":"The geometry of manufactured parts is always slightly different from the theoretically prefect design description models. Certain inspection tests determine whether such variations are within acceptable range. There is, however, no theory for compiling the results of such tests and measurements in building a geometric model for the part. A manufactured part model can be used for tolerance verification, robot guidance in tight assembly tasks, and for quality and process control applications. In this paper a modeling scheme is proposed to integrate different forms of observations in constructing a part model. Imperfect features are modeled by constructor solids which have perfect forms. The boundaries of these solids tightly enclose the functional features and represent the extent of their geometric variations. The part model is then used to interpret the meaning of some practiced tolerance specification statements.","author":[{"dropping-particle":"","family":"Etesami","given":"Faryar","non-dropping-particle":"","parse-names":false,"suffix":""}],"container-title":"Journal of Manufacturing Systems","id":"ITEM-1","issue":"3","issued":{"date-parts":[["1988","1","1"]]},"page":"223-232","publisher":"Elsevier","title":"Tolerance verification through manufactured part modeling","type":"article-journal","volume":"7"},"uris":["http://www.mendeley.com/documents/?uuid=86bc51d2-4a24-348e-8f12-05613a31c8c8"]}],"mendeley":{"formattedCitation":"[22]","plainTextFormattedCitation":"[22]","previouslyFormattedCitation":"[22]"},"properties":{"noteIndex":0},"schema":"https://github.com/citation-style-language/schema/raw/master/csl-citation.json"}</w:instrText>
      </w:r>
      <w:r>
        <w:fldChar w:fldCharType="separate"/>
      </w:r>
      <w:bookmarkStart w:id="29" w:name="__Fieldmark__2134_2768839"/>
      <w:r>
        <w:rPr/>
        <w:t>[22]</w:t>
      </w:r>
      <w:r>
        <w:rPr/>
      </w:r>
      <w:r>
        <w:fldChar w:fldCharType="end"/>
      </w:r>
      <w:bookmarkEnd w:id="29"/>
      <w:r>
        <w:rPr/>
        <w:t xml:space="preserve">. In the drilling, the circularity is directly proportional to the vibration </w:t>
      </w:r>
      <w:r>
        <w:fldChar w:fldCharType="begin"/>
      </w:r>
      <w:r>
        <w:instrText>ADDIN CSL_CITATION {"citationItems":[{"id":"ITEM-1","itemData":{"DOI":"10.1016/J.MEASUREMENT.2017.09.051","author":[{"dropping-particle":"","family":"Balajia","given":"M.","non-dropping-particle":"","parse-names":false,"suffix":""},{"dropping-particle":"","family":"Venkata Rao","given":"K.","non-dropping-particle":"","parse-names":false,"suffix":""},{"dropping-particle":"","family":"Mohan Rao","given":"N.","non-dropping-particle":"","parse-names":false,"suffix":""},{"dropping-particle":"","family":"Murthy","given":"B.S.N.","non-dropping-particle":"","parse-names":false,"suffix":""}],"container-title":"Measurement","id":"ITEM-1","issued":{"date-parts":[["2018","1","1"]]},"page":"332-339","publisher":"Elsevier","title":"Optimization of drilling parameters for drilling of TI-6Al-4V based on surface roughness, flank wear and drill vibration","type":"article-journal","volume":"114"},"uris":["http://www.mendeley.com/documents/?uuid=770cb076-a478-3573-bec6-4587cc3baa69"]}],"mendeley":{"formattedCitation":"[23]","plainTextFormattedCitation":"[23]","previouslyFormattedCitation":"[23]"},"properties":{"noteIndex":0},"schema":"https://github.com/citation-style-language/schema/raw/master/csl-citation.json"}</w:instrText>
      </w:r>
      <w:r>
        <w:fldChar w:fldCharType="separate"/>
      </w:r>
      <w:bookmarkStart w:id="30" w:name="__Fieldmark__2163_2768839"/>
      <w:r>
        <w:rPr/>
      </w:r>
      <w:r>
        <w:rPr>
          <w:szCs w:val="24"/>
          <w:lang w:eastAsia="en-GB"/>
        </w:rPr>
        <w:t>[23]</w:t>
      </w:r>
      <w:r>
        <w:rPr/>
      </w:r>
      <w:r>
        <w:fldChar w:fldCharType="end"/>
      </w:r>
      <w:bookmarkEnd w:id="30"/>
      <w:r>
        <w:rPr>
          <w:szCs w:val="24"/>
          <w:lang w:eastAsia="en-GB"/>
        </w:rPr>
        <w:t>.</w:t>
      </w:r>
    </w:p>
    <w:p>
      <w:pPr>
        <w:pStyle w:val="Articletext"/>
        <w:rPr/>
      </w:pPr>
      <w:r>
        <w:rPr/>
        <w:t xml:space="preserve">The </w:t>
      </w:r>
      <w:bookmarkStart w:id="31" w:name="_Hlk520109390"/>
      <w:r>
        <w:rPr>
          <w:i/>
        </w:rPr>
        <w:t>S/N</w:t>
      </w:r>
      <w:bookmarkEnd w:id="31"/>
      <w:r>
        <w:rPr/>
        <w:t xml:space="preserve"> ratios for the diameters for both feed rate classes are shown in </w:t>
      </w:r>
      <w:r>
        <w:rPr/>
        <w:fldChar w:fldCharType="begin"/>
      </w:r>
      <w:r>
        <w:instrText> REF _Ref510049641 \h </w:instrText>
      </w:r>
      <w:r>
        <w:fldChar w:fldCharType="separate"/>
      </w:r>
      <w:r>
        <w:t>Table 2</w:t>
      </w:r>
      <w:r>
        <w:fldChar w:fldCharType="end"/>
      </w:r>
      <w:r>
        <w:rPr/>
        <w:t>. When comparing the conventional and high feed, the cooling and cutting speed were the parameters with the biggest and smallest influence in the diameter, respectively, in the conventional feed. The opposite was observed for the high feed.</w:t>
      </w:r>
    </w:p>
    <w:p>
      <w:pPr>
        <w:pStyle w:val="Articlefigure"/>
        <w:rPr/>
      </w:pPr>
      <w:bookmarkStart w:id="32" w:name="_Ref510049637"/>
      <w:bookmarkStart w:id="33" w:name="_Ref510049641"/>
      <w:r>
        <w:rPr/>
        <w:t xml:space="preserve">Table </w:t>
      </w:r>
      <w:r>
        <w:rPr/>
        <w:fldChar w:fldCharType="begin"/>
      </w:r>
      <w:r>
        <w:instrText> SEQ Table \* ARABIC </w:instrText>
      </w:r>
      <w:r>
        <w:fldChar w:fldCharType="separate"/>
      </w:r>
      <w:r>
        <w:t>2</w:t>
      </w:r>
      <w:r>
        <w:fldChar w:fldCharType="end"/>
      </w:r>
      <w:bookmarkEnd w:id="33"/>
      <w:r>
        <w:rPr/>
        <w:t xml:space="preserve"> – The </w:t>
      </w:r>
      <w:r>
        <w:rPr>
          <w:i/>
        </w:rPr>
        <w:t>S/N</w:t>
      </w:r>
      <w:r>
        <w:rPr/>
        <w:t xml:space="preserve"> ratios for diameters in the conventional and high feed (Smaller is better)</w:t>
      </w:r>
      <w:bookmarkEnd w:id="32"/>
      <w:r>
        <w:rPr/>
        <w:t>.</w:t>
      </w:r>
    </w:p>
    <w:tbl>
      <w:tblPr>
        <w:tblStyle w:val="Tabelacomgrade"/>
        <w:tblW w:w="7511" w:type="dxa"/>
        <w:jc w:val="center"/>
        <w:tblInd w:w="0" w:type="dxa"/>
        <w:tblCellMar>
          <w:top w:w="0" w:type="dxa"/>
          <w:left w:w="108" w:type="dxa"/>
          <w:bottom w:w="0" w:type="dxa"/>
          <w:right w:w="108" w:type="dxa"/>
        </w:tblCellMar>
        <w:tblLook w:val="04a0" w:noVBand="1" w:noHBand="0" w:lastColumn="0" w:firstColumn="1" w:lastRow="0" w:firstRow="1"/>
      </w:tblPr>
      <w:tblGrid>
        <w:gridCol w:w="932"/>
        <w:gridCol w:w="1039"/>
        <w:gridCol w:w="1041"/>
        <w:gridCol w:w="1100"/>
        <w:gridCol w:w="283"/>
        <w:gridCol w:w="1134"/>
        <w:gridCol w:w="992"/>
        <w:gridCol w:w="989"/>
      </w:tblGrid>
      <w:tr>
        <w:trPr/>
        <w:tc>
          <w:tcPr>
            <w:tcW w:w="932" w:type="dxa"/>
            <w:vMerge w:val="restart"/>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Level</w:t>
            </w:r>
          </w:p>
        </w:tc>
        <w:tc>
          <w:tcPr>
            <w:tcW w:w="3180" w:type="dxa"/>
            <w:gridSpan w:val="3"/>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Conventional feed</w:t>
            </w:r>
          </w:p>
        </w:tc>
        <w:tc>
          <w:tcPr>
            <w:tcW w:w="283" w:type="dxa"/>
            <w:vMerge w:val="restart"/>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3115" w:type="dxa"/>
            <w:gridSpan w:val="3"/>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High feed</w:t>
            </w:r>
          </w:p>
        </w:tc>
      </w:tr>
      <w:tr>
        <w:trPr/>
        <w:tc>
          <w:tcPr>
            <w:tcW w:w="932" w:type="dxa"/>
            <w:vMerge w:val="continue"/>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039"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i/>
                <w:lang w:eastAsia="es-ES"/>
              </w:rPr>
              <w:t>v</w:t>
            </w:r>
            <w:r>
              <w:rPr>
                <w:rFonts w:eastAsia="SimSun" w:cs="Calibri"/>
                <w:i/>
                <w:vertAlign w:val="subscript"/>
                <w:lang w:eastAsia="es-ES"/>
              </w:rPr>
              <w:t>c</w:t>
            </w:r>
          </w:p>
        </w:tc>
        <w:tc>
          <w:tcPr>
            <w:tcW w:w="1041"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i/>
                <w:i/>
              </w:rPr>
            </w:pPr>
            <w:r>
              <w:rPr>
                <w:rFonts w:eastAsia="SimSun" w:cs="Calibri"/>
                <w:i/>
                <w:lang w:eastAsia="es-ES"/>
              </w:rPr>
              <w:t>f</w:t>
            </w:r>
          </w:p>
        </w:tc>
        <w:tc>
          <w:tcPr>
            <w:tcW w:w="1100"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Cooling</w:t>
            </w:r>
          </w:p>
        </w:tc>
        <w:tc>
          <w:tcPr>
            <w:tcW w:w="283" w:type="dxa"/>
            <w:vMerge w:val="continue"/>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i/>
                <w:lang w:eastAsia="es-ES"/>
              </w:rPr>
              <w:t>v</w:t>
            </w:r>
            <w:r>
              <w:rPr>
                <w:rFonts w:eastAsia="SimSun" w:cs="Calibri"/>
                <w:i/>
                <w:vertAlign w:val="subscript"/>
                <w:lang w:eastAsia="es-ES"/>
              </w:rPr>
              <w:t>c</w:t>
            </w:r>
          </w:p>
        </w:tc>
        <w:tc>
          <w:tcPr>
            <w:tcW w:w="992"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i/>
                <w:i/>
              </w:rPr>
            </w:pPr>
            <w:r>
              <w:rPr>
                <w:rFonts w:eastAsia="SimSun" w:cs="Calibri"/>
                <w:i/>
                <w:lang w:eastAsia="es-ES"/>
              </w:rPr>
              <w:t>f</w:t>
            </w:r>
          </w:p>
        </w:tc>
        <w:tc>
          <w:tcPr>
            <w:tcW w:w="989"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Cooling</w:t>
            </w:r>
          </w:p>
        </w:tc>
      </w:tr>
      <w:tr>
        <w:trPr/>
        <w:tc>
          <w:tcPr>
            <w:tcW w:w="932"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w:t>
            </w:r>
          </w:p>
        </w:tc>
        <w:tc>
          <w:tcPr>
            <w:tcW w:w="1039"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-14.80</w:t>
            </w:r>
          </w:p>
        </w:tc>
        <w:tc>
          <w:tcPr>
            <w:tcW w:w="1041"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-14.76</w:t>
            </w:r>
          </w:p>
        </w:tc>
        <w:tc>
          <w:tcPr>
            <w:tcW w:w="1100"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-14.74</w:t>
            </w:r>
          </w:p>
        </w:tc>
        <w:tc>
          <w:tcPr>
            <w:tcW w:w="283" w:type="dxa"/>
            <w:vMerge w:val="continue"/>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-15.05</w:t>
            </w:r>
          </w:p>
        </w:tc>
        <w:tc>
          <w:tcPr>
            <w:tcW w:w="992"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-14.99</w:t>
            </w:r>
          </w:p>
        </w:tc>
        <w:tc>
          <w:tcPr>
            <w:tcW w:w="989" w:type="dxa"/>
            <w:tcBorders>
              <w:top w:val="single" w:sz="12" w:space="0" w:color="00000A"/>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-14.94</w:t>
            </w:r>
          </w:p>
        </w:tc>
      </w:tr>
      <w:tr>
        <w:trPr/>
        <w:tc>
          <w:tcPr>
            <w:tcW w:w="93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2</w:t>
            </w:r>
          </w:p>
        </w:tc>
        <w:tc>
          <w:tcPr>
            <w:tcW w:w="103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-14.76</w:t>
            </w:r>
          </w:p>
        </w:tc>
        <w:tc>
          <w:tcPr>
            <w:tcW w:w="1041"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-14.76</w:t>
            </w:r>
          </w:p>
        </w:tc>
        <w:tc>
          <w:tcPr>
            <w:tcW w:w="1100"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-14.83</w:t>
            </w:r>
          </w:p>
        </w:tc>
        <w:tc>
          <w:tcPr>
            <w:tcW w:w="283" w:type="dxa"/>
            <w:vMerge w:val="continue"/>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-14.91</w:t>
            </w:r>
          </w:p>
        </w:tc>
        <w:tc>
          <w:tcPr>
            <w:tcW w:w="99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-15.01</w:t>
            </w:r>
          </w:p>
        </w:tc>
        <w:tc>
          <w:tcPr>
            <w:tcW w:w="98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-15.05</w:t>
            </w:r>
          </w:p>
        </w:tc>
      </w:tr>
      <w:tr>
        <w:trPr/>
        <w:tc>
          <w:tcPr>
            <w:tcW w:w="93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3</w:t>
            </w:r>
          </w:p>
        </w:tc>
        <w:tc>
          <w:tcPr>
            <w:tcW w:w="103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-14.79</w:t>
            </w:r>
          </w:p>
        </w:tc>
        <w:tc>
          <w:tcPr>
            <w:tcW w:w="1041"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-14.83</w:t>
            </w:r>
          </w:p>
        </w:tc>
        <w:tc>
          <w:tcPr>
            <w:tcW w:w="1100"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283" w:type="dxa"/>
            <w:vMerge w:val="continue"/>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-14.94</w:t>
            </w:r>
          </w:p>
        </w:tc>
        <w:tc>
          <w:tcPr>
            <w:tcW w:w="99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-15.01</w:t>
            </w:r>
          </w:p>
        </w:tc>
        <w:tc>
          <w:tcPr>
            <w:tcW w:w="98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r>
      <w:tr>
        <w:trPr/>
        <w:tc>
          <w:tcPr>
            <w:tcW w:w="93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Delta</w:t>
            </w:r>
          </w:p>
        </w:tc>
        <w:tc>
          <w:tcPr>
            <w:tcW w:w="103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0.03</w:t>
            </w:r>
          </w:p>
        </w:tc>
        <w:tc>
          <w:tcPr>
            <w:tcW w:w="1041"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0.07</w:t>
            </w:r>
          </w:p>
        </w:tc>
        <w:tc>
          <w:tcPr>
            <w:tcW w:w="1100"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0.09</w:t>
            </w:r>
          </w:p>
        </w:tc>
        <w:tc>
          <w:tcPr>
            <w:tcW w:w="283" w:type="dxa"/>
            <w:vMerge w:val="continue"/>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0.36</w:t>
            </w:r>
          </w:p>
        </w:tc>
        <w:tc>
          <w:tcPr>
            <w:tcW w:w="992"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0.17</w:t>
            </w:r>
          </w:p>
        </w:tc>
        <w:tc>
          <w:tcPr>
            <w:tcW w:w="989" w:type="dxa"/>
            <w:tcBorders>
              <w:left w:val="nil"/>
              <w:right w:val="nil"/>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0.12</w:t>
            </w:r>
          </w:p>
        </w:tc>
      </w:tr>
      <w:tr>
        <w:trPr/>
        <w:tc>
          <w:tcPr>
            <w:tcW w:w="932"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Rank</w:t>
            </w:r>
          </w:p>
        </w:tc>
        <w:tc>
          <w:tcPr>
            <w:tcW w:w="1039"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3</w:t>
            </w:r>
          </w:p>
        </w:tc>
        <w:tc>
          <w:tcPr>
            <w:tcW w:w="1041"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2</w:t>
            </w:r>
          </w:p>
        </w:tc>
        <w:tc>
          <w:tcPr>
            <w:tcW w:w="1100"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w:t>
            </w:r>
          </w:p>
        </w:tc>
        <w:tc>
          <w:tcPr>
            <w:tcW w:w="283" w:type="dxa"/>
            <w:vMerge w:val="continue"/>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1134"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1</w:t>
            </w:r>
          </w:p>
        </w:tc>
        <w:tc>
          <w:tcPr>
            <w:tcW w:w="992"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2</w:t>
            </w:r>
          </w:p>
        </w:tc>
        <w:tc>
          <w:tcPr>
            <w:tcW w:w="989" w:type="dxa"/>
            <w:tcBorders>
              <w:left w:val="nil"/>
              <w:bottom w:val="single" w:sz="12" w:space="0" w:color="00000A"/>
              <w:right w:val="nil"/>
              <w:insideH w:val="single" w:sz="12" w:space="0" w:color="00000A"/>
              <w:insideV w:val="nil"/>
            </w:tcBorders>
            <w:shd w:fill="auto" w:val="clear"/>
            <w:vAlign w:val="center"/>
          </w:tcPr>
          <w:p>
            <w:pPr>
              <w:pStyle w:val="Articletext"/>
              <w:spacing w:lineRule="auto" w:line="240"/>
              <w:ind w:hanging="0"/>
              <w:jc w:val="center"/>
              <w:rPr>
                <w:rFonts w:eastAsia="SimSun" w:cs="Calibri"/>
                <w:lang w:eastAsia="es-ES"/>
              </w:rPr>
            </w:pPr>
            <w:r>
              <w:rPr>
                <w:rFonts w:eastAsia="SimSun" w:cs="Calibri"/>
                <w:lang w:eastAsia="es-ES"/>
              </w:rPr>
              <w:t>3</w:t>
            </w:r>
          </w:p>
        </w:tc>
      </w:tr>
    </w:tbl>
    <w:p>
      <w:pPr>
        <w:pStyle w:val="Articletext"/>
        <w:rPr/>
      </w:pPr>
      <w:r>
        <w:rPr/>
      </w:r>
    </w:p>
    <w:p>
      <w:pPr>
        <w:pStyle w:val="Articletext"/>
        <w:rPr/>
      </w:pPr>
      <w:r>
        <w:rPr/>
        <w:t xml:space="preserve">The values of the </w:t>
      </w:r>
      <w:r>
        <w:rPr>
          <w:i/>
        </w:rPr>
        <w:t>R</w:t>
      </w:r>
      <w:r>
        <w:rPr>
          <w:i/>
          <w:vertAlign w:val="subscript"/>
        </w:rPr>
        <w:t>a</w:t>
      </w:r>
      <w:r>
        <w:rPr/>
        <w:t xml:space="preserve"> profiles are exhibited in </w:t>
      </w:r>
      <w:r>
        <w:rPr/>
        <w:fldChar w:fldCharType="begin"/>
      </w:r>
      <w:r>
        <w:instrText> REF _Ref496732935 \h </w:instrText>
      </w:r>
      <w:r>
        <w:fldChar w:fldCharType="separate"/>
      </w:r>
      <w:r>
        <w:t>Figure 4</w:t>
      </w:r>
      <w:r>
        <w:fldChar w:fldCharType="end"/>
      </w:r>
      <w:r>
        <w:rPr/>
        <w:t xml:space="preserve"> for both feed rate classes. For the conventional feed, the increase of the cutting speed reduced the values of </w:t>
      </w:r>
      <w:r>
        <w:rPr>
          <w:i/>
        </w:rPr>
        <w:t>R</w:t>
      </w:r>
      <w:r>
        <w:rPr>
          <w:i/>
          <w:vertAlign w:val="subscript"/>
        </w:rPr>
        <w:t>a</w:t>
      </w:r>
      <w:r>
        <w:rPr/>
        <w:t xml:space="preserve"> between 12.5% and 50.5%; while, for the high feed, the reduction was between 18.5% and 50.8%. The increase of feed rate, for the conventional feed, increased the values of </w:t>
      </w:r>
      <w:r>
        <w:rPr>
          <w:i/>
        </w:rPr>
        <w:t>R</w:t>
      </w:r>
      <w:r>
        <w:rPr>
          <w:i/>
          <w:vertAlign w:val="subscript"/>
        </w:rPr>
        <w:t>a</w:t>
      </w:r>
      <w:r>
        <w:rPr/>
        <w:t xml:space="preserve"> for all conditions, on average, 74.5% (30 m/min) and 16.4% (110 m/min). For the high feed, the increase of the feed rate varied the values of </w:t>
      </w:r>
      <w:r>
        <w:rPr>
          <w:i/>
        </w:rPr>
        <w:t>R</w:t>
      </w:r>
      <w:r>
        <w:rPr>
          <w:i/>
          <w:vertAlign w:val="subscript"/>
        </w:rPr>
        <w:t>a</w:t>
      </w:r>
      <w:r>
        <w:rPr/>
        <w:t>, -30,5% (1 to 1.5 mm/rev) and 35.6% (1.5 to 2.5 mm/rev), on average.</w:t>
      </w:r>
    </w:p>
    <w:p>
      <w:pPr>
        <w:pStyle w:val="Articletext"/>
        <w:rPr/>
      </w:pPr>
      <w:r>
        <w:rPr/>
      </w:r>
    </w:p>
    <w:tbl>
      <w:tblPr>
        <w:tblStyle w:val="Tabelacomgrade"/>
        <w:tblW w:w="9972" w:type="dxa"/>
        <w:jc w:val="left"/>
        <w:tblInd w:w="0" w:type="dxa"/>
        <w:tblCellMar>
          <w:top w:w="0" w:type="dxa"/>
          <w:left w:w="108" w:type="dxa"/>
          <w:bottom w:w="0" w:type="dxa"/>
          <w:right w:w="108" w:type="dxa"/>
        </w:tblCellMar>
        <w:tblLook w:val="04a0" w:noVBand="1" w:noHBand="0" w:lastColumn="0" w:firstColumn="1" w:lastRow="0" w:firstRow="1"/>
      </w:tblPr>
      <w:tblGrid>
        <w:gridCol w:w="5162"/>
        <w:gridCol w:w="4809"/>
      </w:tblGrid>
      <w:tr>
        <w:trPr/>
        <w:tc>
          <w:tcPr>
            <w:tcW w:w="5162"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5" name="Imagem 5"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captura de tela&#10;&#10;Descrição gerada automaticamente"/>
                          <pic:cNvPicPr>
                            <a:picLocks noChangeAspect="1" noChangeArrowheads="1"/>
                          </pic:cNvPicPr>
                        </pic:nvPicPr>
                        <pic:blipFill>
                          <a:blip r:embed="rId7"/>
                          <a:stretch>
                            <a:fillRect/>
                          </a:stretch>
                        </pic:blipFill>
                        <pic:spPr bwMode="auto">
                          <a:xfrm>
                            <a:off x="0" y="0"/>
                            <a:ext cx="3072130" cy="1727835"/>
                          </a:xfrm>
                          <a:prstGeom prst="rect">
                            <a:avLst/>
                          </a:prstGeom>
                        </pic:spPr>
                      </pic:pic>
                    </a:graphicData>
                  </a:graphic>
                </wp:inline>
              </w:drawing>
            </w:r>
          </w:p>
        </w:tc>
        <w:tc>
          <w:tcPr>
            <w:tcW w:w="4809"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8890">
                  <wp:extent cx="2810510" cy="1727835"/>
                  <wp:effectExtent l="0" t="0" r="0" b="0"/>
                  <wp:docPr id="6"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
                          <pic:cNvPicPr>
                            <a:picLocks noChangeAspect="1" noChangeArrowheads="1"/>
                          </pic:cNvPicPr>
                        </pic:nvPicPr>
                        <pic:blipFill>
                          <a:blip r:embed="rId8"/>
                          <a:stretch>
                            <a:fillRect/>
                          </a:stretch>
                        </pic:blipFill>
                        <pic:spPr bwMode="auto">
                          <a:xfrm>
                            <a:off x="0" y="0"/>
                            <a:ext cx="2810510" cy="1727835"/>
                          </a:xfrm>
                          <a:prstGeom prst="rect">
                            <a:avLst/>
                          </a:prstGeom>
                        </pic:spPr>
                      </pic:pic>
                    </a:graphicData>
                  </a:graphic>
                </wp:inline>
              </w:drawing>
            </w:r>
          </w:p>
        </w:tc>
      </w:tr>
      <w:tr>
        <w:trPr/>
        <w:tc>
          <w:tcPr>
            <w:tcW w:w="5162" w:type="dxa"/>
            <w:tcBorders>
              <w:top w:val="nil"/>
              <w:left w:val="nil"/>
              <w:bottom w:val="nil"/>
              <w:right w:val="nil"/>
              <w:insideH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a) Conventional feed</w:t>
            </w:r>
          </w:p>
        </w:tc>
        <w:tc>
          <w:tcPr>
            <w:tcW w:w="4809" w:type="dxa"/>
            <w:tcBorders>
              <w:top w:val="nil"/>
              <w:left w:val="nil"/>
              <w:bottom w:val="nil"/>
              <w:right w:val="nil"/>
              <w:insideH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b) High feed</w:t>
            </w:r>
          </w:p>
        </w:tc>
      </w:tr>
    </w:tbl>
    <w:p>
      <w:pPr>
        <w:pStyle w:val="Articlefigure"/>
        <w:rPr/>
      </w:pPr>
      <w:bookmarkStart w:id="34" w:name="_Ref496732935"/>
      <w:r>
        <w:rPr/>
        <w:t xml:space="preserve">Figure </w:t>
      </w:r>
      <w:r>
        <w:rPr/>
        <w:fldChar w:fldCharType="begin"/>
      </w:r>
      <w:r>
        <w:instrText> SEQ Figure \* ARABIC </w:instrText>
      </w:r>
      <w:r>
        <w:fldChar w:fldCharType="separate"/>
      </w:r>
      <w:r>
        <w:t>4</w:t>
      </w:r>
      <w:r>
        <w:fldChar w:fldCharType="end"/>
      </w:r>
      <w:bookmarkEnd w:id="34"/>
      <w:r>
        <w:rPr/>
        <w:t xml:space="preserve"> – Values of Ra for conventional and high feed</w:t>
      </w:r>
    </w:p>
    <w:p>
      <w:pPr>
        <w:pStyle w:val="Articletext"/>
        <w:rPr/>
      </w:pPr>
      <w:r>
        <w:rPr/>
        <w:t xml:space="preserve">The values of the </w:t>
      </w:r>
      <w:r>
        <w:rPr>
          <w:i/>
        </w:rPr>
        <w:t>R</w:t>
      </w:r>
      <w:r>
        <w:rPr>
          <w:i/>
          <w:vertAlign w:val="subscript"/>
        </w:rPr>
        <w:t>t</w:t>
      </w:r>
      <w:r>
        <w:rPr/>
        <w:t xml:space="preserve"> surface roughness, for the two feed classes, are presented in </w:t>
      </w:r>
      <w:r>
        <w:rPr/>
        <w:fldChar w:fldCharType="begin"/>
      </w:r>
      <w:r>
        <w:instrText> REF _Ref496901464 \h </w:instrText>
      </w:r>
      <w:r>
        <w:fldChar w:fldCharType="separate"/>
      </w:r>
      <w:r>
        <w:t>Figure 5</w:t>
      </w:r>
      <w:r>
        <w:fldChar w:fldCharType="end"/>
      </w:r>
      <w:r>
        <w:rPr/>
        <w:t>. The increase of the cutting speed decreased the values of</w:t>
      </w:r>
      <w:r>
        <w:rPr>
          <w:i/>
        </w:rPr>
        <w:t xml:space="preserve"> R</w:t>
      </w:r>
      <w:r>
        <w:rPr>
          <w:i/>
          <w:vertAlign w:val="subscript"/>
        </w:rPr>
        <w:t>t</w:t>
      </w:r>
      <w:r>
        <w:rPr/>
        <w:t xml:space="preserve"> for all conditions of conventional (on average, 30.5%) and high (on average, 24.2%) feed, practically. The increase of feed rate increased the values of</w:t>
      </w:r>
      <w:r>
        <w:rPr>
          <w:i/>
        </w:rPr>
        <w:t xml:space="preserve"> R</w:t>
      </w:r>
      <w:r>
        <w:rPr>
          <w:i/>
          <w:vertAlign w:val="subscript"/>
        </w:rPr>
        <w:t>t</w:t>
      </w:r>
      <w:r>
        <w:rPr/>
        <w:t xml:space="preserve"> for all conditions of conventional (on average, 41.8%). For the high feed, the increase of the feed rate presented different behaviour for dry (on average, 18.3%) and wet (on average, -12.8%) conditions.</w:t>
      </w:r>
    </w:p>
    <w:p>
      <w:pPr>
        <w:pStyle w:val="Articletext"/>
        <w:rPr/>
      </w:pPr>
      <w:r>
        <w:rPr/>
      </w:r>
    </w:p>
    <w:tbl>
      <w:tblPr>
        <w:tblStyle w:val="Tabelacomgrade"/>
        <w:tblW w:w="9972" w:type="dxa"/>
        <w:jc w:val="left"/>
        <w:tblInd w:w="0" w:type="dxa"/>
        <w:tblCellMar>
          <w:top w:w="0" w:type="dxa"/>
          <w:left w:w="108" w:type="dxa"/>
          <w:bottom w:w="0" w:type="dxa"/>
          <w:right w:w="108" w:type="dxa"/>
        </w:tblCellMar>
        <w:tblLook w:val="04a0" w:noVBand="1" w:noHBand="0" w:lastColumn="0" w:firstColumn="1" w:lastRow="0" w:firstRow="1"/>
      </w:tblPr>
      <w:tblGrid>
        <w:gridCol w:w="4986"/>
        <w:gridCol w:w="4985"/>
      </w:tblGrid>
      <w:tr>
        <w:trPr/>
        <w:tc>
          <w:tcPr>
            <w:tcW w:w="4986"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7" name="Imagem 7"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captura de tela&#10;&#10;Descrição gerada automaticamente"/>
                          <pic:cNvPicPr>
                            <a:picLocks noChangeAspect="1" noChangeArrowheads="1"/>
                          </pic:cNvPicPr>
                        </pic:nvPicPr>
                        <pic:blipFill>
                          <a:blip r:embed="rId9"/>
                          <a:stretch>
                            <a:fillRect/>
                          </a:stretch>
                        </pic:blipFill>
                        <pic:spPr bwMode="auto">
                          <a:xfrm>
                            <a:off x="0" y="0"/>
                            <a:ext cx="3072130" cy="1727835"/>
                          </a:xfrm>
                          <a:prstGeom prst="rect">
                            <a:avLst/>
                          </a:prstGeom>
                        </pic:spPr>
                      </pic:pic>
                    </a:graphicData>
                  </a:graphic>
                </wp:inline>
              </w:drawing>
            </w:r>
          </w:p>
        </w:tc>
        <w:tc>
          <w:tcPr>
            <w:tcW w:w="4985"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8"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
                          <pic:cNvPicPr>
                            <a:picLocks noChangeAspect="1" noChangeArrowheads="1"/>
                          </pic:cNvPicPr>
                        </pic:nvPicPr>
                        <pic:blipFill>
                          <a:blip r:embed="rId10"/>
                          <a:stretch>
                            <a:fillRect/>
                          </a:stretch>
                        </pic:blipFill>
                        <pic:spPr bwMode="auto">
                          <a:xfrm>
                            <a:off x="0" y="0"/>
                            <a:ext cx="3072130" cy="1727835"/>
                          </a:xfrm>
                          <a:prstGeom prst="rect">
                            <a:avLst/>
                          </a:prstGeom>
                        </pic:spPr>
                      </pic:pic>
                    </a:graphicData>
                  </a:graphic>
                </wp:inline>
              </w:drawing>
            </w:r>
          </w:p>
        </w:tc>
      </w:tr>
      <w:tr>
        <w:trPr/>
        <w:tc>
          <w:tcPr>
            <w:tcW w:w="4986" w:type="dxa"/>
            <w:tcBorders>
              <w:top w:val="nil"/>
              <w:left w:val="nil"/>
              <w:bottom w:val="nil"/>
              <w:right w:val="nil"/>
              <w:insideH w:val="nil"/>
              <w:insideV w:val="nil"/>
            </w:tcBorders>
            <w:shd w:fill="auto" w:val="clear"/>
          </w:tcPr>
          <w:p>
            <w:pPr>
              <w:pStyle w:val="Articletext"/>
              <w:jc w:val="center"/>
              <w:rPr>
                <w:rFonts w:eastAsia="SimSun" w:cs="Calibri"/>
                <w:lang w:eastAsia="es-ES"/>
              </w:rPr>
            </w:pPr>
            <w:r>
              <w:rPr>
                <w:rFonts w:eastAsia="SimSun" w:cs="Calibri"/>
                <w:lang w:eastAsia="es-ES"/>
              </w:rPr>
              <w:t>a) Conventional feed</w:t>
            </w:r>
          </w:p>
        </w:tc>
        <w:tc>
          <w:tcPr>
            <w:tcW w:w="4985" w:type="dxa"/>
            <w:tcBorders>
              <w:top w:val="nil"/>
              <w:left w:val="nil"/>
              <w:bottom w:val="nil"/>
              <w:right w:val="nil"/>
              <w:insideH w:val="nil"/>
              <w:insideV w:val="nil"/>
            </w:tcBorders>
            <w:shd w:fill="auto" w:val="clear"/>
          </w:tcPr>
          <w:p>
            <w:pPr>
              <w:pStyle w:val="Articletext"/>
              <w:jc w:val="center"/>
              <w:rPr>
                <w:rFonts w:eastAsia="SimSun" w:cs="Calibri"/>
                <w:lang w:eastAsia="es-ES"/>
              </w:rPr>
            </w:pPr>
            <w:r>
              <w:rPr>
                <w:rFonts w:eastAsia="SimSun" w:cs="Calibri"/>
                <w:lang w:eastAsia="es-ES"/>
              </w:rPr>
              <w:t>b) High feed</w:t>
            </w:r>
          </w:p>
        </w:tc>
      </w:tr>
    </w:tbl>
    <w:p>
      <w:pPr>
        <w:pStyle w:val="Articlefigure"/>
        <w:rPr/>
      </w:pPr>
      <w:bookmarkStart w:id="35" w:name="_Ref496901464"/>
      <w:r>
        <w:rPr/>
        <w:t xml:space="preserve">Figure </w:t>
      </w:r>
      <w:r>
        <w:rPr/>
        <w:fldChar w:fldCharType="begin"/>
      </w:r>
      <w:r>
        <w:instrText> SEQ Figure \* ARABIC </w:instrText>
      </w:r>
      <w:r>
        <w:fldChar w:fldCharType="separate"/>
      </w:r>
      <w:r>
        <w:t>5</w:t>
      </w:r>
      <w:r>
        <w:fldChar w:fldCharType="end"/>
      </w:r>
      <w:bookmarkEnd w:id="35"/>
      <w:r>
        <w:rPr/>
        <w:t xml:space="preserve"> – Values of </w:t>
      </w:r>
      <w:r>
        <w:rPr>
          <w:i/>
        </w:rPr>
        <w:t>R</w:t>
      </w:r>
      <w:r>
        <w:rPr>
          <w:i/>
          <w:vertAlign w:val="subscript"/>
        </w:rPr>
        <w:t>t</w:t>
      </w:r>
      <w:r>
        <w:rPr/>
        <w:t xml:space="preserve"> for conventional and high feed</w:t>
      </w:r>
    </w:p>
    <w:p>
      <w:pPr>
        <w:pStyle w:val="Articletext"/>
        <w:rPr/>
      </w:pPr>
      <w:r>
        <w:rPr/>
        <w:t xml:space="preserve">The values of the </w:t>
      </w:r>
      <w:r>
        <w:rPr>
          <w:i/>
        </w:rPr>
        <w:t>R</w:t>
      </w:r>
      <w:r>
        <w:rPr>
          <w:i/>
          <w:vertAlign w:val="subscript"/>
        </w:rPr>
        <w:t>z</w:t>
      </w:r>
      <w:r>
        <w:rPr/>
        <w:t xml:space="preserve"> surface roughness are shown in </w:t>
      </w:r>
      <w:r>
        <w:rPr/>
        <w:fldChar w:fldCharType="begin"/>
      </w:r>
      <w:r>
        <w:instrText> REF _Ref496903354 \h </w:instrText>
      </w:r>
      <w:r>
        <w:fldChar w:fldCharType="separate"/>
      </w:r>
      <w:r>
        <w:t>Figure 6</w:t>
      </w:r>
      <w:r>
        <w:fldChar w:fldCharType="end"/>
      </w:r>
      <w:r>
        <w:rPr/>
        <w:t xml:space="preserve"> for conventional and high feed. The increase of the cutting speed decreased the values of </w:t>
      </w:r>
      <w:r>
        <w:rPr>
          <w:i/>
        </w:rPr>
        <w:t>R</w:t>
      </w:r>
      <w:r>
        <w:rPr>
          <w:i/>
          <w:vertAlign w:val="subscript"/>
        </w:rPr>
        <w:t>z</w:t>
      </w:r>
      <w:r>
        <w:rPr/>
        <w:t xml:space="preserve"> for conventional feed, 29.9% on average but, for the high feed, the increase of the cutting speed varied the values of </w:t>
      </w:r>
      <w:r>
        <w:rPr>
          <w:i/>
        </w:rPr>
        <w:t>R</w:t>
      </w:r>
      <w:r>
        <w:rPr>
          <w:i/>
          <w:vertAlign w:val="subscript"/>
        </w:rPr>
        <w:t>z</w:t>
      </w:r>
      <w:r>
        <w:rPr/>
        <w:t xml:space="preserve"> between -43.7% and 38.9%. The increase of the feed rate increased the values of </w:t>
      </w:r>
      <w:r>
        <w:rPr>
          <w:i/>
        </w:rPr>
        <w:t>R</w:t>
      </w:r>
      <w:r>
        <w:rPr>
          <w:i/>
          <w:vertAlign w:val="subscript"/>
        </w:rPr>
        <w:t>z</w:t>
      </w:r>
      <w:r>
        <w:rPr/>
        <w:t xml:space="preserve"> for conventional feed, 39.3%, on average. For the high feed, the increase of the feed rate increased the values of </w:t>
      </w:r>
      <w:r>
        <w:rPr>
          <w:i/>
        </w:rPr>
        <w:t>R</w:t>
      </w:r>
      <w:r>
        <w:rPr>
          <w:i/>
          <w:vertAlign w:val="subscript"/>
        </w:rPr>
        <w:t>z</w:t>
      </w:r>
      <w:r>
        <w:rPr/>
        <w:t>.</w:t>
      </w:r>
    </w:p>
    <w:p>
      <w:pPr>
        <w:pStyle w:val="Articletext"/>
        <w:rPr/>
      </w:pPr>
      <w:r>
        <w:rPr/>
      </w:r>
    </w:p>
    <w:tbl>
      <w:tblPr>
        <w:tblStyle w:val="Tabelacomgrade"/>
        <w:tblW w:w="9972" w:type="dxa"/>
        <w:jc w:val="left"/>
        <w:tblInd w:w="0" w:type="dxa"/>
        <w:tblCellMar>
          <w:top w:w="0" w:type="dxa"/>
          <w:left w:w="108" w:type="dxa"/>
          <w:bottom w:w="0" w:type="dxa"/>
          <w:right w:w="108" w:type="dxa"/>
        </w:tblCellMar>
        <w:tblLook w:val="04a0" w:noVBand="1" w:noHBand="0" w:lastColumn="0" w:firstColumn="1" w:lastRow="0" w:firstRow="1"/>
      </w:tblPr>
      <w:tblGrid>
        <w:gridCol w:w="4986"/>
        <w:gridCol w:w="4985"/>
      </w:tblGrid>
      <w:tr>
        <w:trPr/>
        <w:tc>
          <w:tcPr>
            <w:tcW w:w="4986"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9" name="Imagem 9"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captura de tela&#10;&#10;Descrição gerada automaticamente"/>
                          <pic:cNvPicPr>
                            <a:picLocks noChangeAspect="1" noChangeArrowheads="1"/>
                          </pic:cNvPicPr>
                        </pic:nvPicPr>
                        <pic:blipFill>
                          <a:blip r:embed="rId11"/>
                          <a:stretch>
                            <a:fillRect/>
                          </a:stretch>
                        </pic:blipFill>
                        <pic:spPr bwMode="auto">
                          <a:xfrm>
                            <a:off x="0" y="0"/>
                            <a:ext cx="3072130" cy="1727835"/>
                          </a:xfrm>
                          <a:prstGeom prst="rect">
                            <a:avLst/>
                          </a:prstGeom>
                        </pic:spPr>
                      </pic:pic>
                    </a:graphicData>
                  </a:graphic>
                </wp:inline>
              </w:drawing>
            </w:r>
          </w:p>
        </w:tc>
        <w:tc>
          <w:tcPr>
            <w:tcW w:w="4985" w:type="dxa"/>
            <w:tcBorders>
              <w:top w:val="nil"/>
              <w:left w:val="nil"/>
              <w:bottom w:val="nil"/>
              <w:right w:val="nil"/>
              <w:insideH w:val="nil"/>
              <w:insideV w:val="nil"/>
            </w:tcBorders>
            <w:shd w:fill="auto" w:val="clear"/>
          </w:tcPr>
          <w:p>
            <w:pPr>
              <w:pStyle w:val="Articleimage"/>
              <w:rPr>
                <w:rFonts w:eastAsia="SimSun" w:cs="Calibri"/>
                <w:lang w:eastAsia="es-ES"/>
              </w:rPr>
            </w:pPr>
            <w:r>
              <w:rPr>
                <w:rFonts w:eastAsia="SimSun" w:cs="Calibri"/>
                <w:lang w:eastAsia="es-ES"/>
              </w:rPr>
              <w:drawing>
                <wp:inline distT="0" distB="5715" distL="0" distR="0">
                  <wp:extent cx="3072130" cy="1727835"/>
                  <wp:effectExtent l="0" t="0" r="0" b="0"/>
                  <wp:docPr id="10"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
                          <pic:cNvPicPr>
                            <a:picLocks noChangeAspect="1" noChangeArrowheads="1"/>
                          </pic:cNvPicPr>
                        </pic:nvPicPr>
                        <pic:blipFill>
                          <a:blip r:embed="rId12"/>
                          <a:stretch>
                            <a:fillRect/>
                          </a:stretch>
                        </pic:blipFill>
                        <pic:spPr bwMode="auto">
                          <a:xfrm>
                            <a:off x="0" y="0"/>
                            <a:ext cx="3072130" cy="1727835"/>
                          </a:xfrm>
                          <a:prstGeom prst="rect">
                            <a:avLst/>
                          </a:prstGeom>
                        </pic:spPr>
                      </pic:pic>
                    </a:graphicData>
                  </a:graphic>
                </wp:inline>
              </w:drawing>
            </w:r>
          </w:p>
        </w:tc>
      </w:tr>
      <w:tr>
        <w:trPr/>
        <w:tc>
          <w:tcPr>
            <w:tcW w:w="4986" w:type="dxa"/>
            <w:tcBorders>
              <w:top w:val="nil"/>
              <w:left w:val="nil"/>
              <w:bottom w:val="nil"/>
              <w:right w:val="nil"/>
              <w:insideH w:val="nil"/>
              <w:insideV w:val="nil"/>
            </w:tcBorders>
            <w:shd w:fill="auto" w:val="clear"/>
          </w:tcPr>
          <w:p>
            <w:pPr>
              <w:pStyle w:val="Articleimage"/>
              <w:rPr>
                <w:lang w:val="en-GB"/>
              </w:rPr>
            </w:pPr>
            <w:r>
              <w:rPr>
                <w:rFonts w:eastAsia="SimSun" w:cs="Calibri"/>
                <w:lang w:eastAsia="es-ES"/>
              </w:rPr>
              <w:t>a) Conventional feed</w:t>
            </w:r>
          </w:p>
        </w:tc>
        <w:tc>
          <w:tcPr>
            <w:tcW w:w="4985" w:type="dxa"/>
            <w:tcBorders>
              <w:top w:val="nil"/>
              <w:left w:val="nil"/>
              <w:bottom w:val="nil"/>
              <w:right w:val="nil"/>
              <w:insideH w:val="nil"/>
              <w:insideV w:val="nil"/>
            </w:tcBorders>
            <w:shd w:fill="auto" w:val="clear"/>
          </w:tcPr>
          <w:p>
            <w:pPr>
              <w:pStyle w:val="Articleimage"/>
              <w:rPr>
                <w:lang w:val="en-GB"/>
              </w:rPr>
            </w:pPr>
            <w:r>
              <w:rPr>
                <w:rFonts w:eastAsia="SimSun" w:cs="Calibri"/>
                <w:lang w:eastAsia="es-ES"/>
              </w:rPr>
              <w:t>b) High feed</w:t>
            </w:r>
          </w:p>
        </w:tc>
      </w:tr>
    </w:tbl>
    <w:p>
      <w:pPr>
        <w:pStyle w:val="Articlefigure"/>
        <w:rPr/>
      </w:pPr>
      <w:bookmarkStart w:id="36" w:name="_Ref496903354"/>
      <w:r>
        <w:rPr/>
        <w:t xml:space="preserve">Figure </w:t>
      </w:r>
      <w:r>
        <w:rPr/>
        <w:fldChar w:fldCharType="begin"/>
      </w:r>
      <w:r>
        <w:instrText> SEQ Figure \* ARABIC </w:instrText>
      </w:r>
      <w:r>
        <w:fldChar w:fldCharType="separate"/>
      </w:r>
      <w:r>
        <w:t>6</w:t>
      </w:r>
      <w:r>
        <w:fldChar w:fldCharType="end"/>
      </w:r>
      <w:bookmarkEnd w:id="36"/>
      <w:r>
        <w:rPr/>
        <w:t xml:space="preserve"> – Values of </w:t>
      </w:r>
      <w:r>
        <w:rPr>
          <w:i/>
        </w:rPr>
        <w:t>R</w:t>
      </w:r>
      <w:r>
        <w:rPr>
          <w:i/>
          <w:vertAlign w:val="subscript"/>
        </w:rPr>
        <w:t>z</w:t>
      </w:r>
      <w:r>
        <w:rPr/>
        <w:t xml:space="preserve"> for conventional and high feed</w:t>
      </w:r>
    </w:p>
    <w:p>
      <w:pPr>
        <w:pStyle w:val="Articletext"/>
        <w:rPr/>
      </w:pPr>
      <w:r>
        <w:rPr/>
        <w:t>In general, the use of cutting fluid increased the values of surface roughness profiles when compared to the dry condition in the conventional feed, 34.9% (</w:t>
      </w:r>
      <w:r>
        <w:rPr>
          <w:i/>
        </w:rPr>
        <w:t>R</w:t>
      </w:r>
      <w:r>
        <w:rPr>
          <w:i/>
          <w:vertAlign w:val="subscript"/>
        </w:rPr>
        <w:t>a</w:t>
      </w:r>
      <w:r>
        <w:rPr/>
        <w:t>), 7.9% (</w:t>
      </w:r>
      <w:r>
        <w:rPr>
          <w:i/>
        </w:rPr>
        <w:t>R</w:t>
      </w:r>
      <w:r>
        <w:rPr>
          <w:i/>
          <w:vertAlign w:val="subscript"/>
        </w:rPr>
        <w:t>t</w:t>
      </w:r>
      <w:r>
        <w:rPr/>
        <w:t>), and 19.3% (</w:t>
      </w:r>
      <w:r>
        <w:rPr>
          <w:i/>
        </w:rPr>
        <w:t>R</w:t>
      </w:r>
      <w:r>
        <w:rPr>
          <w:i/>
          <w:vertAlign w:val="subscript"/>
        </w:rPr>
        <w:t>z</w:t>
      </w:r>
      <w:r>
        <w:rPr/>
        <w:t xml:space="preserve">), on average. For the high feed, the use of cutting fluid decreased the </w:t>
      </w:r>
      <w:r>
        <w:rPr>
          <w:i/>
        </w:rPr>
        <w:t>R</w:t>
      </w:r>
      <w:r>
        <w:rPr>
          <w:i/>
          <w:vertAlign w:val="subscript"/>
        </w:rPr>
        <w:t>a</w:t>
      </w:r>
      <w:r>
        <w:rPr/>
        <w:t xml:space="preserve"> (46.4%), </w:t>
      </w:r>
      <w:r>
        <w:rPr>
          <w:i/>
        </w:rPr>
        <w:t>R</w:t>
      </w:r>
      <w:r>
        <w:rPr>
          <w:i/>
          <w:vertAlign w:val="subscript"/>
        </w:rPr>
        <w:t>t</w:t>
      </w:r>
      <w:r>
        <w:rPr/>
        <w:t xml:space="preserve"> (34.2%), and </w:t>
      </w:r>
      <w:r>
        <w:rPr>
          <w:i/>
        </w:rPr>
        <w:t>R</w:t>
      </w:r>
      <w:r>
        <w:rPr>
          <w:i/>
          <w:vertAlign w:val="subscript"/>
        </w:rPr>
        <w:t>z</w:t>
      </w:r>
      <w:r>
        <w:rPr/>
        <w:t xml:space="preserve"> (30.2%), on average. Studying the cooling during the turning, Bruni </w:t>
      </w:r>
      <w:r>
        <w:rPr>
          <w:i/>
        </w:rPr>
        <w:t>et al.</w:t>
      </w:r>
      <w:r>
        <w:rPr/>
        <w:t xml:space="preserve"> </w:t>
      </w:r>
      <w:r>
        <w:fldChar w:fldCharType="begin"/>
      </w:r>
      <w:r>
        <w:instrText>ADDIN CSL_CITATION {"citationItems":[{"id":"ITEM-1","itemData":{"DOI":"10.1016/J.IJMACHTOOLS.2005.09.007","abstract":"The paper is focussed on the effects produced by cutting operations on workpiece surface finish and tool wear. To this end, finish turning of AISI 420B stainless-steel was carried out under wet, minimum quantity of lubricant and dry cutting conditions, using both conventional and wiper technology inserts, on turning centres equipped with beds made in polymer concrete and cast iron. The workpiece surface finish and tool wear versus cutting volume were measured, and the results analysed and discussed in detail. The most significant results were: (i) the lubrication-cooling technique does not significantly affect the tool wear, whilst wet cutting produces the worst surface finish, (ii) the wiper inserts allow obtaining of the best surface finish, and (iii) the use of polymer concrete bed leads to an improved behaviour in terms of tool wear and surface roughness.","author":[{"dropping-particle":"","family":"Bruni","given":"C.","non-dropping-particle":"","parse-names":false,"suffix":""},{"dropping-particle":"","family":"Forcellese","given":"A.","non-dropping-particle":"","parse-names":false,"suffix":""},{"dropping-particle":"","family":"Gabrielli","given":"F.","non-dropping-particle":"","parse-names":false,"suffix":""},{"dropping-particle":"","family":"Simoncini","given":"M.","non-dropping-particle":"","parse-names":false,"suffix":""}],"container-title":"International Journal of Machine Tools and Manufacture","id":"ITEM-1","issue":"12-13","issued":{"date-parts":[["2006","10","1"]]},"page":"1547-1554","publisher":"Pergamon","title":"Effect of the lubrication-cooling technique, insert technology and machine bed material on the workpart surface finish and tool wear in finish turning of AISI 420B","type":"article-journal","volume":"46"},"suppress-author":1,"uris":["http://www.mendeley.com/documents/?uuid=aa981741-c394-3101-968e-fea6e46e0387"]}],"mendeley":{"formattedCitation":"[24]","plainTextFormattedCitation":"[24]","previouslyFormattedCitation":"[24]"},"properties":{"noteIndex":0},"schema":"https://github.com/citation-style-language/schema/raw/master/csl-citation.json"}</w:instrText>
      </w:r>
      <w:r>
        <w:fldChar w:fldCharType="separate"/>
      </w:r>
      <w:bookmarkStart w:id="37" w:name="__Fieldmark__3108_2768839"/>
      <w:r>
        <w:rPr/>
        <w:t>[24]</w:t>
      </w:r>
      <w:r>
        <w:rPr/>
      </w:r>
      <w:r>
        <w:fldChar w:fldCharType="end"/>
      </w:r>
      <w:bookmarkEnd w:id="37"/>
      <w:r>
        <w:rPr/>
        <w:t xml:space="preserve"> observed that the use of cutting fluid did not have relevance on the tool wear. Besides, this use provided worst results of surface roughness. Simunovic </w:t>
      </w:r>
      <w:r>
        <w:rPr>
          <w:i/>
        </w:rPr>
        <w:t>et al.</w:t>
      </w:r>
      <w:r>
        <w:rPr/>
        <w:t xml:space="preserve"> </w:t>
      </w:r>
      <w:r>
        <w:fldChar w:fldCharType="begin"/>
      </w:r>
      <w:r>
        <w:instrText>ADDIN CSL_CITATION {"citationItems":[{"id":"ITEM-1","itemData":{"DOI":"10.1016/j.jclepro.2015.02.015","ISSN":"09596526","abstract":"With the main aim of studying the reduced use of cooling/lubricating fluid and thereby contributing to cleaner manufacturing and environmental protection, the present study investigates the influence of four input variables, namely methods of cooling/lubricating (dry cutting conditions, cooling/lubricating through the tool and flood cooling/lubricating), depth of cut, number of revolutions and feed rate, on the surface roughness of face-milled structural steel. Through response surface methodology, the optimal machining parameters for obtaining the least surface roughness and the optimal parameters for two objective functions, namely minimum surface roughness and minimum standard deviation of the variability in the response transmitted from the factors, i.e., the propagation of error, were determined. The robustness study revealed that the obtained optimal parameters (depth of cut, 1.04 mm; feed rate, 100 mm/min; number of revolutions, 800 rev/min; and dry machining) will yield a minimum roughness of 0.62 μm with a minimum variability in the response transmitted from the factors. This study also demonstrated that nearly the same surface roughness of machined area was achieved for dry machining and cooling/lubricating through the tool, while the surface roughness higher values were obtained for flood cooling/lubricating. Due to the short machining time (small surface), the tool heating did not occur in dry machining while in cooling/lubricating through the tool, positive influence of high pressure was emphasized due to suppressing the formed chips from the tool and protecting the tool edge. Therefore, in both processes better quality of surface was obtained than in low pressure flood cooling/lubricating in which suppressing chips on the tool edge occurs as well as vibrations and increase of surface roughness.","author":[{"dropping-particle":"","family":"Simunovic","given":"K.","non-dropping-particle":"","parse-names":false,"suffix":""},{"dropping-particle":"","family":"Simunovic","given":"G.","non-dropping-particle":"","parse-names":false,"suffix":""},{"dropping-particle":"","family":"Saric","given":"T.","non-dropping-particle":"","parse-names":false,"suffix":""}],"container-title":"Journal of Cleaner Production","id":"ITEM-1","issued":{"date-parts":[["2015","5"]]},"page":"321-329","title":"Single and multiple goal optimization of structural steel face milling process considering different methods of cooling/lubricating","type":"article-journal","volume":"94"},"suppress-author":1,"uris":["http://www.mendeley.com/documents/?uuid=fdd2e643-8dc3-4397-8ac3-81c05e0e5f1c"]}],"mendeley":{"formattedCitation":"[25]","plainTextFormattedCitation":"[25]","previouslyFormattedCitation":"[25]"},"properties":{"noteIndex":0},"schema":"https://github.com/citation-style-language/schema/raw/master/csl-citation.json"}</w:instrText>
      </w:r>
      <w:r>
        <w:fldChar w:fldCharType="separate"/>
      </w:r>
      <w:bookmarkStart w:id="38" w:name="__Fieldmark__3169_2768839"/>
      <w:r>
        <w:rPr/>
        <w:t>[25]</w:t>
      </w:r>
      <w:r>
        <w:rPr/>
      </w:r>
      <w:r>
        <w:fldChar w:fldCharType="end"/>
      </w:r>
      <w:bookmarkEnd w:id="38"/>
      <w:r>
        <w:rPr/>
        <w:t xml:space="preserve"> analysed the surface roughness in milling. The authors used workpieces with small dimensions that did not cause high tool temperatures. Analysing the dry, external, and internal cooling in the drilling of Ti-6Al-4V titanium alloy, Li and Shih </w:t>
      </w:r>
      <w:r>
        <w:fldChar w:fldCharType="begin"/>
      </w:r>
      <w:r>
        <w:instrText>ADDIN CSL_CITATION {"citationItems":[{"id":"ITEM-1","itemData":{"author":[{"dropping-particle":"","family":"Li","given":"Rui","non-dropping-particle":"","parse-names":false,"suffix":""},{"dropping-particle":"","family":"Shih","given":"Albert Jau-Min","non-dropping-particle":"","parse-names":false,"suffix":""}],"container-title":"Chinese journal of mechanical engineering","id":"ITEM-1","issue":"3","issued":{"date-parts":[["2007"]]},"page":"62-66","title":"High-throughput drilling of titanium alloys","type":"article-journal","volume":"20"},"suppress-author":1,"uris":["http://www.mendeley.com/documents/?uuid=336e5123-2170-43a2-b40d-5f0ed6eff081"]}],"mendeley":{"formattedCitation":"[26]","plainTextFormattedCitation":"[26]","previouslyFormattedCitation":"[26]"},"properties":{"noteIndex":0},"schema":"https://github.com/citation-style-language/schema/raw/master/csl-citation.json"}</w:instrText>
      </w:r>
      <w:r>
        <w:fldChar w:fldCharType="separate"/>
      </w:r>
      <w:bookmarkStart w:id="39" w:name="__Fieldmark__3247_2768839"/>
      <w:r>
        <w:rPr/>
        <w:t>[26]</w:t>
      </w:r>
      <w:r>
        <w:rPr/>
      </w:r>
      <w:r>
        <w:fldChar w:fldCharType="end"/>
      </w:r>
      <w:bookmarkEnd w:id="39"/>
      <w:r>
        <w:rPr/>
        <w:t xml:space="preserve"> observed that external cooling, when compared to dry condition, provided a slight increase on the tool life because the centrifugal force hampered that the fluid to achieve the cutting zone.</w:t>
      </w:r>
    </w:p>
    <w:p>
      <w:pPr>
        <w:pStyle w:val="Articletext"/>
        <w:rPr/>
      </w:pPr>
      <w:r>
        <w:rPr/>
        <w:t xml:space="preserve">Shetty </w:t>
      </w:r>
      <w:r>
        <w:rPr>
          <w:i/>
        </w:rPr>
        <w:t>et al</w:t>
      </w:r>
      <w:r>
        <w:rPr/>
        <w:t xml:space="preserve">. </w:t>
      </w:r>
      <w:r>
        <w:fldChar w:fldCharType="begin"/>
      </w:r>
      <w:r>
        <w:instrText>ADDIN CSL_CITATION {"citationItems":[{"id":"ITEM-1","itemData":{"DOI":"10.1016/J.MSPRO.2014.07.521","ISSN":"2211-8128","abstract":"In modern manufacturing technology, a lot of extensive research work has been carried out in drilling operations for achieving better hole quality. Drilling is one such machining processes which is widely used in aeronautical and automotive industries for structural assembly. Titanium alloy (Ti-6Al-4V) is attractive for many applications due to their superior properties. However, they are regarded as hard-to-machine materials. Drilling is an important machining process since it is involved in nearly all Titanium alloy applications. It is desirable to develop cost-effective drilling processes for Titanium alloy and improve the cost- effectiveness of currently-available processes. In the view of above facts, an attempt has been made to study the machinability during dry drilling of Ti-6Al-4V. The main objective of this study is to determine the favourable drilling conditions for Ti-6Al- 4V hole quality (surface roughness, and burr) and chip type based on design of experiments.","author":[{"dropping-particle":"","family":"Shetty","given":"Pradeep Kumar","non-dropping-particle":"","parse-names":false,"suffix":""},{"dropping-particle":"","family":"Shetty","given":"Raviraj","non-dropping-particle":"","parse-names":false,"suffix":""},{"dropping-particle":"","family":"Shetty","given":"Divakara","non-dropping-particle":"","parse-names":false,"suffix":""},{"dropping-particle":"","family":"Rehaman","given":"N. Fazalul","non-dropping-particle":"","parse-names":false,"suffix":""},{"dropping-particle":"","family":"Jose","given":"Tony K.","non-dropping-particle":"","parse-names":false,"suffix":""}],"container-title":"Procedia Materials Science","id":"ITEM-1","issued":{"date-parts":[["2014","1","1"]]},"page":"2605-2614","publisher":"Elsevier","title":"Machinability Study on Dry Drilling of Titanium Alloy Ti-6Al-4V using L9 Orthoganal Array","type":"article-journal","volume":"5"},"suppress-author":1,"uris":["http://www.mendeley.com/documents/?uuid=b9c200bc-8476-3ce9-9e90-bc55426bd571"]}],"mendeley":{"formattedCitation":"[27]","plainTextFormattedCitation":"[27]","previouslyFormattedCitation":"[27]"},"properties":{"noteIndex":0},"schema":"https://github.com/citation-style-language/schema/raw/master/csl-citation.json"}</w:instrText>
      </w:r>
      <w:r>
        <w:fldChar w:fldCharType="separate"/>
      </w:r>
      <w:bookmarkStart w:id="40" w:name="__Fieldmark__3314_2768839"/>
      <w:r>
        <w:rPr/>
        <w:t>[27]</w:t>
      </w:r>
      <w:r>
        <w:rPr/>
      </w:r>
      <w:r>
        <w:fldChar w:fldCharType="end"/>
      </w:r>
      <w:bookmarkEnd w:id="40"/>
      <w:r>
        <w:rPr/>
        <w:t xml:space="preserve">, in the drilling of the Ti-6Al-4V titanium alloy, analysed the surface roughness, which was obtained the lower values employed the high level of cutting speed and feed rate. This improvement in the surface roughness can be explained because the increase of the cutting speed reduced the friction coefficient and the cutting temperature that can cause a softening of the workpiece. For high feed, although the maximum cutting speed was lower, the feed speed was higher than in the conventional feed, which reduced the cutting time, consequently, reducing the tool temperature. The high temperatures influence the tool life and the surface roughness </w:t>
      </w:r>
      <w:r>
        <w:fldChar w:fldCharType="begin"/>
      </w:r>
      <w:r>
        <w:instrText>ADDIN CSL_CITATION {"citationItems":[{"id":"ITEM-1","itemData":{"DOI":"10.1016/j.jclepro.2015.02.015","ISSN":"09596526","abstract":"With the main aim of studying the reduced use of cooling/lubricating fluid and thereby contributing to cleaner manufacturing and environmental protection, the present study investigates the influence of four input variables, namely methods of cooling/lubricating (dry cutting conditions, cooling/lubricating through the tool and flood cooling/lubricating), depth of cut, number of revolutions and feed rate, on the surface roughness of face-milled structural steel. Through response surface methodology, the optimal machining parameters for obtaining the least surface roughness and the optimal parameters for two objective functions, namely minimum surface roughness and minimum standard deviation of the variability in the response transmitted from the factors, i.e., the propagation of error, were determined. The robustness study revealed that the obtained optimal parameters (depth of cut, 1.04 mm; feed rate, 100 mm/min; number of revolutions, 800 rev/min; and dry machining) will yield a minimum roughness of 0.62 μm with a minimum variability in the response transmitted from the factors. This study also demonstrated that nearly the same surface roughness of machined area was achieved for dry machining and cooling/lubricating through the tool, while the surface roughness higher values were obtained for flood cooling/lubricating. Due to the short machining time (small surface), the tool heating did not occur in dry machining while in cooling/lubricating through the tool, positive influence of high pressure was emphasized due to suppressing the formed chips from the tool and protecting the tool edge. Therefore, in both processes better quality of surface was obtained than in low pressure flood cooling/lubricating in which suppressing chips on the tool edge occurs as well as vibrations and increase of surface roughness.","author":[{"dropping-particle":"","family":"Simunovic","given":"K.","non-dropping-particle":"","parse-names":false,"suffix":""},{"dropping-particle":"","family":"Simunovic","given":"G.","non-dropping-particle":"","parse-names":false,"suffix":""},{"dropping-particle":"","family":"Saric","given":"T.","non-dropping-particle":"","parse-names":false,"suffix":""}],"container-title":"Journal of Cleaner Production","id":"ITEM-1","issued":{"date-parts":[["2015","5"]]},"page":"321-329","title":"Single and multiple goal optimization of structural steel face milling process considering different methods of cooling/lubricating","type":"article-journal","volume":"94"},"uris":["http://www.mendeley.com/documents/?uuid=fdd2e643-8dc3-4397-8ac3-81c05e0e5f1c"]}],"mendeley":{"formattedCitation":"[25]","plainTextFormattedCitation":"[25]","previouslyFormattedCitation":"[25]"},"properties":{"noteIndex":0},"schema":"https://github.com/citation-style-language/schema/raw/master/csl-citation.json"}</w:instrText>
      </w:r>
      <w:r>
        <w:fldChar w:fldCharType="separate"/>
      </w:r>
      <w:bookmarkStart w:id="41" w:name="__Fieldmark__3519_2768839"/>
      <w:r>
        <w:rPr/>
        <w:t>[25]</w:t>
      </w:r>
      <w:r>
        <w:rPr/>
      </w:r>
      <w:r>
        <w:fldChar w:fldCharType="end"/>
      </w:r>
      <w:bookmarkEnd w:id="41"/>
      <w:r>
        <w:rPr/>
        <w:t>.</w:t>
      </w:r>
    </w:p>
    <w:p>
      <w:pPr>
        <w:pStyle w:val="Articletext"/>
        <w:rPr/>
      </w:pPr>
      <w:r>
        <w:rPr/>
        <w:t xml:space="preserve">In addition, the increase of surface roughness, in conventional feed, when using the cutting fluid can be justified due to the external flow was in the opposite direction of the exit of the chips. Thus, the micro-chips accumulated in the hole damaged the machined surface during drilling. In the high feed, due to the highest dimension of the chips and lowest cutting time, the presence of micro-chips in the was reduced from the hole during the cut, </w:t>
      </w:r>
      <w:bookmarkStart w:id="42" w:name="_Hlk9875545"/>
      <w:bookmarkEnd w:id="42"/>
      <w:r>
        <w:rPr/>
        <w:t xml:space="preserve">avoiding that the cutting fluid tossed the micro-chips. </w:t>
      </w:r>
    </w:p>
    <w:p>
      <w:pPr>
        <w:pStyle w:val="Articletext"/>
        <w:rPr/>
      </w:pPr>
      <w:r>
        <w:rPr/>
        <w:t xml:space="preserve">In </w:t>
      </w:r>
      <w:r>
        <w:rPr/>
        <w:fldChar w:fldCharType="begin"/>
      </w:r>
      <w:r>
        <w:instrText> REF _Ref514655317 \h </w:instrText>
      </w:r>
      <w:r>
        <w:fldChar w:fldCharType="separate"/>
      </w:r>
      <w:r>
        <w:t>Table 3</w:t>
      </w:r>
      <w:r>
        <w:fldChar w:fldCharType="end"/>
      </w:r>
      <w:r>
        <w:rPr/>
        <w:t xml:space="preserve">, it is shown the </w:t>
      </w:r>
      <w:r>
        <w:rPr>
          <w:i/>
        </w:rPr>
        <w:t>S/N</w:t>
      </w:r>
      <w:r>
        <w:rPr/>
        <w:t xml:space="preserve"> ratio for surface roughness profiles to both feed rates classes. The conventional feed showed a similar behaviour for all </w:t>
      </w:r>
      <w:bookmarkStart w:id="43" w:name="_Hlk3391639"/>
      <w:r>
        <w:rPr/>
        <w:t>surface roughness profiles</w:t>
      </w:r>
      <w:bookmarkEnd w:id="43"/>
      <w:r>
        <w:rPr/>
        <w:t xml:space="preserve">, being the cutting speed the main factor. In the high feed, the rank of factor varied for each surface roughness profiles. When comparing the conventional and high feed, for example, in the </w:t>
      </w:r>
      <w:r>
        <w:rPr>
          <w:i/>
        </w:rPr>
        <w:t>R</w:t>
      </w:r>
      <w:r>
        <w:rPr>
          <w:i/>
          <w:vertAlign w:val="subscript"/>
        </w:rPr>
        <w:t>a</w:t>
      </w:r>
      <w:r>
        <w:rPr/>
        <w:t xml:space="preserve"> and </w:t>
      </w:r>
      <w:r>
        <w:rPr>
          <w:i/>
        </w:rPr>
        <w:t>R</w:t>
      </w:r>
      <w:r>
        <w:rPr>
          <w:i/>
          <w:vertAlign w:val="subscript"/>
        </w:rPr>
        <w:t>z</w:t>
      </w:r>
      <w:r>
        <w:rPr/>
        <w:t xml:space="preserve"> surface roughness, the cooling was the main factor in the high feed, however, for the conventional feed, it was the smallest significant for the conventional feed.</w:t>
      </w:r>
    </w:p>
    <w:p>
      <w:pPr>
        <w:pStyle w:val="Articletext"/>
        <w:rPr/>
      </w:pPr>
      <w:r>
        <w:rPr/>
        <w:t xml:space="preserve">The optimum conditions for conventional and high feed are shown in </w:t>
      </w:r>
      <w:r>
        <w:rPr/>
        <w:fldChar w:fldCharType="begin"/>
      </w:r>
      <w:r>
        <w:instrText> REF _Ref509417488 \h </w:instrText>
      </w:r>
      <w:r>
        <w:fldChar w:fldCharType="separate"/>
      </w:r>
      <w:r>
        <w:t>Table 4</w:t>
      </w:r>
      <w:r>
        <w:fldChar w:fldCharType="end"/>
      </w:r>
      <w:r>
        <w:rPr/>
        <w:t xml:space="preserve">. For the conventional feed, the combination in dry condition of </w:t>
      </w:r>
      <w:r>
        <w:rPr>
          <w:i/>
        </w:rPr>
        <w:t>v</w:t>
      </w:r>
      <w:r>
        <w:rPr>
          <w:i/>
          <w:vertAlign w:val="subscript"/>
        </w:rPr>
        <w:t>c</w:t>
      </w:r>
      <w:r>
        <w:rPr/>
        <w:t xml:space="preserve"> = 110 m/min and </w:t>
      </w:r>
      <w:r>
        <w:rPr>
          <w:i/>
        </w:rPr>
        <w:t>f</w:t>
      </w:r>
      <w:r>
        <w:rPr/>
        <w:t xml:space="preserve"> = 0.15 mm/rev was the optimum condition for all responses. For the high feed, the optimum conditions were obtained with the wet condition. However, the feed rate varied between 1.00 and 1.50 and the cutting speed tended to converge to the high level, 70 m/min. Applying equal weight, the optimum condition was obtained employing a wet condition with </w:t>
      </w:r>
      <w:r>
        <w:rPr>
          <w:i/>
        </w:rPr>
        <w:t>v</w:t>
      </w:r>
      <w:r>
        <w:rPr>
          <w:i/>
          <w:vertAlign w:val="subscript"/>
        </w:rPr>
        <w:t>c</w:t>
      </w:r>
      <w:r>
        <w:rPr/>
        <w:t xml:space="preserve"> = 70 m/min and </w:t>
      </w:r>
      <w:r>
        <w:rPr>
          <w:i/>
        </w:rPr>
        <w:t>f</w:t>
      </w:r>
      <w:r>
        <w:rPr/>
        <w:t xml:space="preserve"> = 1.50 mm/rev.</w:t>
      </w:r>
    </w:p>
    <w:p>
      <w:pPr>
        <w:pStyle w:val="Articletext"/>
        <w:rPr/>
      </w:pPr>
      <w:r>
        <w:rPr/>
      </w:r>
    </w:p>
    <w:p>
      <w:pPr>
        <w:pStyle w:val="Articlefigure"/>
        <w:rPr/>
      </w:pPr>
      <w:bookmarkStart w:id="44" w:name="_Ref514655317"/>
      <w:r>
        <w:rPr/>
        <w:t xml:space="preserve">Table </w:t>
      </w:r>
      <w:r>
        <w:rPr/>
        <w:fldChar w:fldCharType="begin"/>
      </w:r>
      <w:r>
        <w:instrText> SEQ Table \* ARABIC </w:instrText>
      </w:r>
      <w:r>
        <w:fldChar w:fldCharType="separate"/>
      </w:r>
      <w:r>
        <w:t>3</w:t>
      </w:r>
      <w:r>
        <w:fldChar w:fldCharType="end"/>
      </w:r>
      <w:bookmarkEnd w:id="44"/>
      <w:r>
        <w:rPr/>
        <w:t xml:space="preserve"> – The S/N ratios for surface roughness in the conventional and high feed (Smaller is better)</w:t>
      </w:r>
    </w:p>
    <w:tbl>
      <w:tblPr>
        <w:tblStyle w:val="Tabelacomgrade"/>
        <w:tblW w:w="9498" w:type="dxa"/>
        <w:jc w:val="center"/>
        <w:tblInd w:w="0" w:type="dxa"/>
        <w:tblCellMar>
          <w:top w:w="0" w:type="dxa"/>
          <w:left w:w="108" w:type="dxa"/>
          <w:bottom w:w="0" w:type="dxa"/>
          <w:right w:w="108" w:type="dxa"/>
        </w:tblCellMar>
        <w:tblLook w:val="04a0" w:noVBand="1" w:noHBand="0" w:lastColumn="0" w:firstColumn="1" w:lastRow="0" w:firstRow="1"/>
      </w:tblPr>
      <w:tblGrid>
        <w:gridCol w:w="506"/>
        <w:gridCol w:w="791"/>
        <w:gridCol w:w="971"/>
        <w:gridCol w:w="851"/>
        <w:gridCol w:w="995"/>
        <w:gridCol w:w="848"/>
        <w:gridCol w:w="850"/>
        <w:gridCol w:w="991"/>
        <w:gridCol w:w="852"/>
        <w:gridCol w:w="850"/>
        <w:gridCol w:w="991"/>
      </w:tblGrid>
      <w:tr>
        <w:trPr/>
        <w:tc>
          <w:tcPr>
            <w:tcW w:w="506" w:type="dxa"/>
            <w:vMerge w:val="restart"/>
            <w:tcBorders>
              <w:top w:val="single" w:sz="12" w:space="0" w:color="00000A"/>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2817" w:type="dxa"/>
            <w:gridSpan w:val="3"/>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R</w:t>
            </w:r>
            <w:r>
              <w:rPr>
                <w:rFonts w:eastAsia="SimSun" w:cs="Calibri"/>
                <w:i/>
                <w:vertAlign w:val="subscript"/>
                <w:lang w:eastAsia="es-ES"/>
              </w:rPr>
              <w:t>a</w:t>
            </w:r>
            <w:r>
              <w:rPr>
                <w:rFonts w:eastAsia="SimSun" w:cs="Calibri"/>
                <w:lang w:eastAsia="es-ES"/>
              </w:rPr>
              <w:t xml:space="preserve"> surface roughness</w:t>
            </w:r>
          </w:p>
        </w:tc>
        <w:tc>
          <w:tcPr>
            <w:tcW w:w="2689" w:type="dxa"/>
            <w:gridSpan w:val="3"/>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R</w:t>
            </w:r>
            <w:r>
              <w:rPr>
                <w:rFonts w:eastAsia="SimSun" w:cs="Calibri"/>
                <w:i/>
                <w:vertAlign w:val="subscript"/>
                <w:lang w:eastAsia="es-ES"/>
              </w:rPr>
              <w:t>t</w:t>
            </w:r>
            <w:r>
              <w:rPr>
                <w:rFonts w:eastAsia="SimSun" w:cs="Calibri"/>
                <w:lang w:eastAsia="es-ES"/>
              </w:rPr>
              <w:t xml:space="preserve"> surface roughness</w:t>
            </w:r>
          </w:p>
        </w:tc>
        <w:tc>
          <w:tcPr>
            <w:tcW w:w="2693" w:type="dxa"/>
            <w:gridSpan w:val="3"/>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R</w:t>
            </w:r>
            <w:r>
              <w:rPr>
                <w:rFonts w:eastAsia="SimSun" w:cs="Calibri"/>
                <w:i/>
                <w:vertAlign w:val="subscript"/>
                <w:lang w:eastAsia="es-ES"/>
              </w:rPr>
              <w:t>z</w:t>
            </w:r>
            <w:r>
              <w:rPr>
                <w:rFonts w:eastAsia="SimSun" w:cs="Calibri"/>
                <w:lang w:eastAsia="es-ES"/>
              </w:rPr>
              <w:t xml:space="preserve"> surface roughness</w:t>
            </w:r>
          </w:p>
        </w:tc>
      </w:tr>
      <w:tr>
        <w:trPr/>
        <w:tc>
          <w:tcPr>
            <w:tcW w:w="506" w:type="dxa"/>
            <w:vMerge w:val="continue"/>
            <w:tcBorders>
              <w:left w:val="nil"/>
              <w:bottom w:val="single" w:sz="12" w:space="0" w:color="00000A"/>
              <w:right w:val="nil"/>
              <w:insideH w:val="single" w:sz="12" w:space="0" w:color="00000A"/>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Level</w:t>
            </w:r>
          </w:p>
        </w:tc>
        <w:tc>
          <w:tcPr>
            <w:tcW w:w="97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v</w:t>
            </w:r>
            <w:r>
              <w:rPr>
                <w:rFonts w:eastAsia="SimSun" w:cs="Calibri"/>
                <w:i/>
                <w:vertAlign w:val="subscript"/>
                <w:lang w:eastAsia="es-ES"/>
              </w:rPr>
              <w:t>c</w:t>
            </w:r>
          </w:p>
        </w:tc>
        <w:tc>
          <w:tcPr>
            <w:tcW w:w="85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i/>
                <w:i/>
              </w:rPr>
            </w:pPr>
            <w:r>
              <w:rPr>
                <w:rFonts w:eastAsia="SimSun" w:cs="Calibri"/>
                <w:i/>
                <w:lang w:eastAsia="es-ES"/>
              </w:rPr>
              <w:t>f</w:t>
            </w:r>
          </w:p>
        </w:tc>
        <w:tc>
          <w:tcPr>
            <w:tcW w:w="995"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Cooling</w:t>
            </w:r>
          </w:p>
        </w:tc>
        <w:tc>
          <w:tcPr>
            <w:tcW w:w="848"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v</w:t>
            </w:r>
            <w:r>
              <w:rPr>
                <w:rFonts w:eastAsia="SimSun" w:cs="Calibri"/>
                <w:i/>
                <w:vertAlign w:val="subscript"/>
                <w:lang w:eastAsia="es-ES"/>
              </w:rPr>
              <w:t>c</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i/>
                <w:i/>
              </w:rPr>
            </w:pPr>
            <w:r>
              <w:rPr>
                <w:rFonts w:eastAsia="SimSun" w:cs="Calibri"/>
                <w:i/>
                <w:lang w:eastAsia="es-ES"/>
              </w:rPr>
              <w:t>f</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Cooling</w:t>
            </w:r>
          </w:p>
        </w:tc>
        <w:tc>
          <w:tcPr>
            <w:tcW w:w="852"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i/>
                <w:lang w:eastAsia="es-ES"/>
              </w:rPr>
              <w:t>v</w:t>
            </w:r>
            <w:r>
              <w:rPr>
                <w:rFonts w:eastAsia="SimSun" w:cs="Calibri"/>
                <w:i/>
                <w:vertAlign w:val="subscript"/>
                <w:lang w:eastAsia="es-ES"/>
              </w:rPr>
              <w:t>c</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i/>
                <w:i/>
              </w:rPr>
            </w:pPr>
            <w:r>
              <w:rPr>
                <w:rFonts w:eastAsia="SimSun" w:cs="Calibri"/>
                <w:i/>
                <w:lang w:eastAsia="es-ES"/>
              </w:rPr>
              <w:t>f</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Cooling</w:t>
            </w:r>
          </w:p>
        </w:tc>
      </w:tr>
      <w:tr>
        <w:trPr/>
        <w:tc>
          <w:tcPr>
            <w:tcW w:w="506" w:type="dxa"/>
            <w:vMerge w:val="restart"/>
            <w:tcBorders>
              <w:top w:val="single" w:sz="12" w:space="0" w:color="00000A"/>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t>Conventional</w:t>
            </w:r>
          </w:p>
        </w:tc>
        <w:tc>
          <w:tcPr>
            <w:tcW w:w="7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97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-0.648</w:t>
            </w:r>
          </w:p>
        </w:tc>
        <w:tc>
          <w:tcPr>
            <w:tcW w:w="85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2.516</w:t>
            </w:r>
          </w:p>
        </w:tc>
        <w:tc>
          <w:tcPr>
            <w:tcW w:w="995"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1.780</w:t>
            </w:r>
          </w:p>
        </w:tc>
        <w:tc>
          <w:tcPr>
            <w:tcW w:w="848"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-19.87</w:t>
            </w:r>
          </w:p>
        </w:tc>
        <w:tc>
          <w:tcPr>
            <w:tcW w:w="850"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-16.73</w:t>
            </w:r>
          </w:p>
        </w:tc>
        <w:tc>
          <w:tcPr>
            <w:tcW w:w="9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-18.28</w:t>
            </w:r>
          </w:p>
        </w:tc>
        <w:tc>
          <w:tcPr>
            <w:tcW w:w="852"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-16.87</w:t>
            </w:r>
          </w:p>
        </w:tc>
        <w:tc>
          <w:tcPr>
            <w:tcW w:w="850"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-13.86</w:t>
            </w:r>
          </w:p>
        </w:tc>
        <w:tc>
          <w:tcPr>
            <w:tcW w:w="9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-14.93</w:t>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-1.428</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-1.428</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-0.755</w:t>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-20.33</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-20.33</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-18.82</w:t>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-17.47</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-17.47</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-16.37</w:t>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2.643</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-0.521</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-16.35</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-19.49</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-13.52</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-16.53</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Delta</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4.072</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3.944</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2.535</w:t>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3.99</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3.61</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0.54</w:t>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3.95</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3.61</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1.44</w:t>
            </w:r>
          </w:p>
        </w:tc>
      </w:tr>
      <w:tr>
        <w:trPr/>
        <w:tc>
          <w:tcPr>
            <w:tcW w:w="506" w:type="dxa"/>
            <w:vMerge w:val="continue"/>
            <w:tcBorders>
              <w:left w:val="nil"/>
              <w:bottom w:val="single" w:sz="12" w:space="0" w:color="00000A"/>
              <w:right w:val="nil"/>
              <w:insideH w:val="single" w:sz="12" w:space="0" w:color="00000A"/>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Rank</w:t>
            </w:r>
          </w:p>
        </w:tc>
        <w:tc>
          <w:tcPr>
            <w:tcW w:w="97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85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95"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848"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852"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r>
      <w:tr>
        <w:trPr/>
        <w:tc>
          <w:tcPr>
            <w:tcW w:w="506" w:type="dxa"/>
            <w:tcBorders>
              <w:top w:val="single" w:sz="12" w:space="0" w:color="00000A"/>
              <w:left w:val="nil"/>
              <w:bottom w:val="single" w:sz="12" w:space="0" w:color="00000A"/>
              <w:right w:val="nil"/>
              <w:insideH w:val="single" w:sz="12" w:space="0" w:color="00000A"/>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971"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1"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995"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48"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0"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991"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2"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0"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991" w:type="dxa"/>
            <w:tcBorders>
              <w:top w:val="single" w:sz="12" w:space="0" w:color="00000A"/>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r>
      <w:tr>
        <w:trPr/>
        <w:tc>
          <w:tcPr>
            <w:tcW w:w="506" w:type="dxa"/>
            <w:vMerge w:val="restart"/>
            <w:tcBorders>
              <w:top w:val="single" w:sz="12" w:space="0" w:color="00000A"/>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t>High</w:t>
            </w:r>
          </w:p>
        </w:tc>
        <w:tc>
          <w:tcPr>
            <w:tcW w:w="7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97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-2.052</w:t>
            </w:r>
          </w:p>
        </w:tc>
        <w:tc>
          <w:tcPr>
            <w:tcW w:w="85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0.083</w:t>
            </w:r>
          </w:p>
        </w:tc>
        <w:tc>
          <w:tcPr>
            <w:tcW w:w="995"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-3.244</w:t>
            </w:r>
          </w:p>
        </w:tc>
        <w:tc>
          <w:tcPr>
            <w:tcW w:w="848"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-21.99</w:t>
            </w:r>
          </w:p>
        </w:tc>
        <w:tc>
          <w:tcPr>
            <w:tcW w:w="850"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-19.44</w:t>
            </w:r>
          </w:p>
        </w:tc>
        <w:tc>
          <w:tcPr>
            <w:tcW w:w="9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-22.41</w:t>
            </w:r>
          </w:p>
        </w:tc>
        <w:tc>
          <w:tcPr>
            <w:tcW w:w="852"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-16.49</w:t>
            </w:r>
          </w:p>
        </w:tc>
        <w:tc>
          <w:tcPr>
            <w:tcW w:w="850"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-16.14</w:t>
            </w:r>
          </w:p>
        </w:tc>
        <w:tc>
          <w:tcPr>
            <w:tcW w:w="991" w:type="dxa"/>
            <w:tcBorders>
              <w:top w:val="single" w:sz="12" w:space="0" w:color="00000A"/>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-17.85</w:t>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0.729</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-0.108</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2.189</w:t>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-19.61</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-21.44</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-18.46</w:t>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-15.51</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-14.81</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-14.26</w:t>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2.791</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-2.779</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-16.58</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-22.39</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-15.27</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-17.04</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r>
          </w:p>
        </w:tc>
      </w:tr>
      <w:tr>
        <w:trPr/>
        <w:tc>
          <w:tcPr>
            <w:tcW w:w="506" w:type="dxa"/>
            <w:vMerge w:val="continue"/>
            <w:tcBorders>
              <w:left w:val="nil"/>
              <w:right w:val="nil"/>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Delta</w:t>
            </w:r>
          </w:p>
        </w:tc>
        <w:tc>
          <w:tcPr>
            <w:tcW w:w="97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4.843</w:t>
            </w:r>
          </w:p>
        </w:tc>
        <w:tc>
          <w:tcPr>
            <w:tcW w:w="85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2.862</w:t>
            </w:r>
          </w:p>
        </w:tc>
        <w:tc>
          <w:tcPr>
            <w:tcW w:w="995"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5.432</w:t>
            </w:r>
          </w:p>
        </w:tc>
        <w:tc>
          <w:tcPr>
            <w:tcW w:w="848"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5.41</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2.94</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3.95</w:t>
            </w:r>
          </w:p>
        </w:tc>
        <w:tc>
          <w:tcPr>
            <w:tcW w:w="852"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1.22</w:t>
            </w:r>
          </w:p>
        </w:tc>
        <w:tc>
          <w:tcPr>
            <w:tcW w:w="850"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2.23</w:t>
            </w:r>
          </w:p>
        </w:tc>
        <w:tc>
          <w:tcPr>
            <w:tcW w:w="991" w:type="dxa"/>
            <w:tcBorders>
              <w:left w:val="nil"/>
              <w:right w:val="nil"/>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3.60</w:t>
            </w:r>
          </w:p>
        </w:tc>
      </w:tr>
      <w:tr>
        <w:trPr/>
        <w:tc>
          <w:tcPr>
            <w:tcW w:w="506" w:type="dxa"/>
            <w:vMerge w:val="continue"/>
            <w:tcBorders>
              <w:left w:val="nil"/>
              <w:bottom w:val="single" w:sz="12" w:space="0" w:color="00000A"/>
              <w:right w:val="nil"/>
              <w:insideH w:val="single" w:sz="12" w:space="0" w:color="00000A"/>
              <w:insideV w:val="nil"/>
            </w:tcBorders>
            <w:shd w:fill="auto" w:val="clear"/>
            <w:textDirection w:val="btLr"/>
            <w:vAlign w:val="center"/>
          </w:tcPr>
          <w:p>
            <w:pPr>
              <w:pStyle w:val="Articletext"/>
              <w:spacing w:lineRule="auto" w:line="240"/>
              <w:ind w:hanging="0"/>
              <w:jc w:val="center"/>
              <w:rPr>
                <w:rFonts w:eastAsia="SimSun" w:cs="Calibri"/>
                <w:lang w:eastAsia="es-ES"/>
              </w:rPr>
            </w:pPr>
            <w:r>
              <w:rPr>
                <w:rFonts w:eastAsia="SimSun" w:cs="Calibri"/>
                <w:lang w:eastAsia="es-ES"/>
              </w:rPr>
            </w:r>
          </w:p>
        </w:tc>
        <w:tc>
          <w:tcPr>
            <w:tcW w:w="7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Rank</w:t>
            </w:r>
          </w:p>
        </w:tc>
        <w:tc>
          <w:tcPr>
            <w:tcW w:w="97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85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995"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848"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852"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3</w:t>
            </w:r>
          </w:p>
        </w:tc>
        <w:tc>
          <w:tcPr>
            <w:tcW w:w="850"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2</w:t>
            </w:r>
          </w:p>
        </w:tc>
        <w:tc>
          <w:tcPr>
            <w:tcW w:w="991" w:type="dxa"/>
            <w:tcBorders>
              <w:left w:val="nil"/>
              <w:bottom w:val="single" w:sz="12" w:space="0" w:color="00000A"/>
              <w:right w:val="nil"/>
              <w:insideH w:val="single" w:sz="12" w:space="0" w:color="00000A"/>
              <w:insideV w:val="nil"/>
            </w:tcBorders>
            <w:shd w:fill="auto" w:val="clear"/>
          </w:tcPr>
          <w:p>
            <w:pPr>
              <w:pStyle w:val="Articletext"/>
              <w:spacing w:lineRule="auto" w:line="240"/>
              <w:ind w:hanging="0"/>
              <w:jc w:val="center"/>
              <w:rPr>
                <w:rFonts w:eastAsia="SimSun" w:cs="Calibri"/>
                <w:lang w:eastAsia="es-ES"/>
              </w:rPr>
            </w:pPr>
            <w:r>
              <w:rPr>
                <w:rFonts w:eastAsia="SimSun" w:cs="Calibri"/>
                <w:lang w:eastAsia="es-ES"/>
              </w:rPr>
              <w:t>1</w:t>
            </w:r>
          </w:p>
        </w:tc>
      </w:tr>
    </w:tbl>
    <w:p>
      <w:pPr>
        <w:pStyle w:val="Articletext"/>
        <w:rPr/>
      </w:pPr>
      <w:r>
        <w:rPr/>
      </w:r>
    </w:p>
    <w:p>
      <w:pPr>
        <w:pStyle w:val="Normal"/>
        <w:spacing w:lineRule="auto" w:line="360" w:before="0" w:after="0"/>
        <w:jc w:val="center"/>
        <w:rPr/>
      </w:pPr>
      <w:bookmarkStart w:id="45" w:name="_Ref509417488"/>
      <w:r>
        <w:rPr>
          <w:rFonts w:cs="Times New Roman" w:ascii="Times New Roman" w:hAnsi="Times New Roman"/>
          <w:sz w:val="24"/>
          <w:szCs w:val="18"/>
          <w:lang w:val="en-GB"/>
        </w:rPr>
        <w:t xml:space="preserve">Table </w:t>
      </w:r>
      <w:r>
        <w:rPr>
          <w:rFonts w:cs="Times New Roman" w:ascii="Times New Roman" w:hAnsi="Times New Roman"/>
          <w:sz w:val="24"/>
          <w:szCs w:val="18"/>
          <w:lang w:val="en-GB"/>
        </w:rPr>
        <w:fldChar w:fldCharType="begin"/>
      </w:r>
      <w:r>
        <w:instrText> SEQ Table \* ARABIC </w:instrText>
      </w:r>
      <w:r>
        <w:fldChar w:fldCharType="separate"/>
      </w:r>
      <w:r>
        <w:t>4</w:t>
      </w:r>
      <w:r>
        <w:fldChar w:fldCharType="end"/>
      </w:r>
      <w:bookmarkEnd w:id="45"/>
      <w:r>
        <w:rPr>
          <w:rFonts w:cs="Times New Roman" w:ascii="Times New Roman" w:hAnsi="Times New Roman"/>
          <w:sz w:val="24"/>
          <w:szCs w:val="18"/>
          <w:lang w:val="en-GB"/>
        </w:rPr>
        <w:t xml:space="preserve"> – Optimum conditions for conventional and high feed</w:t>
      </w:r>
    </w:p>
    <w:tbl>
      <w:tblPr>
        <w:tblStyle w:val="Tabelacomgrade"/>
        <w:tblW w:w="7452" w:type="dxa"/>
        <w:jc w:val="center"/>
        <w:tblInd w:w="0" w:type="dxa"/>
        <w:tblCellMar>
          <w:top w:w="0" w:type="dxa"/>
          <w:left w:w="108" w:type="dxa"/>
          <w:bottom w:w="0" w:type="dxa"/>
          <w:right w:w="108" w:type="dxa"/>
        </w:tblCellMar>
        <w:tblLook w:val="04a0" w:noVBand="1" w:noHBand="0" w:lastColumn="0" w:firstColumn="1" w:lastRow="0" w:firstRow="1"/>
      </w:tblPr>
      <w:tblGrid>
        <w:gridCol w:w="1560"/>
        <w:gridCol w:w="1417"/>
        <w:gridCol w:w="1559"/>
        <w:gridCol w:w="1751"/>
        <w:gridCol w:w="1165"/>
      </w:tblGrid>
      <w:tr>
        <w:trPr/>
        <w:tc>
          <w:tcPr>
            <w:tcW w:w="1560" w:type="dxa"/>
            <w:tcBorders>
              <w:top w:val="single" w:sz="12" w:space="0" w:color="00000A"/>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eastAsia="SimSun" w:cs="Calibri"/>
                <w:sz w:val="24"/>
                <w:szCs w:val="24"/>
                <w:lang w:val="en-GB" w:eastAsia="es-ES"/>
              </w:rPr>
            </w:pPr>
            <w:r>
              <w:rPr>
                <w:rFonts w:eastAsia="SimSun" w:cs="Calibri" w:ascii="Times New Roman" w:hAnsi="Times New Roman"/>
                <w:sz w:val="24"/>
                <w:szCs w:val="24"/>
                <w:lang w:val="en-GB" w:eastAsia="es-ES"/>
              </w:rPr>
            </w:r>
          </w:p>
        </w:tc>
        <w:tc>
          <w:tcPr>
            <w:tcW w:w="1417" w:type="dxa"/>
            <w:tcBorders>
              <w:top w:val="single" w:sz="12" w:space="0" w:color="00000A"/>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Calibri" w:ascii="Times New Roman" w:hAnsi="Times New Roman"/>
                <w:i/>
                <w:sz w:val="24"/>
                <w:szCs w:val="24"/>
                <w:lang w:val="en-GB" w:eastAsia="es-ES"/>
              </w:rPr>
              <w:t>v</w:t>
            </w:r>
            <w:r>
              <w:rPr>
                <w:rFonts w:eastAsia="SimSun" w:cs="Calibri" w:ascii="Times New Roman" w:hAnsi="Times New Roman"/>
                <w:i/>
                <w:sz w:val="24"/>
                <w:szCs w:val="24"/>
                <w:vertAlign w:val="subscript"/>
                <w:lang w:val="en-GB" w:eastAsia="es-ES"/>
              </w:rPr>
              <w:t>c</w:t>
            </w:r>
            <w:r>
              <w:rPr>
                <w:rFonts w:eastAsia="SimSun" w:cs="Calibri" w:ascii="Times New Roman" w:hAnsi="Times New Roman"/>
                <w:sz w:val="24"/>
                <w:szCs w:val="24"/>
                <w:lang w:val="en-GB" w:eastAsia="es-ES"/>
              </w:rPr>
              <w:t xml:space="preserve"> (m/min)</w:t>
            </w:r>
          </w:p>
        </w:tc>
        <w:tc>
          <w:tcPr>
            <w:tcW w:w="1559" w:type="dxa"/>
            <w:tcBorders>
              <w:top w:val="single" w:sz="12" w:space="0" w:color="00000A"/>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Calibri" w:ascii="Times New Roman" w:hAnsi="Times New Roman"/>
                <w:i/>
                <w:sz w:val="24"/>
                <w:szCs w:val="24"/>
                <w:lang w:val="en-GB" w:eastAsia="es-ES"/>
              </w:rPr>
              <w:t>f</w:t>
            </w:r>
            <w:r>
              <w:rPr>
                <w:rFonts w:eastAsia="SimSun" w:cs="Calibri" w:ascii="Times New Roman" w:hAnsi="Times New Roman"/>
                <w:sz w:val="24"/>
                <w:szCs w:val="24"/>
                <w:lang w:val="en-GB" w:eastAsia="es-ES"/>
              </w:rPr>
              <w:t xml:space="preserve"> (mm/rev)</w:t>
            </w:r>
          </w:p>
        </w:tc>
        <w:tc>
          <w:tcPr>
            <w:tcW w:w="1751" w:type="dxa"/>
            <w:tcBorders>
              <w:top w:val="single" w:sz="12" w:space="0" w:color="00000A"/>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Cooling</w:t>
            </w:r>
          </w:p>
        </w:tc>
        <w:tc>
          <w:tcPr>
            <w:tcW w:w="1165" w:type="dxa"/>
            <w:tcBorders>
              <w:top w:val="single" w:sz="12" w:space="0" w:color="00000A"/>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Value</w:t>
            </w:r>
          </w:p>
        </w:tc>
      </w:tr>
      <w:tr>
        <w:trPr/>
        <w:tc>
          <w:tcPr>
            <w:tcW w:w="7452" w:type="dxa"/>
            <w:gridSpan w:val="5"/>
            <w:tcBorders>
              <w:top w:val="single" w:sz="12" w:space="0" w:color="00000A"/>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Calibri" w:ascii="Times New Roman" w:hAnsi="Times New Roman"/>
                <w:i/>
                <w:sz w:val="24"/>
                <w:szCs w:val="24"/>
                <w:lang w:val="en-GB" w:eastAsia="es-ES"/>
              </w:rPr>
              <w:t>R</w:t>
            </w:r>
            <w:r>
              <w:rPr>
                <w:rFonts w:eastAsia="SimSun" w:cs="Calibri" w:ascii="Times New Roman" w:hAnsi="Times New Roman"/>
                <w:i/>
                <w:sz w:val="24"/>
                <w:szCs w:val="24"/>
                <w:vertAlign w:val="subscript"/>
                <w:lang w:val="en-GB" w:eastAsia="es-ES"/>
              </w:rPr>
              <w:t>a</w:t>
            </w:r>
            <w:r>
              <w:rPr>
                <w:rFonts w:eastAsia="SimSun" w:cs="Calibri" w:ascii="Times New Roman" w:hAnsi="Times New Roman"/>
                <w:sz w:val="24"/>
                <w:szCs w:val="24"/>
                <w:lang w:val="en-GB" w:eastAsia="es-ES"/>
              </w:rPr>
              <w:t xml:space="preserve"> surface roughness (μm)</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Conventional</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110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0.15</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Dry</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0.62</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High</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70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1.50</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Wet</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0.43*</w:t>
            </w:r>
          </w:p>
        </w:tc>
      </w:tr>
      <w:tr>
        <w:trPr/>
        <w:tc>
          <w:tcPr>
            <w:tcW w:w="7452" w:type="dxa"/>
            <w:gridSpan w:val="5"/>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Calibri" w:ascii="Times New Roman" w:hAnsi="Times New Roman"/>
                <w:i/>
                <w:sz w:val="24"/>
                <w:szCs w:val="24"/>
                <w:lang w:val="en-GB" w:eastAsia="es-ES"/>
              </w:rPr>
              <w:t>R</w:t>
            </w:r>
            <w:r>
              <w:rPr>
                <w:rFonts w:eastAsia="SimSun" w:cs="Calibri" w:ascii="Times New Roman" w:hAnsi="Times New Roman"/>
                <w:i/>
                <w:sz w:val="24"/>
                <w:szCs w:val="24"/>
                <w:vertAlign w:val="subscript"/>
                <w:lang w:val="en-GB" w:eastAsia="es-ES"/>
              </w:rPr>
              <w:t xml:space="preserve">t </w:t>
            </w:r>
            <w:r>
              <w:rPr>
                <w:rFonts w:eastAsia="SimSun" w:cs="Calibri" w:ascii="Times New Roman" w:hAnsi="Times New Roman"/>
                <w:sz w:val="24"/>
                <w:szCs w:val="24"/>
                <w:lang w:val="en-GB" w:eastAsia="es-ES"/>
              </w:rPr>
              <w:t>surface roughness (μm)</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Conventional</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110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0.15</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Dry</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6.28</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High</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70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1.00</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Wet</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5.88</w:t>
            </w:r>
          </w:p>
        </w:tc>
      </w:tr>
      <w:tr>
        <w:trPr/>
        <w:tc>
          <w:tcPr>
            <w:tcW w:w="7452" w:type="dxa"/>
            <w:gridSpan w:val="5"/>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Calibri" w:ascii="Times New Roman" w:hAnsi="Times New Roman"/>
                <w:i/>
                <w:sz w:val="24"/>
                <w:szCs w:val="24"/>
                <w:lang w:val="en-GB" w:eastAsia="es-ES"/>
              </w:rPr>
              <w:t>R</w:t>
            </w:r>
            <w:r>
              <w:rPr>
                <w:rFonts w:eastAsia="SimSun" w:cs="Calibri" w:ascii="Times New Roman" w:hAnsi="Times New Roman"/>
                <w:i/>
                <w:sz w:val="24"/>
                <w:szCs w:val="24"/>
                <w:vertAlign w:val="subscript"/>
                <w:lang w:val="en-GB" w:eastAsia="es-ES"/>
              </w:rPr>
              <w:t xml:space="preserve">z </w:t>
            </w:r>
            <w:r>
              <w:rPr>
                <w:rFonts w:eastAsia="SimSun" w:cs="Calibri" w:ascii="Times New Roman" w:hAnsi="Times New Roman"/>
                <w:sz w:val="24"/>
                <w:szCs w:val="24"/>
                <w:lang w:val="en-GB" w:eastAsia="es-ES"/>
              </w:rPr>
              <w:t>surface roughness (μm)</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Conventional</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110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0.15</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Dry</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4.13</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High</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70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1.50</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Wet</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4.31*</w:t>
            </w:r>
          </w:p>
        </w:tc>
      </w:tr>
      <w:tr>
        <w:trPr/>
        <w:tc>
          <w:tcPr>
            <w:tcW w:w="7452" w:type="dxa"/>
            <w:gridSpan w:val="5"/>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Diameter (mm)</w:t>
            </w:r>
          </w:p>
        </w:tc>
      </w:tr>
      <w:tr>
        <w:trPr/>
        <w:tc>
          <w:tcPr>
            <w:tcW w:w="1560"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Conventional</w:t>
            </w:r>
          </w:p>
        </w:tc>
        <w:tc>
          <w:tcPr>
            <w:tcW w:w="1417"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70</w:t>
            </w:r>
          </w:p>
        </w:tc>
        <w:tc>
          <w:tcPr>
            <w:tcW w:w="1559"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0.15</w:t>
            </w:r>
          </w:p>
        </w:tc>
        <w:tc>
          <w:tcPr>
            <w:tcW w:w="1751"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Dry</w:t>
            </w:r>
          </w:p>
        </w:tc>
        <w:tc>
          <w:tcPr>
            <w:tcW w:w="1165" w:type="dxa"/>
            <w:tcBorders>
              <w:left w:val="nil"/>
              <w:right w:val="nil"/>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5.44*</w:t>
            </w:r>
          </w:p>
        </w:tc>
      </w:tr>
      <w:tr>
        <w:trPr/>
        <w:tc>
          <w:tcPr>
            <w:tcW w:w="1560" w:type="dxa"/>
            <w:tcBorders>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High</w:t>
            </w:r>
          </w:p>
        </w:tc>
        <w:tc>
          <w:tcPr>
            <w:tcW w:w="1417" w:type="dxa"/>
            <w:tcBorders>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50</w:t>
            </w:r>
          </w:p>
        </w:tc>
        <w:tc>
          <w:tcPr>
            <w:tcW w:w="1559" w:type="dxa"/>
            <w:tcBorders>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1.00</w:t>
            </w:r>
          </w:p>
        </w:tc>
        <w:tc>
          <w:tcPr>
            <w:tcW w:w="1751" w:type="dxa"/>
            <w:tcBorders>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Dry</w:t>
            </w:r>
          </w:p>
        </w:tc>
        <w:tc>
          <w:tcPr>
            <w:tcW w:w="1165" w:type="dxa"/>
            <w:tcBorders>
              <w:left w:val="nil"/>
              <w:bottom w:val="single" w:sz="12" w:space="0" w:color="00000A"/>
              <w:right w:val="nil"/>
              <w:insideH w:val="single" w:sz="12" w:space="0" w:color="00000A"/>
              <w:insideV w:val="nil"/>
            </w:tcBorders>
            <w:shd w:fill="auto" w:val="clear"/>
            <w:vAlign w:val="center"/>
          </w:tcPr>
          <w:p>
            <w:pPr>
              <w:pStyle w:val="Normal"/>
              <w:spacing w:lineRule="auto" w:line="240" w:before="0" w:after="0"/>
              <w:jc w:val="center"/>
              <w:rPr>
                <w:rFonts w:ascii="Times New Roman" w:hAnsi="Times New Roman" w:cs="Times New Roman"/>
                <w:sz w:val="24"/>
                <w:szCs w:val="24"/>
                <w:lang w:val="en-GB"/>
              </w:rPr>
            </w:pPr>
            <w:r>
              <w:rPr>
                <w:rFonts w:eastAsia="SimSun" w:cs="Times New Roman" w:ascii="Times New Roman" w:hAnsi="Times New Roman"/>
                <w:sz w:val="24"/>
                <w:szCs w:val="24"/>
                <w:lang w:val="en-GB" w:eastAsia="es-ES"/>
              </w:rPr>
              <w:t>5.56</w:t>
            </w:r>
          </w:p>
        </w:tc>
      </w:tr>
    </w:tbl>
    <w:p>
      <w:pPr>
        <w:pStyle w:val="Normal"/>
        <w:spacing w:lineRule="auto" w:line="360" w:before="0" w:after="0"/>
        <w:ind w:left="1276"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Estimated values </w:t>
      </w:r>
    </w:p>
    <w:p>
      <w:pPr>
        <w:pStyle w:val="Articletext"/>
        <w:rPr/>
      </w:pPr>
      <w:r>
        <w:rPr/>
      </w:r>
    </w:p>
    <w:p>
      <w:pPr>
        <w:pStyle w:val="Articletext"/>
        <w:rPr/>
      </w:pPr>
      <w:r>
        <w:rPr/>
        <w:t xml:space="preserve">In </w:t>
      </w:r>
      <w:r>
        <w:rPr/>
        <w:fldChar w:fldCharType="begin"/>
      </w:r>
      <w:r>
        <w:instrText> REF _Ref514861977 \h </w:instrText>
      </w:r>
      <w:r>
        <w:fldChar w:fldCharType="separate"/>
      </w:r>
      <w:r>
        <w:t>Figure 7</w:t>
      </w:r>
      <w:r>
        <w:fldChar w:fldCharType="end"/>
      </w:r>
      <w:r>
        <w:rPr/>
        <w:t xml:space="preserve">, it is shown the comparison between the optimal condition for the conventional and high feed. The best surface roughness and a reduction of cutting time, about 6 times, were the advantages obtained when employing the high feed. It is important to remind that the aeronautical sector requires a range of </w:t>
      </w:r>
      <w:r>
        <w:rPr>
          <w:i/>
        </w:rPr>
        <w:t>R</w:t>
      </w:r>
      <w:r>
        <w:rPr>
          <w:i/>
          <w:vertAlign w:val="subscript"/>
        </w:rPr>
        <w:t>a</w:t>
      </w:r>
      <w:r>
        <w:rPr/>
        <w:t xml:space="preserve"> between 0.8 to 1.6 μm </w:t>
      </w:r>
      <w:r>
        <w:fldChar w:fldCharType="begin"/>
      </w:r>
      <w:r>
        <w:instrText>ADDIN CSL_CITATION {"citationItems":[{"id":"ITEM-1","itemData":{"DOI":"10.1016/J.JMATPROTEC.2018.04.044","ISSN":"0924-0136","abstract":"Three novel drill geometries, multipoint, step and double cone, were designed and experimentally evaluated to understand the effect of tool geometries on the machining performance of dry drilling Al/Ti stack. Results showed that the double cone drill achieved a better hole quality and a higher efficiency due to the smaller thrust force, broken chips, and less burrs compared to the other two drill geometries. The multipoint drill generated serrated chips in titanium alloy drilling. Significant microstructure deformation occurred in the adiabatic shear band (ASB) and the second shear band. Visible cracks propagated along the ASB from the free to back surface of the chip. Phase transformation from β phase to martensite occurred in the second shear band. The drill geometry design and experimental investigation in this paper could provide guidance for drill bit design and manufacturing for Al/Ti stack drilling.","author":[{"dropping-particle":"","family":"Zhu","given":"Zhaoju","non-dropping-particle":"","parse-names":false,"suffix":""},{"dropping-particle":"","family":"Guo","given":"Kai","non-dropping-particle":"","parse-names":false,"suffix":""},{"dropping-particle":"","family":"Sun","given":"Jie","non-dropping-particle":"","parse-names":false,"suffix":""},{"dropping-particle":"","family":"Li","given":"Jianfeng","non-dropping-particle":"","parse-names":false,"suffix":""},{"dropping-particle":"","family":"Liu","given":"Yang","non-dropping-particle":"","parse-names":false,"suffix":""},{"dropping-particle":"","family":"Zheng","given":"Yihao","non-dropping-particle":"","parse-names":false,"suffix":""},{"dropping-particle":"","family":"Chen","given":"Lei","non-dropping-particle":"","parse-names":false,"suffix":""}],"container-title":"Journal of Materials Processing Technology","id":"ITEM-1","issued":{"date-parts":[["2018","9","1"]]},"page":"270-281","publisher":"Elsevier","title":"Evaluation of novel tool geometries in dry drilling aluminium 2024-T351/titanium Ti6Al4V stack","type":"article-journal","volume":"259"},"uris":["http://www.mendeley.com/documents/?uuid=0216cbb4-056c-36bf-9378-950102816029"]}],"mendeley":{"formattedCitation":"[5]","plainTextFormattedCitation":"[5]","previouslyFormattedCitation":"[5]"},"properties":{"noteIndex":0},"schema":"https://github.com/citation-style-language/schema/raw/master/csl-citation.json"}</w:instrText>
      </w:r>
      <w:r>
        <w:fldChar w:fldCharType="separate"/>
      </w:r>
      <w:bookmarkStart w:id="46" w:name="__Fieldmark__4431_2768839"/>
      <w:r>
        <w:rPr/>
        <w:t>[5]</w:t>
      </w:r>
      <w:r>
        <w:rPr/>
      </w:r>
      <w:r>
        <w:fldChar w:fldCharType="end"/>
      </w:r>
      <w:bookmarkEnd w:id="46"/>
      <w:r>
        <w:rPr/>
        <w:t xml:space="preserve">, and the maximum values of </w:t>
      </w:r>
      <w:r>
        <w:rPr>
          <w:i/>
        </w:rPr>
        <w:t>R</w:t>
      </w:r>
      <w:r>
        <w:rPr>
          <w:i/>
          <w:vertAlign w:val="subscript"/>
        </w:rPr>
        <w:t>a</w:t>
      </w:r>
      <w:r>
        <w:rPr/>
        <w:t xml:space="preserve"> for the high feed in wet condition was 1.24 μm. However, the diameter shows higher dimension deviation in the high feed. Besides, the holes drilled applying the high feed presented larger burr. According to Chang and Bone </w:t>
      </w:r>
      <w:r>
        <w:fldChar w:fldCharType="begin"/>
      </w:r>
      <w:r>
        <w:instrText>ADDIN CSL_CITATION {"citationItems":[{"id":"ITEM-1","itemData":{"DOI":"10.1016/j.precisioneng.2009.09.002","ISSN":"01416359","abstract":"Vibration assistance has seen increasing application in metal removal processes. One application of this technique is vibration assisted drilling. This method typically induces high-frequency and low-amplitude vibration in the direction of drill feed during drilling, and has the potential to reduce thrust forces and reduce exit burr height. Note that this cutting process is distinct from ultrasonic machining/drilling. Predicting exit burr height accurately is important for determining the favourable vibration conditions for burr height reduction. This paper presents a novel analytical burr height model to predict the exit burr height in vibration assisted drilling of aluminum 6061-T6. This model also improves upon the existing analytical burr height model for conventional drilling. The results of 72 drilling experiments with TiN coated standard twist drills are reported. The predictions from the developed burr height model are compared with the experimental results. The results demonstrate that the proposed model improves the accuracy of the existing burr height model for conventional drilling by up to 36%, and also predicts the burr heights for VAD within a 10% deviation from the mean values of the experimental results. A fast analytical method for predicting the favourable vibration conditions for minimizing burr height is also presented.","author":[{"dropping-particle":"","family":"Chang","given":"Simon S.F.","non-dropping-particle":"","parse-names":false,"suffix":""},{"dropping-particle":"","family":"Bone","given":"Gary M.","non-dropping-particle":"","parse-names":false,"suffix":""}],"container-title":"Precision Engineering","id":"ITEM-1","issue":"3","issued":{"date-parts":[["2010"]]},"page":"369-375","title":"Burr height model for vibration assisted drilling of aluminum 6061-T6","type":"article-journal","volume":"34"},"suppress-author":1,"uris":["http://www.mendeley.com/documents/?uuid=42331e2d-1d13-34f2-821d-3c78f471c704"]}],"mendeley":{"formattedCitation":"[28]","plainTextFormattedCitation":"[28]","previouslyFormattedCitation":"[28]"},"properties":{"noteIndex":0},"schema":"https://github.com/citation-style-language/schema/raw/master/csl-citation.json"}</w:instrText>
      </w:r>
      <w:r>
        <w:fldChar w:fldCharType="separate"/>
      </w:r>
      <w:bookmarkStart w:id="47" w:name="__Fieldmark__4450_2768839"/>
      <w:r>
        <w:rPr/>
      </w:r>
      <w:r>
        <w:rPr>
          <w:szCs w:val="24"/>
          <w:lang w:eastAsia="en-GB"/>
        </w:rPr>
        <w:t>[28]</w:t>
      </w:r>
      <w:r>
        <w:rPr/>
      </w:r>
      <w:r>
        <w:fldChar w:fldCharType="end"/>
      </w:r>
      <w:bookmarkEnd w:id="47"/>
      <w:r>
        <w:rPr>
          <w:szCs w:val="24"/>
          <w:lang w:eastAsia="en-GB"/>
        </w:rPr>
        <w:t>, the exit burr in the drilling occurs when the energy in the shear is larger than the energy of plastic deformation. Thus, the strong increase in the feed rate increased the cutting forces that ultimately increased the burr formation.</w:t>
      </w:r>
    </w:p>
    <w:p>
      <w:pPr>
        <w:pStyle w:val="Articletext"/>
        <w:rPr/>
      </w:pPr>
      <w:r>
        <w:rPr/>
      </w:r>
    </w:p>
    <w:p>
      <w:pPr>
        <w:pStyle w:val="Articleimage"/>
        <w:rPr>
          <w:lang w:val="en-GB"/>
        </w:rPr>
      </w:pPr>
      <w:r>
        <w:rPr/>
        <w:drawing>
          <wp:inline distT="0" distB="0" distL="0" distR="635">
            <wp:extent cx="3199765" cy="1800225"/>
            <wp:effectExtent l="0" t="0" r="0" b="0"/>
            <wp:docPr id="11" name="Imagem 11"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captura de tela&#10;&#10;Descrição gerada automaticamente"/>
                    <pic:cNvPicPr>
                      <a:picLocks noChangeAspect="1" noChangeArrowheads="1"/>
                    </pic:cNvPicPr>
                  </pic:nvPicPr>
                  <pic:blipFill>
                    <a:blip r:embed="rId13"/>
                    <a:stretch>
                      <a:fillRect/>
                    </a:stretch>
                  </pic:blipFill>
                  <pic:spPr bwMode="auto">
                    <a:xfrm>
                      <a:off x="0" y="0"/>
                      <a:ext cx="3199765" cy="1800225"/>
                    </a:xfrm>
                    <a:prstGeom prst="rect">
                      <a:avLst/>
                    </a:prstGeom>
                  </pic:spPr>
                </pic:pic>
              </a:graphicData>
            </a:graphic>
          </wp:inline>
        </w:drawing>
      </w:r>
    </w:p>
    <w:p>
      <w:pPr>
        <w:pStyle w:val="Articlefigure"/>
        <w:rPr/>
      </w:pPr>
      <w:bookmarkStart w:id="48" w:name="_Ref514861977"/>
      <w:r>
        <w:rPr/>
        <w:t xml:space="preserve">Figure </w:t>
      </w:r>
      <w:r>
        <w:rPr/>
        <w:fldChar w:fldCharType="begin"/>
      </w:r>
      <w:r>
        <w:instrText> SEQ Figure \* ARABIC </w:instrText>
      </w:r>
      <w:r>
        <w:fldChar w:fldCharType="separate"/>
      </w:r>
      <w:r>
        <w:t>7</w:t>
      </w:r>
      <w:r>
        <w:fldChar w:fldCharType="end"/>
      </w:r>
      <w:bookmarkEnd w:id="48"/>
      <w:r>
        <w:rPr/>
        <w:t xml:space="preserve"> – Comparison between the optimum condition for conventional and high feed.</w:t>
      </w:r>
    </w:p>
    <w:p>
      <w:pPr>
        <w:pStyle w:val="Articletext"/>
        <w:rPr/>
      </w:pPr>
      <w:r>
        <w:rPr/>
      </w:r>
    </w:p>
    <w:p>
      <w:pPr>
        <w:pStyle w:val="ArticleTitletext"/>
        <w:numPr>
          <w:ilvl w:val="0"/>
          <w:numId w:val="1"/>
        </w:numPr>
        <w:rPr/>
      </w:pPr>
      <w:r>
        <w:rPr/>
        <w:t>Conclusions</w:t>
      </w:r>
    </w:p>
    <w:p>
      <w:pPr>
        <w:pStyle w:val="Articletext"/>
        <w:rPr/>
      </w:pPr>
      <w:r>
        <w:rPr/>
        <w:t>Comparing the results of conventional and high feed in the drilling in Al 2011 aluminium alloy, the following conclusions can be drawn:</w:t>
      </w:r>
    </w:p>
    <w:p>
      <w:pPr>
        <w:pStyle w:val="Articletext"/>
        <w:numPr>
          <w:ilvl w:val="0"/>
          <w:numId w:val="2"/>
        </w:numPr>
        <w:rPr/>
      </w:pPr>
      <w:r>
        <w:rPr/>
        <w:t>The high feed provided higher values of diameter than conventional feed, which can indicate higher drill flexion for the high feed.</w:t>
      </w:r>
    </w:p>
    <w:p>
      <w:pPr>
        <w:pStyle w:val="Articletext"/>
        <w:numPr>
          <w:ilvl w:val="0"/>
          <w:numId w:val="2"/>
        </w:numPr>
        <w:rPr/>
      </w:pPr>
      <w:r>
        <w:rPr/>
        <w:t>For the conventional feed, the use of cutting fluid, external flow, increased the values of surface roughness; while, for the high feed, the external fluid decreased the values of surface roughness.</w:t>
      </w:r>
    </w:p>
    <w:p>
      <w:pPr>
        <w:pStyle w:val="Articletext"/>
        <w:numPr>
          <w:ilvl w:val="0"/>
          <w:numId w:val="2"/>
        </w:numPr>
        <w:rPr/>
      </w:pPr>
      <w:r>
        <w:rPr/>
        <w:t>In general, the use of high feed in dry condition provided higher values of surface roughness than conventional feed. However, the combination of high feed and wet condition provided similar values of surface roughness than conventional feed.</w:t>
      </w:r>
    </w:p>
    <w:p>
      <w:pPr>
        <w:pStyle w:val="Articletext"/>
        <w:rPr/>
      </w:pPr>
      <w:r>
        <w:rPr/>
        <w:t xml:space="preserve">Based on the comparison of optimal conditions for both feed rate classes, the high feed can be employed in a production line in which the diameter and burr height are non-critical. However, more studies should be carried out to evaluate the deburring, metallurgic alterations, as well as the drilling of high hardness materials. Besides, more comprehensive studies on the variation in the diameter are needed because the method used to measure the diameter did not allow differentiating the geometric and dimensional deviation. </w:t>
      </w:r>
    </w:p>
    <w:p>
      <w:pPr>
        <w:pStyle w:val="Articletext"/>
        <w:rPr/>
      </w:pPr>
      <w:r>
        <w:rPr/>
      </w:r>
    </w:p>
    <w:p>
      <w:pPr>
        <w:pStyle w:val="Articletext"/>
        <w:rPr/>
      </w:pPr>
      <w:r>
        <w:rPr/>
      </w:r>
    </w:p>
    <w:p>
      <w:pPr>
        <w:pStyle w:val="Articletext"/>
        <w:rPr/>
      </w:pPr>
      <w:bookmarkStart w:id="49" w:name="_GoBack"/>
      <w:bookmarkStart w:id="50" w:name="_GoBack"/>
      <w:bookmarkEnd w:id="50"/>
      <w:r>
        <w:rPr/>
      </w:r>
    </w:p>
    <w:p>
      <w:pPr>
        <w:pStyle w:val="ArticleTitletext"/>
        <w:numPr>
          <w:ilvl w:val="0"/>
          <w:numId w:val="0"/>
        </w:numPr>
        <w:ind w:firstLine="709"/>
        <w:rPr/>
      </w:pPr>
      <w:r>
        <w:rPr/>
        <w:t>Acknowledgements</w:t>
      </w:r>
    </w:p>
    <w:p>
      <w:pPr>
        <w:pStyle w:val="Articletext"/>
        <w:rPr/>
      </w:pPr>
      <w:r>
        <w:rPr/>
        <w:t xml:space="preserve">The authors would like to thank to the University of the Aveiro and Sandvik (Portugal). Additional thanks to the Ministry of Education’s Coordination for the Improvement of Higher Education Personnel (CAPES) – Brazil and Foundation for Science and Technology (FCT), Portugal (Project No. 031556-FCT/02/SAICT/2017; FAMASI – Sustainable and intelligent manufacturing by machining, financed by FCT/POCI). </w:t>
      </w:r>
    </w:p>
    <w:p>
      <w:pPr>
        <w:pStyle w:val="Articletext"/>
        <w:rPr/>
      </w:pPr>
      <w:r>
        <w:rPr/>
      </w:r>
    </w:p>
    <w:p>
      <w:pPr>
        <w:pStyle w:val="ArticleTitletext"/>
        <w:numPr>
          <w:ilvl w:val="0"/>
          <w:numId w:val="0"/>
        </w:numPr>
        <w:ind w:firstLine="709"/>
        <w:rPr/>
      </w:pPr>
      <w:r>
        <w:rPr/>
        <w:t>References</w:t>
      </w:r>
    </w:p>
    <w:p>
      <w:pPr>
        <w:pStyle w:val="Normal"/>
        <w:widowControl w:val="false"/>
        <w:spacing w:lineRule="auto" w:line="240"/>
        <w:ind w:left="640" w:hanging="640"/>
        <w:rPr/>
      </w:pPr>
      <w:r>
        <w:fldChar w:fldCharType="begin"/>
      </w:r>
      <w:r>
        <w:instrText>ADDIN Mendeley Bibliography CSL_BIBLIOGRAPHY</w:instrText>
      </w:r>
      <w:r>
        <w:fldChar w:fldCharType="separate"/>
      </w:r>
      <w:bookmarkStart w:id="51" w:name="_Ref389163635"/>
      <w:bookmarkStart w:id="52" w:name="__Fieldmark__4552_2768839"/>
      <w:bookmarkEnd w:id="51"/>
      <w:r>
        <w:rPr/>
      </w:r>
      <w:r>
        <w:rPr>
          <w:rFonts w:cs="Times New Roman" w:ascii="Times New Roman" w:hAnsi="Times New Roman"/>
          <w:sz w:val="24"/>
          <w:szCs w:val="24"/>
        </w:rPr>
        <w:t xml:space="preserve">1. </w:t>
        <w:tab/>
        <w:t>Liu, H., Zhu, W., Dong, H., Ke, Y.: A helical milling and oval countersinking end-effector for aircraft assembly. Mechatronics. 46, 101–114 (2017). doi:10.1016/J.MECHATRONICS.2017.07.004</w:t>
      </w:r>
      <w:bookmarkEnd w:id="52"/>
      <w:r>
        <w:rPr>
          <w:rFonts w:cs="Times New Roman" w:ascii="Times New Roman" w:hAnsi="Times New Roman"/>
          <w:sz w:val="24"/>
          <w:szCs w:val="24"/>
        </w:rPr>
      </w:r>
      <w:r>
        <w:fldChar w:fldCharType="end"/>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 </w:t>
        <w:tab/>
        <w:t>Carou, D., Rubio, E.M., Davim, J.P.: Machinability of Magnesium and Its Alloys: A Review. In: Davim, J.P. (ed.) Traditional Machining Processes. pp. 133–152. Springer, Berlin, Heidelberg, Heidelberg (2015)</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3. </w:t>
        <w:tab/>
        <w:t>Santos, M.C., Machado, A.R., Sales, W.F., Barrozo, M.A.S., Ezugwu, E.O.: Machining of aluminum alloys: a review. Int. J. Adv. Manuf. Technol. 86, 3067–3080 (2016). doi:10.1007/s00170-016-8431-9</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4. </w:t>
        <w:tab/>
        <w:t>Campos Rubio, J.C., Rezende, B.A., Vieira, L.M.G., Houmard, M.: Drilling of aluminium/PE sandwich material with a novel TiO2-coated HSS drill deposited by sol–gel process. Int. J. Adv. Manuf. Technol. 92, 1567–1577 (2017). doi:10.1007/s00170-017-0138-z</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5. </w:t>
        <w:tab/>
        <w:t>Zhu, Z., Guo, K., Sun, J., Li, J., Liu, Y., Zheng, Y., Chen, L.: Evaluation of novel tool geometries in dry drilling aluminium 2024-T351/titanium Ti6Al4V stack. J. Mater. Process. Technol. 259, 270–281 (2018). doi:10.1016/J.JMATPROTEC.2018.04.044</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6. </w:t>
        <w:tab/>
        <w:t>Costa, E.S., Silva, M.B. da, Machado, A.R.: Burr produced on the drilling process as a function of tool wear and lubricant-coolant conditions. J. Brazilian Soc. Mech. Sci. Eng. 31, 57–63 (2009). doi:10.1590/S1678-58782009000100009</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7. </w:t>
        <w:tab/>
        <w:t>Brandão, L.C., Neves, F.O., Nocelli, G.C.: Evaluation of Hole Quality in Hardened Steel with High-Speed Drilling Using Different Cooling Systems. Adv. Mech. Eng. 3, 746535 (2011). doi:10.1155/2011/746535</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8. </w:t>
        <w:tab/>
        <w:t>de Sousa, P.F.B., Borges, V.L., Pereira, I.C., da Silva, M.B., Guimarães, G.: Estimation of heat flux and temperature field during drilling process using dynamic observers based on Green’s function. Appl. Therm. Eng. 48, 144–154 (2012). doi:10.1016/J.APPLTHERMALENG.2012.04.061</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9. </w:t>
        <w:tab/>
        <w:t>Le Coz, G., Jrad, M., Laheurte, P., Dudzinski, D.: Analysis of local cutting edge geometry on temperature distribution and surface integrity when dry drilling of aeronautical alloys. Int. J. Adv. Manuf. Technol. 93, 2037–2044 (2017). doi:10.1007/s00170-017-0671-9</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10. </w:t>
        <w:tab/>
        <w:t>Caggiano, A., Napolitano, F., Nele, L.: Study on thrust force and torque sensor signals in drilling of Al/CFRP stacks for aeronautical applications. Procedia CIRP. 79, 337–342 (2019). doi:10.1016/J.PROCIR.2019.02.079</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11. </w:t>
        <w:tab/>
        <w:t>Angelone, R., Caggiano, A., Improta, I., Nele, L.: Characterization of hole quality and temperature in drilling of Al/CFRP stacks under different process condition. Procedia CIRP. 79, 319–324 (2019). doi:10.1016/J.PROCIR.2019.02.074</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12. </w:t>
        <w:tab/>
        <w:t>Antunes, F.V., Serrano, S., Branco, R., Prates, P.: Fatigue crack growth in the 2050-T8 aluminium alloy. Int. J. Fatigue. In press. doi:10.1016/J.IJFATIGUE.2018.03.020</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13. </w:t>
        <w:tab/>
        <w:t>Chang, H., Li, S., Shi, R.: Design and Manufacturing Technology of High Speed Milling Cutter for Aluminum Alloy. Procedia Eng. 174, 630–637 (2017). doi:10.1016/J.PROENG.2017.01.200</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14. </w:t>
        <w:tab/>
        <w:t>Montross, C.S., Florea, V., Swain, M. V.: The influence of coatings on subsurface mechanical properties of laser peened 2011-T3 aluminum. J. Mater. Sci. 36, 1801–1807 (2001). doi:10.1023/A:1017537011772</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15. </w:t>
        <w:tab/>
        <w:t>Jeelani, S., Reddy, P.A.: A study of cumulative fatigue damage in aluminum alloy 2011-T3. Mater. Sci. Eng. 56, 253–258 (1982). doi:10.1016/0025-5416(82)90100-8</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16. </w:t>
        <w:tab/>
        <w:t>Jiménez, A.-E., Bermúdez, M.-D.: Short alkyl chain imidazolium ionic liquid additives in lubrication of three aluminium alloys with synthetic ester oil. Tribol. - Mater. Surfaces Interfaces. 6, 109–115 (2012). doi:10.1179/1751584X12Y.0000000011</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17. </w:t>
        <w:tab/>
        <w:t>Bononi, M., Giovanardi, R.: Hard anodizing of AA2011-T3 Al-Cu-Pb-Bi free-cutting alloy: improvement of the process parameters. Corros. Sci. 141, 63–71 (2018). doi:10.1016/J.CORSCI.2018.07.004</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18. </w:t>
        <w:tab/>
        <w:t>Cardoso, P., Davim, J.P.: Optimization of Surface Roughness in Micromilling. Mater. Manuf. Process. 25, 1115–1119 (2010). doi:10.1080/10426914.2010.481002</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19. </w:t>
        <w:tab/>
        <w:t>Coelho, R.T., Souza, A.F., Roger, A.R., Rigatti, A.M.Y., Lima Ribeiro, A.A.: Mechanistic approach to predict real machining time for milling free-form geometries applying high feed rate. Int. J. Adv. Manuf. Technol. 46, 1103–1111 (2009). doi:10.1007/s00170-009-2183-8</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20. </w:t>
        <w:tab/>
        <w:t>Hense, R., Wels, C., Kersting, P., Vierzigmann, U., Löffler, M., Biermann, D., Merklein, M.: High-feed milling of tailored surfaces for sheet-bulk metal forming tools. Prod. Eng. 9, 215–223 (2015). doi:10.1007/s11740-014-0597-0</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21. </w:t>
        <w:tab/>
        <w:t>Biermann, D., Iovkov, I.: Investigations on the thermal workpiece distortion in MQL deep hole drilling of an aluminium cast alloy. CIRP Ann. - Manuf. Technol. 64, 85–88 (2015). doi:10.1016/j.cirp.2015.04.072</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22. </w:t>
        <w:tab/>
        <w:t>Etesami, F.: Tolerance verification through manufactured part modeling. J. Manuf. Syst. 7, 223–232 (1988). doi:10.1016/0278-6125(88)90006-4</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23. </w:t>
        <w:tab/>
        <w:t>Balajia, M., Venkata Rao, K., Mohan Rao, N., Murthy, B.S.N.: Optimization of drilling parameters for drilling of TI-6Al-4V based on surface roughness, flank wear and drill vibration. Measurement. 114, 332–339 (2018). doi:10.1016/J.MEASUREMENT.2017.09.051</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24. </w:t>
        <w:tab/>
        <w:t>Bruni, C., Forcellese, A., Gabrielli, F., Simoncini, M.: Effect of the lubrication-cooling technique, insert technology and machine bed material on the workpart surface finish and tool wear in finish turning of AISI 420B. Int. J. Mach. Tools Manuf. 46, 1547–1554 (2006). doi:10.1016/J.IJMACHTOOLS.2005.09.007</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25. </w:t>
        <w:tab/>
        <w:t>Simunovic, K., Simunovic, G., Saric, T.: Single and multiple goal optimization of structural steel face milling process considering different methods of cooling/lubricating. J. Clean. Prod. 94, 321–329 (2015). doi:10.1016/j.jclepro.2015.02.015</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26. </w:t>
        <w:tab/>
        <w:t>Li, R., Shih, A.J.-M.: High-throughput drilling of titanium alloys. Chinese J. Mech. Eng. 20, 62–66 (2007)</w:t>
      </w:r>
    </w:p>
    <w:p>
      <w:pPr>
        <w:pStyle w:val="Normal"/>
        <w:widowControl w:val="false"/>
        <w:spacing w:lineRule="auto" w:line="240"/>
        <w:ind w:left="640" w:hanging="640"/>
        <w:rPr>
          <w:rFonts w:ascii="Times New Roman" w:hAnsi="Times New Roman" w:cs="Times New Roman"/>
          <w:sz w:val="24"/>
          <w:szCs w:val="24"/>
        </w:rPr>
      </w:pPr>
      <w:r>
        <w:rPr>
          <w:rFonts w:cs="Times New Roman" w:ascii="Times New Roman" w:hAnsi="Times New Roman"/>
          <w:sz w:val="24"/>
          <w:szCs w:val="24"/>
        </w:rPr>
        <w:t xml:space="preserve">27. </w:t>
        <w:tab/>
        <w:t>Shetty, P.K., Shetty, R., Shetty, D., Rehaman, N.F., Jose, T.K.: Machinability Study on Dry Drilling of Titanium Alloy Ti-6Al-4V using L9 Orthoganal Array. Procedia Mater. Sci. 5, 2605–2614 (2014). doi:10.1016/J.MSPRO.2014.07.521</w:t>
      </w:r>
    </w:p>
    <w:p>
      <w:pPr>
        <w:pStyle w:val="Normal"/>
        <w:widowControl w:val="false"/>
        <w:spacing w:lineRule="auto" w:line="240"/>
        <w:ind w:left="640" w:hanging="640"/>
        <w:rPr>
          <w:rFonts w:ascii="Times New Roman" w:hAnsi="Times New Roman" w:cs="Times New Roman"/>
          <w:sz w:val="24"/>
        </w:rPr>
      </w:pPr>
      <w:r>
        <w:rPr>
          <w:rFonts w:cs="Times New Roman" w:ascii="Times New Roman" w:hAnsi="Times New Roman"/>
          <w:sz w:val="24"/>
          <w:szCs w:val="24"/>
        </w:rPr>
        <w:t xml:space="preserve">28. </w:t>
        <w:tab/>
        <w:t>Chang, S.S.F., Bone, G.M.: Burr height model for vibration assisted drilling of aluminum 6061-T6. Precis. Eng. 34, 369–375 (2010). doi:10.1016/j.precisioneng.2009.09.002</w:t>
      </w:r>
    </w:p>
    <w:p>
      <w:pPr>
        <w:pStyle w:val="Articletext"/>
        <w:rPr/>
      </w:pPr>
      <w:bookmarkStart w:id="53" w:name="_Ref389163635"/>
      <w:bookmarkStart w:id="54" w:name="_Ref389163635"/>
      <w:bookmarkEnd w:id="54"/>
      <w:r>
        <w:rPr/>
      </w:r>
    </w:p>
    <w:p>
      <w:pPr>
        <w:pStyle w:val="Articletext"/>
        <w:rPr/>
      </w:pPr>
      <w:r>
        <w:rPr/>
      </w:r>
    </w:p>
    <w:sectPr>
      <w:footerReference w:type="default" r:id="rId14"/>
      <w:type w:val="nextPage"/>
      <w:pgSz w:w="12240" w:h="15840"/>
      <w:pgMar w:left="1134" w:right="1134" w:header="0" w:top="1134" w:footer="709"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Arial Narrow">
    <w:charset w:val="01"/>
    <w:family w:val="roman"/>
    <w:pitch w:val="variable"/>
  </w:font>
  <w:font w:name="Lucida Grande">
    <w:charset w:val="01"/>
    <w:family w:val="roman"/>
    <w:pitch w:val="variable"/>
  </w:font>
  <w:font w:name="Tahoma">
    <w:charset w:val="01"/>
    <w:family w:val="roman"/>
    <w:pitch w:val="variable"/>
  </w:font>
  <w:font w:name="Times New Roman">
    <w:charset w:val="01"/>
    <w:family w:val="roman"/>
    <w:pitch w:val="variable"/>
  </w:font>
  <w:font w:name="Cambria">
    <w:charset w:val="01"/>
    <w:family w:val="roman"/>
    <w:pitch w:val="variable"/>
  </w:font>
  <w:font w:name="Liberation Sans">
    <w:altName w:val="Arial"/>
    <w:charset w:val="01"/>
    <w:family w:val="swiss"/>
    <w:pitch w:val="variable"/>
  </w:font>
  <w:font w:name="Wingdings">
    <w:charset w:val="02"/>
    <w:family w:val="auto"/>
    <w:pitch w:val="default"/>
  </w:font>
  <w:font w:name="Courier New">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instrText> PAGE </w:instrText>
    </w:r>
    <w:r>
      <w:fldChar w:fldCharType="separate"/>
    </w:r>
    <w:r>
      <w:t>1</w:t>
    </w:r>
    <w:r>
      <w:fldChar w:fldCharType="end"/>
    </w:r>
  </w:p>
  <w:p>
    <w:pPr>
      <w:pStyle w:val="Footer"/>
      <w:tabs>
        <w:tab w:val="center" w:pos="4153" w:leader="none"/>
        <w:tab w:val="right" w:pos="8306" w:leader="none"/>
      </w:tabs>
      <w:snapToGrid w:val="false"/>
      <w:spacing w:lineRule="auto" w:line="240"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instrText> PAGE </w:instrText>
    </w:r>
    <w:r>
      <w:fldChar w:fldCharType="separate"/>
    </w:r>
    <w:r>
      <w:t>14</w:t>
    </w:r>
    <w:r>
      <w:fldChar w:fldCharType="end"/>
    </w:r>
  </w:p>
  <w:p>
    <w:pPr>
      <w:pStyle w:val="Footer"/>
      <w:tabs>
        <w:tab w:val="center" w:pos="4153" w:leader="none"/>
        <w:tab w:val="right" w:pos="8306" w:leader="none"/>
      </w:tabs>
      <w:snapToGrid w:val="false"/>
      <w:spacing w:lineRule="auto" w:line="240" w:before="0" w:after="20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space"/>
      <w:lvlText w:val="%1."/>
      <w:lvlJc w:val="left"/>
      <w:pPr>
        <w:ind w:left="0" w:hanging="0"/>
      </w:pPr>
    </w:lvl>
    <w:lvl w:ilvl="1">
      <w:start w:val="1"/>
      <w:numFmt w:val="decimal"/>
      <w:suff w:val="space"/>
      <w:lvlText w:val="%1.%2."/>
      <w:lvlJc w:val="left"/>
      <w:pPr>
        <w:ind w:left="1844" w:hanging="0"/>
      </w:pPr>
    </w:lvl>
    <w:lvl w:ilvl="2">
      <w:start w:val="1"/>
      <w:numFmt w:val="decimal"/>
      <w:lvlText w:val="%1.%2.%3."/>
      <w:lvlJc w:val="left"/>
      <w:pPr>
        <w:ind w:left="568" w:hanging="0"/>
      </w:pPr>
    </w:lvl>
    <w:lvl w:ilvl="3">
      <w:start w:val="1"/>
      <w:numFmt w:val="decimal"/>
      <w:lvlText w:val="(%4)"/>
      <w:lvlJc w:val="left"/>
      <w:pPr>
        <w:ind w:left="0" w:hanging="0"/>
      </w:pPr>
    </w:lvl>
    <w:lvl w:ilvl="4">
      <w:start w:val="1"/>
      <w:numFmt w:val="lowerLetter"/>
      <w:lvlText w:val="(%5)"/>
      <w:lvlJc w:val="left"/>
      <w:pPr>
        <w:ind w:left="0" w:hanging="0"/>
      </w:pPr>
    </w:lvl>
    <w:lvl w:ilvl="5">
      <w:start w:val="1"/>
      <w:numFmt w:val="lowerRoman"/>
      <w:lvlText w:val="(%6)"/>
      <w:lvlJc w:val="left"/>
      <w:pPr>
        <w:ind w:left="0" w:hanging="0"/>
      </w:pPr>
    </w:lvl>
    <w:lvl w:ilvl="6">
      <w:start w:val="1"/>
      <w:numFmt w:val="decimal"/>
      <w:lvlText w:val="%7."/>
      <w:lvlJc w:val="left"/>
      <w:pPr>
        <w:ind w:left="0" w:hanging="0"/>
      </w:pPr>
    </w:lvl>
    <w:lvl w:ilvl="7">
      <w:start w:val="1"/>
      <w:numFmt w:val="lowerLetter"/>
      <w:lvlText w:val="%8."/>
      <w:lvlJc w:val="left"/>
      <w:pPr>
        <w:ind w:left="0" w:hanging="0"/>
      </w:pPr>
    </w:lvl>
    <w:lvl w:ilvl="8">
      <w:start w:val="1"/>
      <w:numFmt w:val="lowerRoman"/>
      <w:lvlText w:val="%9."/>
      <w:lvlJc w:val="left"/>
      <w:pPr>
        <w:ind w:left="0" w:hanging="0"/>
      </w:p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79"/>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t-BR" w:eastAsia="pt-BR"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296105"/>
    <w:pPr>
      <w:widowControl/>
      <w:bidi w:val="0"/>
      <w:spacing w:lineRule="auto" w:line="276" w:before="0" w:after="200"/>
      <w:jc w:val="left"/>
    </w:pPr>
    <w:rPr>
      <w:rFonts w:eastAsia="SimSun" w:cs="Calibri" w:ascii="Calibri" w:hAnsi="Calibri"/>
      <w:color w:val="auto"/>
      <w:sz w:val="22"/>
      <w:szCs w:val="22"/>
      <w:lang w:val="en-US" w:eastAsia="zh-CN" w:bidi="ar-SA"/>
    </w:rPr>
  </w:style>
  <w:style w:type="character" w:styleId="DefaultParagraphFont" w:default="1">
    <w:name w:val="Default Paragraph Font"/>
    <w:uiPriority w:val="1"/>
    <w:semiHidden/>
    <w:unhideWhenUsed/>
    <w:qFormat/>
    <w:rPr/>
  </w:style>
  <w:style w:type="character" w:styleId="InternetLink">
    <w:name w:val="Internet Link"/>
    <w:uiPriority w:val="99"/>
    <w:unhideWhenUsed/>
    <w:rsid w:val="00296105"/>
    <w:rPr>
      <w:rFonts w:ascii="Arial" w:hAnsi="Arial" w:cs="Arial"/>
      <w:strike w:val="false"/>
      <w:dstrike w:val="false"/>
      <w:color w:val="1122CC"/>
      <w:u w:val="none"/>
      <w:effect w:val="none"/>
    </w:rPr>
  </w:style>
  <w:style w:type="character" w:styleId="FollowedHyperlink">
    <w:name w:val="FollowedHyperlink"/>
    <w:uiPriority w:val="99"/>
    <w:semiHidden/>
    <w:unhideWhenUsed/>
    <w:qFormat/>
    <w:rsid w:val="00296105"/>
    <w:rPr>
      <w:color w:val="800080"/>
      <w:u w:val="single"/>
    </w:rPr>
  </w:style>
  <w:style w:type="character" w:styleId="Emphasis">
    <w:name w:val="Emphasis"/>
    <w:uiPriority w:val="20"/>
    <w:qFormat/>
    <w:rsid w:val="00296105"/>
    <w:rPr>
      <w:b/>
      <w:bCs/>
      <w:i w:val="false"/>
      <w:iCs w:val="false"/>
    </w:rPr>
  </w:style>
  <w:style w:type="character" w:styleId="PrformataoHTMLChar" w:customStyle="1">
    <w:name w:val="Pré-formatação HTML Char"/>
    <w:link w:val="Pr-formataoHTML"/>
    <w:uiPriority w:val="99"/>
    <w:semiHidden/>
    <w:qFormat/>
    <w:locked/>
    <w:rsid w:val="00296105"/>
    <w:rPr>
      <w:rFonts w:ascii="Arial" w:hAnsi="Arial" w:eastAsia="Times New Roman" w:cs="Arial"/>
      <w:sz w:val="20"/>
      <w:szCs w:val="20"/>
      <w:lang w:eastAsia="es-ES"/>
    </w:rPr>
  </w:style>
  <w:style w:type="character" w:styleId="TextodenotaderodapChar" w:customStyle="1">
    <w:name w:val="Texto de nota de rodapé Char"/>
    <w:link w:val="Textodenotaderodap"/>
    <w:uiPriority w:val="99"/>
    <w:semiHidden/>
    <w:qFormat/>
    <w:locked/>
    <w:rsid w:val="00296105"/>
    <w:rPr>
      <w:rFonts w:ascii="Calibri" w:hAnsi="Calibri" w:eastAsia="SimSun" w:cs="Calibri"/>
      <w:sz w:val="20"/>
      <w:szCs w:val="20"/>
      <w:lang w:eastAsia="es-ES"/>
    </w:rPr>
  </w:style>
  <w:style w:type="character" w:styleId="TextodecomentrioChar" w:customStyle="1">
    <w:name w:val="Texto de comentário Char"/>
    <w:link w:val="Textodecomentrio"/>
    <w:uiPriority w:val="99"/>
    <w:semiHidden/>
    <w:qFormat/>
    <w:locked/>
    <w:rsid w:val="00296105"/>
    <w:rPr>
      <w:rFonts w:ascii="Calibri" w:hAnsi="Calibri" w:eastAsia="SimSun" w:cs="Calibri"/>
      <w:sz w:val="20"/>
      <w:szCs w:val="20"/>
      <w:lang w:val="en-US" w:eastAsia="zh-CN"/>
    </w:rPr>
  </w:style>
  <w:style w:type="character" w:styleId="CabealhoChar" w:customStyle="1">
    <w:name w:val="Cabeçalho Char"/>
    <w:link w:val="Cabealho"/>
    <w:uiPriority w:val="99"/>
    <w:qFormat/>
    <w:locked/>
    <w:rsid w:val="00296105"/>
    <w:rPr>
      <w:rFonts w:ascii="Calibri" w:hAnsi="Calibri" w:eastAsia="SimSun" w:cs="Calibri"/>
      <w:sz w:val="18"/>
      <w:szCs w:val="18"/>
      <w:lang w:eastAsia="es-ES"/>
    </w:rPr>
  </w:style>
  <w:style w:type="character" w:styleId="RodapChar" w:customStyle="1">
    <w:name w:val="Rodapé Char"/>
    <w:link w:val="Rodap"/>
    <w:uiPriority w:val="99"/>
    <w:qFormat/>
    <w:locked/>
    <w:rsid w:val="00296105"/>
    <w:rPr>
      <w:rFonts w:ascii="Calibri" w:hAnsi="Calibri" w:eastAsia="SimSun" w:cs="Calibri"/>
      <w:sz w:val="18"/>
      <w:szCs w:val="18"/>
      <w:lang w:eastAsia="es-ES"/>
    </w:rPr>
  </w:style>
  <w:style w:type="character" w:styleId="TextodenotadefimChar" w:customStyle="1">
    <w:name w:val="Texto de nota de fim Char"/>
    <w:link w:val="Textodenotadefim"/>
    <w:uiPriority w:val="99"/>
    <w:semiHidden/>
    <w:qFormat/>
    <w:locked/>
    <w:rsid w:val="00296105"/>
    <w:rPr>
      <w:rFonts w:ascii="Calibri" w:hAnsi="Calibri" w:eastAsia="SimSun" w:cs="Calibri"/>
      <w:sz w:val="20"/>
      <w:szCs w:val="20"/>
      <w:lang w:eastAsia="es-ES"/>
    </w:rPr>
  </w:style>
  <w:style w:type="character" w:styleId="CorpodetextoChar" w:customStyle="1">
    <w:name w:val="Corpo de texto Char"/>
    <w:link w:val="Corpodetexto"/>
    <w:uiPriority w:val="99"/>
    <w:semiHidden/>
    <w:qFormat/>
    <w:locked/>
    <w:rsid w:val="00296105"/>
    <w:rPr>
      <w:rFonts w:ascii="Arial Narrow" w:hAnsi="Arial Narrow" w:eastAsia="MS Mincho" w:cs="Arial Narrow"/>
      <w:sz w:val="56"/>
      <w:szCs w:val="56"/>
      <w:lang w:val="en-GB" w:eastAsia="ja-JP"/>
    </w:rPr>
  </w:style>
  <w:style w:type="character" w:styleId="MapadoDocumentoChar" w:customStyle="1">
    <w:name w:val="Mapa do Documento Char"/>
    <w:link w:val="MapadoDocumento"/>
    <w:uiPriority w:val="99"/>
    <w:semiHidden/>
    <w:qFormat/>
    <w:locked/>
    <w:rsid w:val="00296105"/>
    <w:rPr>
      <w:rFonts w:ascii="Lucida Grande" w:hAnsi="Lucida Grande" w:eastAsia="SimSun" w:cs="Lucida Grande"/>
      <w:sz w:val="24"/>
      <w:szCs w:val="24"/>
      <w:lang w:eastAsia="es-ES"/>
    </w:rPr>
  </w:style>
  <w:style w:type="character" w:styleId="AssuntodocomentrioChar" w:customStyle="1">
    <w:name w:val="Assunto do comentário Char"/>
    <w:link w:val="Assuntodocomentrio"/>
    <w:uiPriority w:val="99"/>
    <w:semiHidden/>
    <w:qFormat/>
    <w:locked/>
    <w:rsid w:val="00296105"/>
    <w:rPr>
      <w:rFonts w:ascii="Calibri" w:hAnsi="Calibri" w:eastAsia="SimSun" w:cs="Calibri"/>
      <w:b/>
      <w:bCs/>
      <w:sz w:val="20"/>
      <w:szCs w:val="20"/>
      <w:lang w:val="en-US" w:eastAsia="zh-CN"/>
    </w:rPr>
  </w:style>
  <w:style w:type="character" w:styleId="TextodebaloChar" w:customStyle="1">
    <w:name w:val="Texto de balão Char"/>
    <w:link w:val="Textodebalo"/>
    <w:uiPriority w:val="99"/>
    <w:semiHidden/>
    <w:qFormat/>
    <w:locked/>
    <w:rsid w:val="00296105"/>
    <w:rPr>
      <w:rFonts w:ascii="Tahoma" w:hAnsi="Tahoma" w:eastAsia="SimSun" w:cs="Tahoma"/>
      <w:sz w:val="16"/>
      <w:szCs w:val="16"/>
      <w:lang w:eastAsia="es-ES"/>
    </w:rPr>
  </w:style>
  <w:style w:type="character" w:styleId="Footnotereference">
    <w:name w:val="footnote reference"/>
    <w:uiPriority w:val="99"/>
    <w:semiHidden/>
    <w:unhideWhenUsed/>
    <w:qFormat/>
    <w:rsid w:val="00296105"/>
    <w:rPr>
      <w:vertAlign w:val="superscript"/>
    </w:rPr>
  </w:style>
  <w:style w:type="character" w:styleId="Annotationreference">
    <w:name w:val="annotation reference"/>
    <w:uiPriority w:val="99"/>
    <w:semiHidden/>
    <w:unhideWhenUsed/>
    <w:qFormat/>
    <w:rsid w:val="00296105"/>
    <w:rPr>
      <w:sz w:val="16"/>
      <w:szCs w:val="16"/>
    </w:rPr>
  </w:style>
  <w:style w:type="character" w:styleId="Endnotereference">
    <w:name w:val="endnote reference"/>
    <w:uiPriority w:val="99"/>
    <w:semiHidden/>
    <w:unhideWhenUsed/>
    <w:qFormat/>
    <w:rsid w:val="00296105"/>
    <w:rPr>
      <w:vertAlign w:val="superscript"/>
    </w:rPr>
  </w:style>
  <w:style w:type="character" w:styleId="PlaceholderText">
    <w:name w:val="Placeholder Text"/>
    <w:uiPriority w:val="99"/>
    <w:semiHidden/>
    <w:qFormat/>
    <w:rsid w:val="00296105"/>
    <w:rPr>
      <w:color w:val="808080"/>
    </w:rPr>
  </w:style>
  <w:style w:type="character" w:styleId="St" w:customStyle="1">
    <w:name w:val="st"/>
    <w:basedOn w:val="DefaultParagraphFont"/>
    <w:qFormat/>
    <w:rsid w:val="00296105"/>
    <w:rPr/>
  </w:style>
  <w:style w:type="character" w:styleId="St1" w:customStyle="1">
    <w:name w:val="st1"/>
    <w:basedOn w:val="DefaultParagraphFont"/>
    <w:qFormat/>
    <w:rsid w:val="00296105"/>
    <w:rPr/>
  </w:style>
  <w:style w:type="character" w:styleId="TtuloChar" w:customStyle="1">
    <w:name w:val="Título Char"/>
    <w:link w:val="Ttulo"/>
    <w:qFormat/>
    <w:locked/>
    <w:rsid w:val="00c176b0"/>
    <w:rPr>
      <w:rFonts w:ascii="Times New Roman" w:hAnsi="Times New Roman" w:eastAsia="Calibri" w:cs="Arial"/>
      <w:bCs/>
      <w:szCs w:val="24"/>
      <w:lang w:val="cs-CZ" w:eastAsia="cs-CZ"/>
    </w:rPr>
  </w:style>
  <w:style w:type="character" w:styleId="TitleChar1" w:customStyle="1">
    <w:name w:val="Title Char1"/>
    <w:uiPriority w:val="10"/>
    <w:qFormat/>
    <w:rsid w:val="00c176b0"/>
    <w:rPr>
      <w:rFonts w:ascii="Cambria" w:hAnsi="Cambria" w:eastAsia="Times New Roman" w:cs="Times New Roman"/>
      <w:color w:val="17365D"/>
      <w:spacing w:val="5"/>
      <w:sz w:val="52"/>
      <w:szCs w:val="52"/>
      <w:lang w:val="en-US" w:eastAsia="zh-CN"/>
    </w:rPr>
  </w:style>
  <w:style w:type="character" w:styleId="LReferencesChar" w:customStyle="1">
    <w:name w:val="L-References Char"/>
    <w:link w:val="L-References"/>
    <w:qFormat/>
    <w:rsid w:val="00631a6c"/>
    <w:rPr>
      <w:rFonts w:ascii="Times New Roman" w:hAnsi="Times New Roman" w:eastAsia="Calibri" w:cs="Times New Roman"/>
      <w:szCs w:val="24"/>
      <w:lang w:val="en-GB" w:eastAsia="cs-CZ"/>
    </w:rPr>
  </w:style>
  <w:style w:type="character" w:styleId="MenoPendente1" w:customStyle="1">
    <w:name w:val="Menção Pendente1"/>
    <w:uiPriority w:val="99"/>
    <w:semiHidden/>
    <w:unhideWhenUsed/>
    <w:qFormat/>
    <w:rsid w:val="00a1728f"/>
    <w:rPr>
      <w:color w:val="808080"/>
      <w:shd w:fill="E6E6E6" w:val="clear"/>
    </w:rPr>
  </w:style>
  <w:style w:type="character" w:styleId="UnresolvedMention">
    <w:name w:val="Unresolved Mention"/>
    <w:uiPriority w:val="99"/>
    <w:semiHidden/>
    <w:unhideWhenUsed/>
    <w:qFormat/>
    <w:rsid w:val="007f7057"/>
    <w:rPr>
      <w:color w:val="605E5C"/>
      <w:shd w:fill="E1DFDD" w:val="clear"/>
    </w:rPr>
  </w:style>
  <w:style w:type="character" w:styleId="Tagtrans" w:customStyle="1">
    <w:name w:val="tag_trans"/>
    <w:basedOn w:val="DefaultParagraphFont"/>
    <w:qFormat/>
    <w:rsid w:val="00a17b1a"/>
    <w:rPr/>
  </w:style>
  <w:style w:type="character" w:styleId="ListLabel1">
    <w:name w:val="ListLabel 1"/>
    <w:qFormat/>
    <w:rPr>
      <w:rFonts w:cs="Times New Roman"/>
      <w:i w:val="false"/>
    </w:rPr>
  </w:style>
  <w:style w:type="character" w:styleId="ListLabel2">
    <w:name w:val="ListLabel 2"/>
    <w:qFormat/>
    <w:rPr>
      <w:rFonts w:cs="Times New Roman"/>
      <w:i w:val="false"/>
    </w:rPr>
  </w:style>
  <w:style w:type="character" w:styleId="ListLabel3">
    <w:name w:val="ListLabel 3"/>
    <w:qFormat/>
    <w:rPr>
      <w:color w:val="00000A"/>
    </w:rPr>
  </w:style>
  <w:style w:type="character" w:styleId="ListLabel4">
    <w:name w:val="ListLabel 4"/>
    <w:qFormat/>
    <w:rPr>
      <w:color w:val="00000A"/>
    </w:rPr>
  </w:style>
  <w:style w:type="character" w:styleId="ListLabel5">
    <w:name w:val="ListLabel 5"/>
    <w:qFormat/>
    <w:rPr>
      <w:color w:val="00000A"/>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b w:val="false"/>
      <w:i w:val="false"/>
      <w:sz w:val="20"/>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paragraph" w:styleId="Heading">
    <w:name w:val="Heading"/>
    <w:basedOn w:val="Normal"/>
    <w:next w:val="TextBody"/>
    <w:qFormat/>
    <w:pPr>
      <w:keepNext w:val="true"/>
      <w:spacing w:before="240" w:after="120"/>
    </w:pPr>
    <w:rPr>
      <w:rFonts w:ascii="Liberation Sans" w:hAnsi="Liberation Sans" w:eastAsia="WenQuanYi Zen Hei Sharp" w:cs="Lohit Devanagari"/>
      <w:sz w:val="28"/>
      <w:szCs w:val="28"/>
    </w:rPr>
  </w:style>
  <w:style w:type="paragraph" w:styleId="TextBody">
    <w:name w:val="Body Text"/>
    <w:basedOn w:val="Normal"/>
    <w:link w:val="CorpodetextoChar"/>
    <w:uiPriority w:val="99"/>
    <w:semiHidden/>
    <w:unhideWhenUsed/>
    <w:rsid w:val="00296105"/>
    <w:pPr>
      <w:spacing w:lineRule="auto" w:line="240" w:before="0" w:after="0"/>
      <w:jc w:val="center"/>
    </w:pPr>
    <w:rPr>
      <w:rFonts w:ascii="Arial Narrow" w:hAnsi="Arial Narrow" w:eastAsia="MS Mincho" w:cs="Arial Narrow"/>
      <w:sz w:val="56"/>
      <w:szCs w:val="56"/>
      <w:lang w:val="en-GB" w:eastAsia="ja-JP"/>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TMLPreformatted">
    <w:name w:val="HTML Preformatted"/>
    <w:basedOn w:val="Normal"/>
    <w:link w:val="Pr-formataoHTMLChar"/>
    <w:uiPriority w:val="99"/>
    <w:semiHidden/>
    <w:unhideWhenUsed/>
    <w:qFormat/>
    <w:rsid w:val="00296105"/>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Arial" w:hAnsi="Arial" w:eastAsia="Times New Roman" w:cs="Arial"/>
      <w:sz w:val="20"/>
      <w:szCs w:val="20"/>
      <w:lang w:val="es-ES" w:eastAsia="es-ES"/>
    </w:rPr>
  </w:style>
  <w:style w:type="paragraph" w:styleId="NormalWeb">
    <w:name w:val="Normal (Web)"/>
    <w:basedOn w:val="Normal"/>
    <w:uiPriority w:val="99"/>
    <w:semiHidden/>
    <w:unhideWhenUsed/>
    <w:qFormat/>
    <w:rsid w:val="00296105"/>
    <w:pPr>
      <w:spacing w:lineRule="auto" w:line="240" w:beforeAutospacing="1" w:afterAutospacing="1"/>
    </w:pPr>
    <w:rPr>
      <w:rFonts w:ascii="Times New Roman" w:hAnsi="Times New Roman" w:eastAsia="Times New Roman" w:cs="Times New Roman"/>
      <w:sz w:val="24"/>
      <w:szCs w:val="24"/>
      <w:lang w:val="es-ES" w:eastAsia="es-ES"/>
    </w:rPr>
  </w:style>
  <w:style w:type="paragraph" w:styleId="Footnotetext">
    <w:name w:val="footnote text"/>
    <w:basedOn w:val="Normal"/>
    <w:link w:val="TextodenotaderodapChar"/>
    <w:uiPriority w:val="99"/>
    <w:semiHidden/>
    <w:unhideWhenUsed/>
    <w:qFormat/>
    <w:rsid w:val="00296105"/>
    <w:pPr>
      <w:spacing w:lineRule="auto" w:line="240" w:before="0" w:after="0"/>
    </w:pPr>
    <w:rPr>
      <w:sz w:val="20"/>
      <w:szCs w:val="20"/>
      <w:lang w:val="es-ES" w:eastAsia="es-ES"/>
    </w:rPr>
  </w:style>
  <w:style w:type="paragraph" w:styleId="Annotationtext">
    <w:name w:val="annotation text"/>
    <w:basedOn w:val="Normal"/>
    <w:link w:val="TextodecomentrioChar"/>
    <w:uiPriority w:val="99"/>
    <w:semiHidden/>
    <w:unhideWhenUsed/>
    <w:qFormat/>
    <w:rsid w:val="00296105"/>
    <w:pPr/>
    <w:rPr>
      <w:sz w:val="20"/>
      <w:szCs w:val="20"/>
    </w:rPr>
  </w:style>
  <w:style w:type="paragraph" w:styleId="Header">
    <w:name w:val="Header"/>
    <w:basedOn w:val="Normal"/>
    <w:link w:val="CabealhoChar"/>
    <w:uiPriority w:val="99"/>
    <w:unhideWhenUsed/>
    <w:rsid w:val="00296105"/>
    <w:pPr>
      <w:pBdr>
        <w:bottom w:val="single" w:sz="6" w:space="1" w:color="00000A"/>
      </w:pBdr>
      <w:tabs>
        <w:tab w:val="center" w:pos="4153" w:leader="none"/>
        <w:tab w:val="right" w:pos="8306" w:leader="none"/>
      </w:tabs>
      <w:snapToGrid w:val="false"/>
      <w:spacing w:lineRule="auto" w:line="240"/>
      <w:jc w:val="center"/>
    </w:pPr>
    <w:rPr>
      <w:sz w:val="18"/>
      <w:szCs w:val="18"/>
      <w:lang w:val="es-ES" w:eastAsia="es-ES"/>
    </w:rPr>
  </w:style>
  <w:style w:type="paragraph" w:styleId="Footer">
    <w:name w:val="Footer"/>
    <w:basedOn w:val="Normal"/>
    <w:link w:val="RodapChar"/>
    <w:uiPriority w:val="99"/>
    <w:unhideWhenUsed/>
    <w:rsid w:val="00296105"/>
    <w:pPr>
      <w:tabs>
        <w:tab w:val="center" w:pos="4153" w:leader="none"/>
        <w:tab w:val="right" w:pos="8306" w:leader="none"/>
      </w:tabs>
      <w:snapToGrid w:val="false"/>
      <w:spacing w:lineRule="auto" w:line="240"/>
    </w:pPr>
    <w:rPr>
      <w:sz w:val="18"/>
      <w:szCs w:val="18"/>
      <w:lang w:val="es-ES" w:eastAsia="es-ES"/>
    </w:rPr>
  </w:style>
  <w:style w:type="paragraph" w:styleId="Endnotetext">
    <w:name w:val="endnote text"/>
    <w:basedOn w:val="Normal"/>
    <w:link w:val="TextodenotadefimChar"/>
    <w:uiPriority w:val="99"/>
    <w:semiHidden/>
    <w:unhideWhenUsed/>
    <w:qFormat/>
    <w:rsid w:val="00296105"/>
    <w:pPr>
      <w:spacing w:lineRule="auto" w:line="240" w:before="0" w:after="0"/>
    </w:pPr>
    <w:rPr>
      <w:sz w:val="20"/>
      <w:szCs w:val="20"/>
      <w:lang w:val="es-ES" w:eastAsia="es-ES"/>
    </w:rPr>
  </w:style>
  <w:style w:type="paragraph" w:styleId="DocumentMap">
    <w:name w:val="Document Map"/>
    <w:basedOn w:val="Normal"/>
    <w:link w:val="MapadoDocumentoChar"/>
    <w:uiPriority w:val="99"/>
    <w:semiHidden/>
    <w:unhideWhenUsed/>
    <w:qFormat/>
    <w:rsid w:val="00296105"/>
    <w:pPr>
      <w:spacing w:lineRule="auto" w:line="240" w:before="0" w:after="0"/>
    </w:pPr>
    <w:rPr>
      <w:rFonts w:ascii="Lucida Grande" w:hAnsi="Lucida Grande" w:cs="Lucida Grande"/>
      <w:sz w:val="24"/>
      <w:szCs w:val="24"/>
      <w:lang w:val="es-ES" w:eastAsia="es-ES"/>
    </w:rPr>
  </w:style>
  <w:style w:type="paragraph" w:styleId="Annotationsubject">
    <w:name w:val="annotation subject"/>
    <w:basedOn w:val="Annotationtext"/>
    <w:link w:val="AssuntodocomentrioChar"/>
    <w:uiPriority w:val="99"/>
    <w:semiHidden/>
    <w:unhideWhenUsed/>
    <w:qFormat/>
    <w:rsid w:val="00296105"/>
    <w:pPr/>
    <w:rPr>
      <w:b/>
      <w:bCs/>
    </w:rPr>
  </w:style>
  <w:style w:type="paragraph" w:styleId="BalloonText">
    <w:name w:val="Balloon Text"/>
    <w:basedOn w:val="Normal"/>
    <w:link w:val="TextodebaloChar"/>
    <w:uiPriority w:val="99"/>
    <w:semiHidden/>
    <w:unhideWhenUsed/>
    <w:qFormat/>
    <w:rsid w:val="00296105"/>
    <w:pPr>
      <w:spacing w:lineRule="auto" w:line="240" w:before="0" w:after="0"/>
    </w:pPr>
    <w:rPr>
      <w:rFonts w:ascii="Tahoma" w:hAnsi="Tahoma" w:cs="Tahoma"/>
      <w:sz w:val="16"/>
      <w:szCs w:val="16"/>
      <w:lang w:val="es-ES" w:eastAsia="es-ES"/>
    </w:rPr>
  </w:style>
  <w:style w:type="paragraph" w:styleId="Revision">
    <w:name w:val="Revision"/>
    <w:uiPriority w:val="99"/>
    <w:semiHidden/>
    <w:qFormat/>
    <w:rsid w:val="00296105"/>
    <w:pPr>
      <w:widowControl/>
      <w:bidi w:val="0"/>
      <w:jc w:val="left"/>
    </w:pPr>
    <w:rPr>
      <w:rFonts w:eastAsia="SimSun" w:cs="Calibri" w:ascii="Calibri" w:hAnsi="Calibri"/>
      <w:color w:val="auto"/>
      <w:sz w:val="22"/>
      <w:szCs w:val="22"/>
      <w:lang w:val="en-US" w:eastAsia="zh-CN" w:bidi="ar-SA"/>
    </w:rPr>
  </w:style>
  <w:style w:type="paragraph" w:styleId="ListParagraph">
    <w:name w:val="List Paragraph"/>
    <w:basedOn w:val="Normal"/>
    <w:uiPriority w:val="99"/>
    <w:qFormat/>
    <w:rsid w:val="00296105"/>
    <w:pPr>
      <w:ind w:left="720" w:hanging="0"/>
    </w:pPr>
    <w:rPr/>
  </w:style>
  <w:style w:type="paragraph" w:styleId="Bdy" w:customStyle="1">
    <w:name w:val="bdy"/>
    <w:basedOn w:val="Normal"/>
    <w:uiPriority w:val="99"/>
    <w:qFormat/>
    <w:rsid w:val="00296105"/>
    <w:pPr>
      <w:spacing w:lineRule="atLeast" w:line="227" w:before="0" w:after="0"/>
      <w:ind w:right="5188" w:firstLine="170"/>
      <w:jc w:val="both"/>
    </w:pPr>
    <w:rPr>
      <w:rFonts w:ascii="Times New Roman" w:hAnsi="Times New Roman" w:eastAsia="MS Mincho" w:cs="Times New Roman"/>
      <w:sz w:val="20"/>
      <w:szCs w:val="20"/>
      <w:lang w:val="en-GB" w:eastAsia="ko-KR"/>
    </w:rPr>
  </w:style>
  <w:style w:type="paragraph" w:styleId="Reference" w:customStyle="1">
    <w:name w:val="Reference"/>
    <w:basedOn w:val="Normal"/>
    <w:uiPriority w:val="99"/>
    <w:qFormat/>
    <w:rsid w:val="00296105"/>
    <w:pPr>
      <w:spacing w:lineRule="auto" w:line="240" w:before="0" w:after="0"/>
      <w:jc w:val="both"/>
    </w:pPr>
    <w:rPr>
      <w:rFonts w:ascii="Times New Roman" w:hAnsi="Times New Roman" w:eastAsia="Times New Roman" w:cs="Times New Roman"/>
      <w:sz w:val="20"/>
      <w:szCs w:val="24"/>
      <w:lang w:val="en-GB" w:eastAsia="es-ES"/>
    </w:rPr>
  </w:style>
  <w:style w:type="paragraph" w:styleId="Default" w:customStyle="1">
    <w:name w:val="Default"/>
    <w:uiPriority w:val="99"/>
    <w:qFormat/>
    <w:rsid w:val="00296105"/>
    <w:pPr>
      <w:widowControl/>
      <w:bidi w:val="0"/>
      <w:jc w:val="left"/>
    </w:pPr>
    <w:rPr>
      <w:rFonts w:ascii="Times New Roman" w:hAnsi="Times New Roman" w:eastAsia="SimSun" w:cs="Times New Roman"/>
      <w:color w:val="000000"/>
      <w:sz w:val="24"/>
      <w:szCs w:val="24"/>
      <w:lang w:val="es-ES" w:eastAsia="es-ES" w:bidi="ar-SA"/>
    </w:rPr>
  </w:style>
  <w:style w:type="paragraph" w:styleId="Title">
    <w:name w:val="Title"/>
    <w:basedOn w:val="Normal"/>
    <w:link w:val="TtuloChar"/>
    <w:qFormat/>
    <w:rsid w:val="00c176b0"/>
    <w:pPr>
      <w:spacing w:lineRule="auto" w:line="240" w:before="0" w:after="240"/>
      <w:contextualSpacing/>
      <w:jc w:val="both"/>
    </w:pPr>
    <w:rPr>
      <w:rFonts w:ascii="Times New Roman" w:hAnsi="Times New Roman" w:eastAsia="Calibri" w:cs="Arial"/>
      <w:bCs/>
      <w:sz w:val="20"/>
      <w:szCs w:val="24"/>
      <w:lang w:val="cs-CZ" w:eastAsia="cs-CZ"/>
    </w:rPr>
  </w:style>
  <w:style w:type="paragraph" w:styleId="LReferences" w:customStyle="1">
    <w:name w:val="L-References"/>
    <w:basedOn w:val="ListNumber"/>
    <w:link w:val="L-ReferencesChar"/>
    <w:qFormat/>
    <w:rsid w:val="00631a6c"/>
    <w:pPr>
      <w:spacing w:lineRule="auto" w:line="240" w:before="120" w:after="0"/>
      <w:jc w:val="both"/>
    </w:pPr>
    <w:rPr>
      <w:rFonts w:ascii="Times New Roman" w:hAnsi="Times New Roman" w:eastAsia="Calibri" w:cs="Times New Roman"/>
      <w:sz w:val="20"/>
      <w:szCs w:val="24"/>
      <w:lang w:val="en-GB" w:eastAsia="cs-CZ"/>
    </w:rPr>
  </w:style>
  <w:style w:type="paragraph" w:styleId="ListNumber">
    <w:name w:val="List Number"/>
    <w:basedOn w:val="Normal"/>
    <w:uiPriority w:val="99"/>
    <w:semiHidden/>
    <w:unhideWhenUsed/>
    <w:qFormat/>
    <w:rsid w:val="00631a6c"/>
    <w:pPr>
      <w:spacing w:before="0" w:after="200"/>
      <w:ind w:left="720" w:hanging="360"/>
      <w:contextualSpacing/>
    </w:pPr>
    <w:rPr/>
  </w:style>
  <w:style w:type="paragraph" w:styleId="Articletext" w:customStyle="1">
    <w:name w:val="Article_text"/>
    <w:basedOn w:val="Normal"/>
    <w:qFormat/>
    <w:rsid w:val="00f03617"/>
    <w:pPr>
      <w:spacing w:lineRule="auto" w:line="360" w:before="0" w:after="0"/>
      <w:ind w:firstLine="709"/>
      <w:jc w:val="both"/>
    </w:pPr>
    <w:rPr>
      <w:rFonts w:ascii="Times New Roman" w:hAnsi="Times New Roman" w:eastAsia="Calibri" w:cs="Times New Roman"/>
      <w:sz w:val="24"/>
      <w:lang w:val="en-GB" w:eastAsia="en-US"/>
    </w:rPr>
  </w:style>
  <w:style w:type="paragraph" w:styleId="Articleimage" w:customStyle="1">
    <w:name w:val="Article_image"/>
    <w:basedOn w:val="Articletext"/>
    <w:qFormat/>
    <w:rsid w:val="00f03617"/>
    <w:pPr>
      <w:keepNext w:val="true"/>
      <w:spacing w:lineRule="auto" w:line="240"/>
      <w:ind w:hanging="0"/>
      <w:jc w:val="center"/>
    </w:pPr>
    <w:rPr>
      <w:sz w:val="20"/>
      <w:lang w:val="pt-BR" w:eastAsia="pt-BR"/>
    </w:rPr>
  </w:style>
  <w:style w:type="paragraph" w:styleId="Articlefigure" w:customStyle="1">
    <w:name w:val="Article_figure"/>
    <w:basedOn w:val="Caption1"/>
    <w:qFormat/>
    <w:rsid w:val="00f03617"/>
    <w:pPr>
      <w:spacing w:before="0" w:after="240"/>
      <w:jc w:val="center"/>
    </w:pPr>
    <w:rPr>
      <w:rFonts w:ascii="Times New Roman" w:hAnsi="Times New Roman" w:eastAsia="Calibri" w:cs="Times New Roman"/>
      <w:i w:val="false"/>
      <w:color w:val="00000A"/>
      <w:sz w:val="24"/>
      <w:lang w:val="en-GB" w:eastAsia="en-US"/>
    </w:rPr>
  </w:style>
  <w:style w:type="paragraph" w:styleId="Caption1">
    <w:name w:val="caption"/>
    <w:basedOn w:val="Normal"/>
    <w:next w:val="Normal"/>
    <w:uiPriority w:val="35"/>
    <w:unhideWhenUsed/>
    <w:qFormat/>
    <w:rsid w:val="00da31bc"/>
    <w:pPr>
      <w:spacing w:lineRule="auto" w:line="240"/>
    </w:pPr>
    <w:rPr>
      <w:i/>
      <w:iCs/>
      <w:color w:val="1F497D"/>
      <w:sz w:val="18"/>
      <w:szCs w:val="18"/>
    </w:rPr>
  </w:style>
  <w:style w:type="paragraph" w:styleId="ArticleTitletext" w:customStyle="1">
    <w:name w:val="Article_Title_text"/>
    <w:basedOn w:val="Articletext"/>
    <w:qFormat/>
    <w:rsid w:val="00e915b3"/>
    <w:pPr>
      <w:spacing w:before="0" w:after="240"/>
    </w:pPr>
    <w:rPr>
      <w:b/>
    </w:rPr>
  </w:style>
  <w:style w:type="paragraph" w:styleId="Articlesubitle" w:customStyle="1">
    <w:name w:val="Article_subitle"/>
    <w:basedOn w:val="Articletext"/>
    <w:qFormat/>
    <w:rsid w:val="00e915b3"/>
    <w:pPr>
      <w:spacing w:before="240" w:after="240"/>
      <w:ind w:left="0" w:firstLine="709"/>
    </w:pPr>
    <w:rPr>
      <w:b/>
    </w:rPr>
  </w:style>
  <w:style w:type="paragraph" w:styleId="Articlesubsubtitulo" w:customStyle="1">
    <w:name w:val="Article_sub-subtitulo"/>
    <w:basedOn w:val="Articlesubitle"/>
    <w:qFormat/>
    <w:rsid w:val="00e915b3"/>
    <w:pPr>
      <w:ind w:left="0" w:firstLine="709"/>
    </w:pPr>
    <w:rPr/>
  </w:style>
  <w:style w:type="paragraph" w:styleId="Articletitulo" w:customStyle="1">
    <w:name w:val="article_titulo"/>
    <w:basedOn w:val="Normal"/>
    <w:qFormat/>
    <w:rsid w:val="00e21834"/>
    <w:pPr>
      <w:spacing w:lineRule="auto" w:line="360" w:before="120" w:after="120"/>
    </w:pPr>
    <w:rPr>
      <w:rFonts w:ascii="Times New Roman" w:hAnsi="Times New Roman" w:eastAsia="Times New Roman" w:cs="Times New Roman"/>
      <w:b/>
      <w:sz w:val="24"/>
      <w:szCs w:val="24"/>
      <w:lang w:eastAsia="pt-BR"/>
    </w:rPr>
  </w:style>
  <w:style w:type="paragraph" w:styleId="Articletext1" w:customStyle="1">
    <w:name w:val="article_text"/>
    <w:basedOn w:val="Normal"/>
    <w:qFormat/>
    <w:rsid w:val="00e21834"/>
    <w:pPr>
      <w:spacing w:lineRule="auto" w:line="360" w:before="0" w:after="0"/>
      <w:ind w:firstLine="425"/>
      <w:jc w:val="both"/>
    </w:pPr>
    <w:rPr>
      <w:rFonts w:ascii="Times New Roman" w:hAnsi="Times New Roman" w:eastAsia="Times New Roman" w:cs="Times New Roman"/>
      <w:sz w:val="24"/>
      <w:szCs w:val="24"/>
      <w:lang w:val="en-GB" w:eastAsia="pt-BR"/>
    </w:rPr>
  </w:style>
  <w:style w:type="paragraph" w:styleId="Articlesubtitulo" w:customStyle="1">
    <w:name w:val="article_subtitulo"/>
    <w:basedOn w:val="Articletext1"/>
    <w:qFormat/>
    <w:rsid w:val="00e21834"/>
    <w:pPr>
      <w:spacing w:before="240" w:after="240"/>
      <w:jc w:val="left"/>
    </w:pPr>
    <w:rPr>
      <w:b/>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39"/>
    <w:rsid w:val="00296105"/>
    <w:rPr>
      <w:lang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footer" Target="foot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CD7FE-18F7-439E-BC00-36B2E019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Application>LibreOffice/5.3.6.1$Linux_X86_64 LibreOffice_project/30$Build-1</Application>
  <Pages>10</Pages>
  <Words>4435</Words>
  <Characters>23225</Characters>
  <CharactersWithSpaces>27262</CharactersWithSpaces>
  <Paragraphs>352</Paragraphs>
  <Company>Universidad de Jaén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2019-09-06T17:14:00Z</dcterms:created>
  <dc:creator>Diego Carou Porto</dc:creator>
  <dc:description/>
  <dc:language>en-US</dc:language>
  <cp:lastModifiedBy>Carlos Henrique Lauro</cp:lastModifiedBy>
  <cp:lastPrinted>2019-05-27T21:58:00Z</cp:lastPrinted>
  <dcterms:modified xsi:type="dcterms:W3CDTF">2019-09-06T17:33:00Z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Universidad de Jaén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ndeley Citation Style_1">
    <vt:lpwstr>http://www.zotero.org/styles/arabian-journal-for-science-and-engineering</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http://www.zotero.org/styles/arabian-journal-for-science-and-engineering</vt:lpwstr>
  </property>
  <property fmtid="{D5CDD505-2E9C-101B-9397-08002B2CF9AE}" pid="11" name="Mendeley Recent Style Id 2_1">
    <vt:lpwstr>http://www.zotero.org/styles/chicago-author-date</vt:lpwstr>
  </property>
  <property fmtid="{D5CDD505-2E9C-101B-9397-08002B2CF9AE}" pid="12" name="Mendeley Recent Style Id 3_1">
    <vt:lpwstr>http://www.zotero.org/styles/harvard-cite-them-right</vt:lpwstr>
  </property>
  <property fmtid="{D5CDD505-2E9C-101B-9397-08002B2CF9AE}" pid="13" name="Mendeley Recent Style Id 4_1">
    <vt:lpwstr>http://www.zotero.org/styles/ieee</vt:lpwstr>
  </property>
  <property fmtid="{D5CDD505-2E9C-101B-9397-08002B2CF9AE}" pid="14" name="Mendeley Recent Style Id 5_1">
    <vt:lpwstr>http://www.zotero.org/styles/journal-of-the-mechanical-behavior-of-biomedical-materials</vt:lpwstr>
  </property>
  <property fmtid="{D5CDD505-2E9C-101B-9397-08002B2CF9AE}" pid="15" name="Mendeley Recent Style Id 6_1">
    <vt:lpwstr>http://www.zotero.org/styles/materials-and-design</vt:lpwstr>
  </property>
  <property fmtid="{D5CDD505-2E9C-101B-9397-08002B2CF9AE}" pid="16" name="Mendeley Recent Style Id 7_1">
    <vt:lpwstr>http://www.zotero.org/styles/mechanical-systems-and-signal-processing</vt:lpwstr>
  </property>
  <property fmtid="{D5CDD505-2E9C-101B-9397-08002B2CF9AE}" pid="17" name="Mendeley Recent Style Id 8_1">
    <vt:lpwstr>http://www.zotero.org/styles/universidade-federal-de-juiz-de-fora</vt:lpwstr>
  </property>
  <property fmtid="{D5CDD505-2E9C-101B-9397-08002B2CF9AE}" pid="18" name="Mendeley Recent Style Id 9_1">
    <vt:lpwstr>http://www.zotero.org/styles/associacao-brasileira-de-normas-tecnicas-ufmg-face-full</vt:lpwstr>
  </property>
  <property fmtid="{D5CDD505-2E9C-101B-9397-08002B2CF9AE}" pid="19" name="Mendeley Recent Style Name 0_1">
    <vt:lpwstr>American Psychological Association 6th edition</vt:lpwstr>
  </property>
  <property fmtid="{D5CDD505-2E9C-101B-9397-08002B2CF9AE}" pid="20" name="Mendeley Recent Style Name 1_1">
    <vt:lpwstr>Arabian Journal for Science and Engineering</vt:lpwstr>
  </property>
  <property fmtid="{D5CDD505-2E9C-101B-9397-08002B2CF9AE}" pid="21" name="Mendeley Recent Style Name 2_1">
    <vt:lpwstr>Chicago Manual of Style 17th edition (author-date)</vt:lpwstr>
  </property>
  <property fmtid="{D5CDD505-2E9C-101B-9397-08002B2CF9AE}" pid="22" name="Mendeley Recent Style Name 3_1">
    <vt:lpwstr>Cite Them Right 10th edition - Harvard</vt:lpwstr>
  </property>
  <property fmtid="{D5CDD505-2E9C-101B-9397-08002B2CF9AE}" pid="23" name="Mendeley Recent Style Name 4_1">
    <vt:lpwstr>IEEE</vt:lpwstr>
  </property>
  <property fmtid="{D5CDD505-2E9C-101B-9397-08002B2CF9AE}" pid="24" name="Mendeley Recent Style Name 5_1">
    <vt:lpwstr>Journal of the Mechanical Behavior of Biomedical Materials</vt:lpwstr>
  </property>
  <property fmtid="{D5CDD505-2E9C-101B-9397-08002B2CF9AE}" pid="25" name="Mendeley Recent Style Name 6_1">
    <vt:lpwstr>Materials &amp; Design</vt:lpwstr>
  </property>
  <property fmtid="{D5CDD505-2E9C-101B-9397-08002B2CF9AE}" pid="26" name="Mendeley Recent Style Name 7_1">
    <vt:lpwstr>Mechanical Systems and Signal Processing</vt:lpwstr>
  </property>
  <property fmtid="{D5CDD505-2E9C-101B-9397-08002B2CF9AE}" pid="27" name="Mendeley Recent Style Name 8_1">
    <vt:lpwstr>Universidade Federal de Juiz de Fora (Portuguese - Brazil)</vt:lpwstr>
  </property>
  <property fmtid="{D5CDD505-2E9C-101B-9397-08002B2CF9AE}" pid="28" name="Mendeley Recent Style Name 9_1">
    <vt:lpwstr>Universidade Federal de Minas Gerais - Faculdade de Ciências Econômicas - ABNT (autoria completa) (Portuguese - Brazil)</vt:lpwstr>
  </property>
  <property fmtid="{D5CDD505-2E9C-101B-9397-08002B2CF9AE}" pid="29" name="Mendeley Unique User Id_1">
    <vt:lpwstr>5e064634-41ab-303b-a345-d85c0c9e26eb</vt:lpwstr>
  </property>
  <property fmtid="{D5CDD505-2E9C-101B-9397-08002B2CF9AE}" pid="30" name="ScaleCrop">
    <vt:bool>0</vt:bool>
  </property>
  <property fmtid="{D5CDD505-2E9C-101B-9397-08002B2CF9AE}" pid="31" name="ShareDoc">
    <vt:bool>0</vt:bool>
  </property>
</Properties>
</file>