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1A8AE7" w14:textId="2BF2C35C" w:rsidR="00253BC4" w:rsidRPr="00AA5F02" w:rsidRDefault="00253BC4" w:rsidP="00EE0E61">
      <w:pPr>
        <w:spacing w:line="240" w:lineRule="auto"/>
        <w:jc w:val="center"/>
        <w:rPr>
          <w:lang w:val="en-GB"/>
        </w:rPr>
      </w:pPr>
    </w:p>
    <w:p w14:paraId="3DC982E8" w14:textId="0E8F28F0" w:rsidR="00253BC4" w:rsidRPr="007721FB" w:rsidRDefault="00253BC4" w:rsidP="00AA5F02">
      <w:pPr>
        <w:pStyle w:val="Ttulo"/>
        <w:jc w:val="center"/>
        <w:rPr>
          <w:rFonts w:ascii="Arial" w:hAnsi="Arial" w:cs="Arial"/>
          <w:sz w:val="52"/>
          <w:szCs w:val="32"/>
          <w:lang w:val="en-GB"/>
        </w:rPr>
      </w:pPr>
      <w:r w:rsidRPr="007721FB">
        <w:rPr>
          <w:rFonts w:ascii="Arial" w:hAnsi="Arial" w:cs="Arial"/>
          <w:sz w:val="52"/>
          <w:szCs w:val="32"/>
          <w:lang w:val="en-GB"/>
        </w:rPr>
        <w:t xml:space="preserve">Stimuli-Responsive Nanocarriers for </w:t>
      </w:r>
      <w:r w:rsidR="0004288D" w:rsidRPr="007721FB">
        <w:rPr>
          <w:rFonts w:ascii="Arial" w:hAnsi="Arial" w:cs="Arial"/>
          <w:sz w:val="52"/>
          <w:szCs w:val="32"/>
          <w:lang w:val="en-GB"/>
        </w:rPr>
        <w:t xml:space="preserve">Delivery of Bone Therapeutics – Barriers and </w:t>
      </w:r>
      <w:r w:rsidR="007672C7" w:rsidRPr="007721FB">
        <w:rPr>
          <w:rFonts w:ascii="Arial" w:hAnsi="Arial" w:cs="Arial"/>
          <w:sz w:val="52"/>
          <w:szCs w:val="32"/>
          <w:lang w:val="en-GB"/>
        </w:rPr>
        <w:t>Progresses</w:t>
      </w:r>
    </w:p>
    <w:p w14:paraId="2755A4A9" w14:textId="35A847C0" w:rsidR="0004288D" w:rsidRPr="007721FB" w:rsidRDefault="0004288D" w:rsidP="00EE0E61">
      <w:pPr>
        <w:spacing w:line="240" w:lineRule="auto"/>
        <w:rPr>
          <w:lang w:val="en-GB"/>
        </w:rPr>
      </w:pPr>
    </w:p>
    <w:p w14:paraId="64CD24B2" w14:textId="4407FE4A" w:rsidR="00AB06BB" w:rsidRPr="007721FB" w:rsidRDefault="00AB06BB" w:rsidP="00EE0E61">
      <w:pPr>
        <w:spacing w:line="240" w:lineRule="auto"/>
        <w:rPr>
          <w:rFonts w:ascii="Times New Roman" w:hAnsi="Times New Roman"/>
          <w:sz w:val="24"/>
          <w:szCs w:val="24"/>
        </w:rPr>
      </w:pPr>
    </w:p>
    <w:p w14:paraId="65CAB819" w14:textId="728F904F" w:rsidR="007F45C4" w:rsidRPr="007721FB" w:rsidRDefault="0006079F" w:rsidP="00EE0E61">
      <w:pPr>
        <w:spacing w:line="240" w:lineRule="auto"/>
        <w:ind w:firstLine="720"/>
        <w:jc w:val="center"/>
        <w:rPr>
          <w:rFonts w:ascii="Times New Roman" w:hAnsi="Times New Roman"/>
          <w:sz w:val="24"/>
          <w:szCs w:val="24"/>
          <w:lang w:val="pt-PT"/>
        </w:rPr>
      </w:pPr>
      <w:r w:rsidRPr="007721FB">
        <w:rPr>
          <w:rFonts w:ascii="Times New Roman" w:hAnsi="Times New Roman"/>
          <w:sz w:val="24"/>
          <w:szCs w:val="24"/>
          <w:lang w:val="pt-PT"/>
        </w:rPr>
        <w:t>Pedro</w:t>
      </w:r>
      <w:r w:rsidR="007F45C4" w:rsidRPr="007721FB">
        <w:rPr>
          <w:rFonts w:ascii="Times New Roman" w:hAnsi="Times New Roman"/>
          <w:sz w:val="24"/>
          <w:szCs w:val="24"/>
          <w:lang w:val="pt-PT"/>
        </w:rPr>
        <w:t xml:space="preserve"> Lavrador</w:t>
      </w:r>
      <w:r w:rsidR="0004288D" w:rsidRPr="007721FB">
        <w:rPr>
          <w:rFonts w:ascii="Times New Roman" w:hAnsi="Times New Roman"/>
          <w:sz w:val="24"/>
          <w:szCs w:val="24"/>
          <w:vertAlign w:val="superscript"/>
          <w:lang w:val="pt-PT"/>
        </w:rPr>
        <w:t>1</w:t>
      </w:r>
      <w:r w:rsidR="002F6035" w:rsidRPr="007721FB">
        <w:rPr>
          <w:rFonts w:ascii="Times New Roman" w:hAnsi="Times New Roman"/>
          <w:sz w:val="24"/>
          <w:szCs w:val="24"/>
          <w:lang w:val="pt-PT"/>
        </w:rPr>
        <w:t>*</w:t>
      </w:r>
      <w:r w:rsidR="007F45C4" w:rsidRPr="007721FB">
        <w:rPr>
          <w:rFonts w:ascii="Times New Roman" w:hAnsi="Times New Roman"/>
          <w:sz w:val="24"/>
          <w:szCs w:val="24"/>
          <w:lang w:val="pt-PT"/>
        </w:rPr>
        <w:t>, Vítor M. Gaspar</w:t>
      </w:r>
      <w:r w:rsidR="0004288D" w:rsidRPr="007721FB">
        <w:rPr>
          <w:rFonts w:ascii="Times New Roman" w:hAnsi="Times New Roman"/>
          <w:sz w:val="24"/>
          <w:szCs w:val="24"/>
          <w:vertAlign w:val="superscript"/>
          <w:lang w:val="pt-PT"/>
        </w:rPr>
        <w:t>1</w:t>
      </w:r>
      <w:r w:rsidR="002F6035" w:rsidRPr="007721FB">
        <w:rPr>
          <w:rFonts w:ascii="Times New Roman" w:hAnsi="Times New Roman"/>
          <w:sz w:val="24"/>
          <w:szCs w:val="24"/>
          <w:vertAlign w:val="superscript"/>
          <w:lang w:val="pt-PT"/>
        </w:rPr>
        <w:t>*</w:t>
      </w:r>
      <w:r w:rsidR="007F45C4" w:rsidRPr="007721FB">
        <w:rPr>
          <w:rFonts w:ascii="Times New Roman" w:hAnsi="Times New Roman"/>
          <w:sz w:val="24"/>
          <w:szCs w:val="24"/>
          <w:lang w:val="pt-PT"/>
        </w:rPr>
        <w:t xml:space="preserve"> and João F. Mano</w:t>
      </w:r>
      <w:r w:rsidR="007F45C4" w:rsidRPr="007721FB">
        <w:rPr>
          <w:rFonts w:ascii="Times New Roman" w:hAnsi="Times New Roman"/>
          <w:sz w:val="24"/>
          <w:szCs w:val="24"/>
          <w:vertAlign w:val="superscript"/>
          <w:lang w:val="pt-PT"/>
        </w:rPr>
        <w:t>1#</w:t>
      </w:r>
    </w:p>
    <w:p w14:paraId="2D05908B" w14:textId="77777777" w:rsidR="007F45C4" w:rsidRPr="007721FB" w:rsidRDefault="007F45C4" w:rsidP="00EE0E61">
      <w:pPr>
        <w:spacing w:line="240" w:lineRule="auto"/>
        <w:jc w:val="both"/>
        <w:rPr>
          <w:rFonts w:ascii="Times New Roman" w:hAnsi="Times New Roman"/>
          <w:sz w:val="24"/>
          <w:szCs w:val="24"/>
          <w:lang w:val="pt-PT"/>
        </w:rPr>
      </w:pPr>
      <w:bookmarkStart w:id="0" w:name="_Hlk485453268"/>
      <w:r w:rsidRPr="007721FB">
        <w:rPr>
          <w:rFonts w:ascii="Times New Roman" w:hAnsi="Times New Roman"/>
          <w:sz w:val="24"/>
          <w:szCs w:val="24"/>
          <w:vertAlign w:val="superscript"/>
          <w:lang w:val="pt-PT"/>
        </w:rPr>
        <w:t>1</w:t>
      </w:r>
      <w:r w:rsidRPr="007721FB">
        <w:rPr>
          <w:rFonts w:ascii="Times New Roman" w:hAnsi="Times New Roman"/>
          <w:sz w:val="24"/>
          <w:szCs w:val="24"/>
          <w:lang w:val="pt-PT"/>
        </w:rPr>
        <w:t>Department of Chemistry, CICECO – Aveiro Institute of Materials, University of Aveiro, Campus Universitário de Santiago, 3810-193, Aveiro, Portugal</w:t>
      </w:r>
    </w:p>
    <w:bookmarkEnd w:id="0"/>
    <w:p w14:paraId="4986E8D5" w14:textId="5EA62A4B" w:rsidR="007F45C4" w:rsidRPr="007721FB" w:rsidRDefault="007F45C4" w:rsidP="00EE0E61">
      <w:pPr>
        <w:spacing w:line="240" w:lineRule="auto"/>
        <w:jc w:val="center"/>
        <w:rPr>
          <w:rFonts w:ascii="Arial" w:hAnsi="Arial" w:cs="Arial"/>
          <w:sz w:val="40"/>
          <w:szCs w:val="32"/>
          <w:lang w:val="pt-PT"/>
        </w:rPr>
      </w:pPr>
    </w:p>
    <w:p w14:paraId="27B169A5" w14:textId="7D3358B1" w:rsidR="007F45C4" w:rsidRPr="007721FB" w:rsidRDefault="007F45C4" w:rsidP="00EE0E61">
      <w:pPr>
        <w:spacing w:line="240" w:lineRule="auto"/>
        <w:jc w:val="center"/>
        <w:rPr>
          <w:rFonts w:ascii="Arial" w:hAnsi="Arial" w:cs="Arial"/>
          <w:sz w:val="40"/>
          <w:szCs w:val="32"/>
          <w:lang w:val="pt-PT"/>
        </w:rPr>
      </w:pPr>
    </w:p>
    <w:p w14:paraId="35DE7D88" w14:textId="77777777" w:rsidR="007F45C4" w:rsidRPr="007721FB" w:rsidRDefault="007F45C4" w:rsidP="00EE0E61">
      <w:pPr>
        <w:spacing w:line="240" w:lineRule="auto"/>
        <w:jc w:val="center"/>
        <w:rPr>
          <w:rFonts w:ascii="Arial" w:hAnsi="Arial" w:cs="Arial"/>
          <w:sz w:val="40"/>
          <w:szCs w:val="32"/>
          <w:lang w:val="pt-PT"/>
        </w:rPr>
      </w:pPr>
    </w:p>
    <w:p w14:paraId="579F0008" w14:textId="77777777" w:rsidR="007F45C4" w:rsidRPr="007721FB" w:rsidRDefault="007F45C4" w:rsidP="00EE0E61">
      <w:pPr>
        <w:spacing w:line="240" w:lineRule="auto"/>
        <w:rPr>
          <w:rFonts w:ascii="Times New Roman" w:hAnsi="Times New Roman"/>
          <w:sz w:val="24"/>
          <w:szCs w:val="24"/>
          <w:lang w:val="pt-PT"/>
        </w:rPr>
      </w:pPr>
      <w:r w:rsidRPr="007721FB">
        <w:rPr>
          <w:rFonts w:ascii="Times New Roman" w:hAnsi="Times New Roman"/>
          <w:sz w:val="24"/>
          <w:szCs w:val="24"/>
          <w:vertAlign w:val="superscript"/>
          <w:lang w:val="pt-PT"/>
        </w:rPr>
        <w:t>#</w:t>
      </w:r>
      <w:r w:rsidRPr="007721FB">
        <w:rPr>
          <w:rFonts w:ascii="Times New Roman" w:hAnsi="Times New Roman"/>
          <w:sz w:val="24"/>
          <w:szCs w:val="24"/>
          <w:lang w:val="pt-PT"/>
        </w:rPr>
        <w:t>Corresponding author:</w:t>
      </w:r>
    </w:p>
    <w:p w14:paraId="09D105C8" w14:textId="77777777" w:rsidR="007F45C4" w:rsidRPr="007721FB" w:rsidRDefault="007F45C4" w:rsidP="00AA5F02">
      <w:pPr>
        <w:spacing w:after="0" w:line="240" w:lineRule="auto"/>
        <w:rPr>
          <w:rFonts w:ascii="Times New Roman" w:hAnsi="Times New Roman"/>
          <w:sz w:val="24"/>
          <w:szCs w:val="24"/>
          <w:lang w:val="pt-PT"/>
        </w:rPr>
      </w:pPr>
      <w:r w:rsidRPr="007721FB">
        <w:rPr>
          <w:rFonts w:ascii="Times New Roman" w:hAnsi="Times New Roman"/>
          <w:sz w:val="24"/>
          <w:szCs w:val="24"/>
          <w:lang w:val="pt-PT"/>
        </w:rPr>
        <w:t>Professor João F. Mano</w:t>
      </w:r>
    </w:p>
    <w:p w14:paraId="32D77916" w14:textId="77777777" w:rsidR="007F45C4" w:rsidRPr="007721FB" w:rsidRDefault="007F45C4" w:rsidP="00AA5F02">
      <w:pPr>
        <w:spacing w:after="0" w:line="240" w:lineRule="auto"/>
        <w:rPr>
          <w:rFonts w:ascii="Times New Roman" w:hAnsi="Times New Roman"/>
          <w:sz w:val="24"/>
          <w:szCs w:val="24"/>
        </w:rPr>
      </w:pPr>
      <w:r w:rsidRPr="007721FB">
        <w:rPr>
          <w:rFonts w:ascii="Times New Roman" w:hAnsi="Times New Roman"/>
          <w:sz w:val="24"/>
          <w:szCs w:val="24"/>
        </w:rPr>
        <w:t>Department of Chemistry, CICECO – Aveiro Institute of Materials</w:t>
      </w:r>
    </w:p>
    <w:p w14:paraId="0F4D1A03" w14:textId="77777777" w:rsidR="007F45C4" w:rsidRPr="007721FB" w:rsidRDefault="007F45C4" w:rsidP="00527157">
      <w:pPr>
        <w:spacing w:after="0" w:line="240" w:lineRule="auto"/>
        <w:rPr>
          <w:rFonts w:ascii="Times New Roman" w:hAnsi="Times New Roman"/>
          <w:sz w:val="24"/>
          <w:szCs w:val="24"/>
          <w:lang w:val="pt-PT"/>
        </w:rPr>
      </w:pPr>
      <w:r w:rsidRPr="007721FB">
        <w:rPr>
          <w:rFonts w:ascii="Times New Roman" w:hAnsi="Times New Roman"/>
          <w:sz w:val="24"/>
          <w:szCs w:val="24"/>
          <w:lang w:val="pt-PT"/>
        </w:rPr>
        <w:t>University of Aveiro, Campus Universitário de Santiago</w:t>
      </w:r>
    </w:p>
    <w:p w14:paraId="1BEB907A" w14:textId="77777777" w:rsidR="007F45C4" w:rsidRPr="007721FB" w:rsidRDefault="007F45C4" w:rsidP="007D0AF8">
      <w:pPr>
        <w:spacing w:after="0" w:line="240" w:lineRule="auto"/>
        <w:rPr>
          <w:rFonts w:ascii="Times New Roman" w:hAnsi="Times New Roman"/>
          <w:sz w:val="24"/>
          <w:szCs w:val="24"/>
          <w:lang w:val="pt-PT"/>
        </w:rPr>
      </w:pPr>
      <w:r w:rsidRPr="007721FB">
        <w:rPr>
          <w:rFonts w:ascii="Times New Roman" w:hAnsi="Times New Roman"/>
          <w:sz w:val="24"/>
          <w:szCs w:val="24"/>
          <w:lang w:val="pt-PT"/>
        </w:rPr>
        <w:t>3810-193, Aveiro, Portugal</w:t>
      </w:r>
    </w:p>
    <w:p w14:paraId="37125251" w14:textId="77777777" w:rsidR="007F45C4" w:rsidRPr="007721FB" w:rsidRDefault="007F45C4" w:rsidP="007D0AF8">
      <w:pPr>
        <w:spacing w:after="0" w:line="240" w:lineRule="auto"/>
        <w:rPr>
          <w:rFonts w:ascii="Times New Roman" w:hAnsi="Times New Roman"/>
          <w:sz w:val="24"/>
          <w:szCs w:val="24"/>
          <w:lang w:val="pt-PT"/>
        </w:rPr>
      </w:pPr>
      <w:r w:rsidRPr="007721FB">
        <w:rPr>
          <w:rFonts w:ascii="Times New Roman" w:hAnsi="Times New Roman"/>
          <w:sz w:val="24"/>
          <w:szCs w:val="24"/>
          <w:lang w:val="pt-PT"/>
        </w:rPr>
        <w:t>E-mail: jmano@ua.pt</w:t>
      </w:r>
    </w:p>
    <w:p w14:paraId="54ECB787" w14:textId="77777777" w:rsidR="007F45C4" w:rsidRPr="007721FB" w:rsidRDefault="007F45C4" w:rsidP="007D0AF8">
      <w:pPr>
        <w:spacing w:after="0" w:line="240" w:lineRule="auto"/>
        <w:rPr>
          <w:rFonts w:ascii="Times New Roman" w:hAnsi="Times New Roman"/>
          <w:sz w:val="24"/>
          <w:szCs w:val="24"/>
        </w:rPr>
      </w:pPr>
      <w:r w:rsidRPr="007721FB">
        <w:rPr>
          <w:rFonts w:ascii="Times New Roman" w:hAnsi="Times New Roman"/>
          <w:sz w:val="24"/>
          <w:szCs w:val="24"/>
        </w:rPr>
        <w:t>Telephone: +351 234370733</w:t>
      </w:r>
    </w:p>
    <w:p w14:paraId="1849A889" w14:textId="0F3261D1" w:rsidR="007F45C4" w:rsidRPr="007721FB" w:rsidRDefault="007F45C4" w:rsidP="007D0AF8">
      <w:pPr>
        <w:spacing w:line="240" w:lineRule="auto"/>
      </w:pPr>
    </w:p>
    <w:p w14:paraId="1ADF391D" w14:textId="4790A930" w:rsidR="002F6035" w:rsidRPr="007721FB" w:rsidRDefault="002F6035" w:rsidP="007D0AF8">
      <w:pPr>
        <w:spacing w:line="240" w:lineRule="auto"/>
        <w:rPr>
          <w:rFonts w:ascii="Times New Roman" w:hAnsi="Times New Roman" w:cs="Times New Roman"/>
        </w:rPr>
      </w:pPr>
      <w:r w:rsidRPr="007721FB">
        <w:rPr>
          <w:rFonts w:ascii="Times New Roman" w:hAnsi="Times New Roman" w:cs="Times New Roman"/>
        </w:rPr>
        <w:t>*Authors Contributed Equally</w:t>
      </w:r>
    </w:p>
    <w:p w14:paraId="3FB47750" w14:textId="25FCB07A" w:rsidR="00AB06BB" w:rsidRPr="007721FB" w:rsidRDefault="007F45C4" w:rsidP="007D0AF8">
      <w:pPr>
        <w:spacing w:line="240" w:lineRule="auto"/>
        <w:rPr>
          <w:rFonts w:ascii="Times New Roman" w:hAnsi="Times New Roman" w:cs="Times New Roman"/>
          <w:b/>
          <w:sz w:val="24"/>
          <w:szCs w:val="24"/>
        </w:rPr>
      </w:pPr>
      <w:r w:rsidRPr="007721FB">
        <w:br w:type="column"/>
      </w:r>
      <w:r w:rsidR="00AB06BB" w:rsidRPr="007721FB">
        <w:rPr>
          <w:rFonts w:ascii="Times New Roman" w:hAnsi="Times New Roman" w:cs="Times New Roman"/>
          <w:b/>
          <w:sz w:val="28"/>
          <w:szCs w:val="24"/>
        </w:rPr>
        <w:lastRenderedPageBreak/>
        <w:t>Abstract</w:t>
      </w:r>
    </w:p>
    <w:p w14:paraId="1620D50C" w14:textId="474C3C18" w:rsidR="00AB06BB" w:rsidRPr="007721FB" w:rsidRDefault="00AB06BB" w:rsidP="00D867DF">
      <w:pPr>
        <w:spacing w:after="0" w:line="240" w:lineRule="auto"/>
        <w:jc w:val="both"/>
        <w:rPr>
          <w:rFonts w:ascii="Times New Roman" w:eastAsia="Times New Roman" w:hAnsi="Times New Roman" w:cs="Times New Roman"/>
          <w:snapToGrid w:val="0"/>
          <w:sz w:val="24"/>
          <w:szCs w:val="24"/>
        </w:rPr>
      </w:pPr>
      <w:r w:rsidRPr="007721FB">
        <w:rPr>
          <w:rFonts w:ascii="Times New Roman" w:eastAsia="Times New Roman" w:hAnsi="Times New Roman" w:cs="Times New Roman"/>
          <w:snapToGrid w:val="0"/>
          <w:sz w:val="24"/>
          <w:szCs w:val="24"/>
        </w:rPr>
        <w:t xml:space="preserve">The development of stimuli-responsive nanomedicines with tunable cargo release is gathering an increased applicability in bone </w:t>
      </w:r>
      <w:r w:rsidR="00981D7A" w:rsidRPr="007721FB">
        <w:rPr>
          <w:rFonts w:ascii="Times New Roman" w:eastAsia="Times New Roman" w:hAnsi="Times New Roman" w:cs="Times New Roman"/>
          <w:snapToGrid w:val="0"/>
          <w:sz w:val="24"/>
          <w:szCs w:val="24"/>
        </w:rPr>
        <w:t>regeneration</w:t>
      </w:r>
      <w:r w:rsidR="00E35A33" w:rsidRPr="007721FB">
        <w:rPr>
          <w:rFonts w:ascii="Times New Roman" w:eastAsia="Times New Roman" w:hAnsi="Times New Roman" w:cs="Times New Roman"/>
          <w:snapToGrid w:val="0"/>
          <w:sz w:val="24"/>
          <w:szCs w:val="24"/>
        </w:rPr>
        <w:t xml:space="preserve"> and precision biomedicine</w:t>
      </w:r>
      <w:r w:rsidRPr="007721FB">
        <w:rPr>
          <w:rFonts w:ascii="Times New Roman" w:eastAsia="Times New Roman" w:hAnsi="Times New Roman" w:cs="Times New Roman"/>
          <w:snapToGrid w:val="0"/>
          <w:sz w:val="24"/>
          <w:szCs w:val="24"/>
        </w:rPr>
        <w:t xml:space="preserve">. </w:t>
      </w:r>
      <w:r w:rsidR="005C40A4" w:rsidRPr="007721FB">
        <w:rPr>
          <w:rFonts w:ascii="Times New Roman" w:eastAsia="Times New Roman" w:hAnsi="Times New Roman" w:cs="Times New Roman"/>
          <w:snapToGrid w:val="0"/>
          <w:sz w:val="24"/>
          <w:szCs w:val="24"/>
        </w:rPr>
        <w:t>Yet</w:t>
      </w:r>
      <w:r w:rsidRPr="007721FB">
        <w:rPr>
          <w:rFonts w:ascii="Times New Roman" w:eastAsia="Times New Roman" w:hAnsi="Times New Roman" w:cs="Times New Roman"/>
          <w:snapToGrid w:val="0"/>
          <w:sz w:val="24"/>
          <w:szCs w:val="24"/>
        </w:rPr>
        <w:t>, the formulation of nan</w:t>
      </w:r>
      <w:r w:rsidR="000A7DD8" w:rsidRPr="007721FB">
        <w:rPr>
          <w:rFonts w:ascii="Times New Roman" w:eastAsia="Times New Roman" w:hAnsi="Times New Roman" w:cs="Times New Roman"/>
          <w:snapToGrid w:val="0"/>
          <w:sz w:val="24"/>
          <w:szCs w:val="24"/>
        </w:rPr>
        <w:t>ocarriers that explore skeletal-</w:t>
      </w:r>
      <w:r w:rsidRPr="007721FB">
        <w:rPr>
          <w:rFonts w:ascii="Times New Roman" w:eastAsia="Times New Roman" w:hAnsi="Times New Roman" w:cs="Times New Roman"/>
          <w:snapToGrid w:val="0"/>
          <w:sz w:val="24"/>
          <w:szCs w:val="24"/>
        </w:rPr>
        <w:t xml:space="preserve">specific stimuli remains </w:t>
      </w:r>
      <w:r w:rsidR="002817B4" w:rsidRPr="007721FB">
        <w:rPr>
          <w:rFonts w:ascii="Times New Roman" w:eastAsia="Times New Roman" w:hAnsi="Times New Roman" w:cs="Times New Roman"/>
          <w:snapToGrid w:val="0"/>
          <w:sz w:val="24"/>
          <w:szCs w:val="24"/>
        </w:rPr>
        <w:t>re</w:t>
      </w:r>
      <w:r w:rsidR="00E35A33" w:rsidRPr="007721FB">
        <w:rPr>
          <w:rFonts w:ascii="Times New Roman" w:eastAsia="Times New Roman" w:hAnsi="Times New Roman" w:cs="Times New Roman"/>
          <w:snapToGrid w:val="0"/>
          <w:sz w:val="24"/>
          <w:szCs w:val="24"/>
        </w:rPr>
        <w:t>markably</w:t>
      </w:r>
      <w:r w:rsidR="002817B4" w:rsidRPr="007721FB">
        <w:rPr>
          <w:rFonts w:ascii="Times New Roman" w:eastAsia="Times New Roman" w:hAnsi="Times New Roman" w:cs="Times New Roman"/>
          <w:snapToGrid w:val="0"/>
          <w:sz w:val="24"/>
          <w:szCs w:val="24"/>
        </w:rPr>
        <w:t xml:space="preserve"> </w:t>
      </w:r>
      <w:r w:rsidRPr="007721FB">
        <w:rPr>
          <w:rFonts w:ascii="Times New Roman" w:eastAsia="Times New Roman" w:hAnsi="Times New Roman" w:cs="Times New Roman"/>
          <w:snapToGrid w:val="0"/>
          <w:sz w:val="24"/>
          <w:szCs w:val="24"/>
        </w:rPr>
        <w:t xml:space="preserve">challenging to materialize </w:t>
      </w:r>
      <w:r w:rsidR="00682B86" w:rsidRPr="007721FB">
        <w:rPr>
          <w:rFonts w:ascii="Times New Roman" w:eastAsia="Times New Roman" w:hAnsi="Times New Roman" w:cs="Times New Roman"/>
          <w:snapToGrid w:val="0"/>
          <w:sz w:val="24"/>
          <w:szCs w:val="24"/>
        </w:rPr>
        <w:t>due to</w:t>
      </w:r>
      <w:r w:rsidRPr="007721FB">
        <w:rPr>
          <w:rFonts w:ascii="Times New Roman" w:eastAsia="Times New Roman" w:hAnsi="Times New Roman" w:cs="Times New Roman"/>
          <w:snapToGrid w:val="0"/>
          <w:sz w:val="24"/>
          <w:szCs w:val="24"/>
        </w:rPr>
        <w:t xml:space="preserve"> </w:t>
      </w:r>
      <w:r w:rsidR="00682B86" w:rsidRPr="007721FB">
        <w:rPr>
          <w:rFonts w:ascii="Times New Roman" w:eastAsia="Times New Roman" w:hAnsi="Times New Roman" w:cs="Times New Roman"/>
          <w:snapToGrid w:val="0"/>
          <w:sz w:val="24"/>
          <w:szCs w:val="24"/>
        </w:rPr>
        <w:t xml:space="preserve">several </w:t>
      </w:r>
      <w:r w:rsidR="00CF1038" w:rsidRPr="007721FB">
        <w:rPr>
          <w:rFonts w:ascii="Times New Roman" w:eastAsia="Times New Roman" w:hAnsi="Times New Roman" w:cs="Times New Roman"/>
          <w:snapToGrid w:val="0"/>
          <w:sz w:val="24"/>
          <w:szCs w:val="24"/>
        </w:rPr>
        <w:t>endogenous and</w:t>
      </w:r>
      <w:r w:rsidR="00682B86" w:rsidRPr="007721FB">
        <w:rPr>
          <w:rFonts w:ascii="Times New Roman" w:eastAsia="Times New Roman" w:hAnsi="Times New Roman" w:cs="Times New Roman"/>
          <w:snapToGrid w:val="0"/>
          <w:sz w:val="24"/>
          <w:szCs w:val="24"/>
        </w:rPr>
        <w:t xml:space="preserve"> disease-specific</w:t>
      </w:r>
      <w:r w:rsidRPr="007721FB">
        <w:rPr>
          <w:rFonts w:ascii="Times New Roman" w:eastAsia="Times New Roman" w:hAnsi="Times New Roman" w:cs="Times New Roman"/>
          <w:snapToGrid w:val="0"/>
          <w:sz w:val="24"/>
          <w:szCs w:val="24"/>
        </w:rPr>
        <w:t xml:space="preserve"> barriers</w:t>
      </w:r>
      <w:r w:rsidR="00682B86" w:rsidRPr="007721FB">
        <w:rPr>
          <w:rFonts w:ascii="Times New Roman" w:eastAsia="Times New Roman" w:hAnsi="Times New Roman" w:cs="Times New Roman"/>
          <w:snapToGrid w:val="0"/>
          <w:sz w:val="24"/>
          <w:szCs w:val="24"/>
        </w:rPr>
        <w:t xml:space="preserve"> that must be considered during particle design stages</w:t>
      </w:r>
      <w:r w:rsidRPr="007721FB">
        <w:rPr>
          <w:rFonts w:ascii="Times New Roman" w:eastAsia="Times New Roman" w:hAnsi="Times New Roman" w:cs="Times New Roman"/>
          <w:snapToGrid w:val="0"/>
          <w:sz w:val="24"/>
          <w:szCs w:val="24"/>
        </w:rPr>
        <w:t>. Such</w:t>
      </w:r>
      <w:r w:rsidR="00682B86" w:rsidRPr="007721FB">
        <w:rPr>
          <w:rFonts w:ascii="Times New Roman" w:eastAsia="Times New Roman" w:hAnsi="Times New Roman" w:cs="Times New Roman"/>
          <w:snapToGrid w:val="0"/>
          <w:sz w:val="24"/>
          <w:szCs w:val="24"/>
        </w:rPr>
        <w:t xml:space="preserve"> </w:t>
      </w:r>
      <w:r w:rsidR="00617CD0" w:rsidRPr="007721FB">
        <w:rPr>
          <w:rFonts w:ascii="Times New Roman" w:eastAsia="Times New Roman" w:hAnsi="Times New Roman" w:cs="Times New Roman"/>
          <w:snapToGrid w:val="0"/>
          <w:sz w:val="24"/>
          <w:szCs w:val="24"/>
        </w:rPr>
        <w:t>anatomo-</w:t>
      </w:r>
      <w:r w:rsidR="00937719" w:rsidRPr="007721FB">
        <w:rPr>
          <w:rFonts w:ascii="Times New Roman" w:eastAsia="Times New Roman" w:hAnsi="Times New Roman" w:cs="Times New Roman"/>
          <w:snapToGrid w:val="0"/>
          <w:sz w:val="24"/>
          <w:szCs w:val="24"/>
        </w:rPr>
        <w:t>physiological</w:t>
      </w:r>
      <w:r w:rsidRPr="007721FB">
        <w:rPr>
          <w:rFonts w:ascii="Times New Roman" w:eastAsia="Times New Roman" w:hAnsi="Times New Roman" w:cs="Times New Roman"/>
          <w:snapToGrid w:val="0"/>
          <w:sz w:val="24"/>
          <w:szCs w:val="24"/>
        </w:rPr>
        <w:t xml:space="preserve"> constrains </w:t>
      </w:r>
      <w:r w:rsidR="00FE2F45" w:rsidRPr="007721FB">
        <w:rPr>
          <w:rFonts w:ascii="Times New Roman" w:eastAsia="Times New Roman" w:hAnsi="Times New Roman" w:cs="Times New Roman"/>
          <w:snapToGrid w:val="0"/>
          <w:sz w:val="24"/>
          <w:szCs w:val="24"/>
        </w:rPr>
        <w:t xml:space="preserve">ultimately </w:t>
      </w:r>
      <w:r w:rsidRPr="007721FB">
        <w:rPr>
          <w:rFonts w:ascii="Times New Roman" w:eastAsia="Times New Roman" w:hAnsi="Times New Roman" w:cs="Times New Roman"/>
          <w:snapToGrid w:val="0"/>
          <w:sz w:val="24"/>
          <w:szCs w:val="24"/>
        </w:rPr>
        <w:t>hinder nanocarriers bioavailability in target bone tissues and impact the overall therapeutic outcome.</w:t>
      </w:r>
      <w:r w:rsidR="004B6B19" w:rsidRPr="007721FB">
        <w:rPr>
          <w:rFonts w:ascii="Times New Roman" w:eastAsia="Times New Roman" w:hAnsi="Times New Roman" w:cs="Times New Roman"/>
          <w:snapToGrid w:val="0"/>
          <w:sz w:val="24"/>
          <w:szCs w:val="24"/>
        </w:rPr>
        <w:t xml:space="preserve"> T</w:t>
      </w:r>
      <w:r w:rsidRPr="007721FB">
        <w:rPr>
          <w:rFonts w:ascii="Times New Roman" w:eastAsia="Times New Roman" w:hAnsi="Times New Roman" w:cs="Times New Roman"/>
          <w:snapToGrid w:val="0"/>
          <w:sz w:val="24"/>
          <w:szCs w:val="24"/>
        </w:rPr>
        <w:t>his review aims to showcase</w:t>
      </w:r>
      <w:r w:rsidR="0045707A" w:rsidRPr="007721FB">
        <w:rPr>
          <w:rFonts w:ascii="Times New Roman" w:eastAsia="Times New Roman" w:hAnsi="Times New Roman" w:cs="Times New Roman"/>
          <w:snapToGrid w:val="0"/>
          <w:sz w:val="24"/>
          <w:szCs w:val="24"/>
        </w:rPr>
        <w:t xml:space="preserve"> and critically discuss</w:t>
      </w:r>
      <w:r w:rsidRPr="007721FB">
        <w:rPr>
          <w:rFonts w:ascii="Times New Roman" w:eastAsia="Times New Roman" w:hAnsi="Times New Roman" w:cs="Times New Roman"/>
          <w:snapToGrid w:val="0"/>
          <w:sz w:val="24"/>
          <w:szCs w:val="24"/>
        </w:rPr>
        <w:t xml:space="preserve"> the hurdles encou</w:t>
      </w:r>
      <w:r w:rsidR="005C40A4" w:rsidRPr="007721FB">
        <w:rPr>
          <w:rFonts w:ascii="Times New Roman" w:eastAsia="Times New Roman" w:hAnsi="Times New Roman" w:cs="Times New Roman"/>
          <w:snapToGrid w:val="0"/>
          <w:sz w:val="24"/>
          <w:szCs w:val="24"/>
        </w:rPr>
        <w:t xml:space="preserve">ntered </w:t>
      </w:r>
      <w:r w:rsidR="000A5C7D" w:rsidRPr="007721FB">
        <w:rPr>
          <w:rFonts w:ascii="Times New Roman" w:eastAsia="Times New Roman" w:hAnsi="Times New Roman" w:cs="Times New Roman"/>
          <w:snapToGrid w:val="0"/>
          <w:sz w:val="24"/>
          <w:szCs w:val="24"/>
        </w:rPr>
        <w:t>upon</w:t>
      </w:r>
      <w:r w:rsidR="005C40A4" w:rsidRPr="007721FB">
        <w:rPr>
          <w:rFonts w:ascii="Times New Roman" w:eastAsia="Times New Roman" w:hAnsi="Times New Roman" w:cs="Times New Roman"/>
          <w:snapToGrid w:val="0"/>
          <w:sz w:val="24"/>
          <w:szCs w:val="24"/>
        </w:rPr>
        <w:t xml:space="preserve"> </w:t>
      </w:r>
      <w:r w:rsidR="00370B3E" w:rsidRPr="007721FB">
        <w:rPr>
          <w:rFonts w:ascii="Times New Roman" w:eastAsia="Times New Roman" w:hAnsi="Times New Roman" w:cs="Times New Roman"/>
          <w:snapToGrid w:val="0"/>
          <w:sz w:val="24"/>
          <w:szCs w:val="24"/>
        </w:rPr>
        <w:t>responsive</w:t>
      </w:r>
      <w:r w:rsidR="001C48B0" w:rsidRPr="007721FB">
        <w:rPr>
          <w:rFonts w:ascii="Times New Roman" w:eastAsia="Times New Roman" w:hAnsi="Times New Roman" w:cs="Times New Roman"/>
          <w:snapToGrid w:val="0"/>
          <w:sz w:val="24"/>
          <w:szCs w:val="24"/>
        </w:rPr>
        <w:t xml:space="preserve"> nanocarriers </w:t>
      </w:r>
      <w:r w:rsidR="005C40A4" w:rsidRPr="007721FB">
        <w:rPr>
          <w:rFonts w:ascii="Times New Roman" w:eastAsia="Times New Roman" w:hAnsi="Times New Roman" w:cs="Times New Roman"/>
          <w:snapToGrid w:val="0"/>
          <w:sz w:val="24"/>
          <w:szCs w:val="24"/>
        </w:rPr>
        <w:t xml:space="preserve">delivery </w:t>
      </w:r>
      <w:r w:rsidR="000A5C7D" w:rsidRPr="007721FB">
        <w:rPr>
          <w:rFonts w:ascii="Times New Roman" w:eastAsia="Times New Roman" w:hAnsi="Times New Roman" w:cs="Times New Roman"/>
          <w:snapToGrid w:val="0"/>
          <w:sz w:val="24"/>
          <w:szCs w:val="24"/>
        </w:rPr>
        <w:t>in</w:t>
      </w:r>
      <w:r w:rsidR="00F42607" w:rsidRPr="007721FB">
        <w:rPr>
          <w:rFonts w:ascii="Times New Roman" w:eastAsia="Times New Roman" w:hAnsi="Times New Roman" w:cs="Times New Roman"/>
          <w:snapToGrid w:val="0"/>
          <w:sz w:val="24"/>
          <w:szCs w:val="24"/>
        </w:rPr>
        <w:t xml:space="preserve"> the context of</w:t>
      </w:r>
      <w:r w:rsidR="001C48B0" w:rsidRPr="007721FB">
        <w:rPr>
          <w:rFonts w:ascii="Times New Roman" w:eastAsia="Times New Roman" w:hAnsi="Times New Roman" w:cs="Times New Roman"/>
          <w:snapToGrid w:val="0"/>
          <w:sz w:val="24"/>
          <w:szCs w:val="24"/>
        </w:rPr>
        <w:t xml:space="preserve"> skeletal</w:t>
      </w:r>
      <w:r w:rsidR="00E13C71" w:rsidRPr="007721FB">
        <w:rPr>
          <w:rFonts w:ascii="Times New Roman" w:eastAsia="Times New Roman" w:hAnsi="Times New Roman" w:cs="Times New Roman"/>
          <w:snapToGrid w:val="0"/>
          <w:sz w:val="24"/>
          <w:szCs w:val="24"/>
        </w:rPr>
        <w:t xml:space="preserve"> </w:t>
      </w:r>
      <w:r w:rsidR="00507EBF" w:rsidRPr="007721FB">
        <w:rPr>
          <w:rFonts w:ascii="Times New Roman" w:eastAsia="Times New Roman" w:hAnsi="Times New Roman" w:cs="Times New Roman"/>
          <w:snapToGrid w:val="0"/>
          <w:sz w:val="24"/>
          <w:szCs w:val="24"/>
        </w:rPr>
        <w:t>disease</w:t>
      </w:r>
      <w:r w:rsidR="001C48B0" w:rsidRPr="007721FB">
        <w:rPr>
          <w:rFonts w:ascii="Times New Roman" w:eastAsia="Times New Roman" w:hAnsi="Times New Roman" w:cs="Times New Roman"/>
          <w:snapToGrid w:val="0"/>
          <w:sz w:val="24"/>
          <w:szCs w:val="24"/>
        </w:rPr>
        <w:t>s</w:t>
      </w:r>
      <w:r w:rsidR="00507EBF" w:rsidRPr="007721FB">
        <w:rPr>
          <w:rFonts w:ascii="Times New Roman" w:eastAsia="Times New Roman" w:hAnsi="Times New Roman" w:cs="Times New Roman"/>
          <w:snapToGrid w:val="0"/>
          <w:sz w:val="24"/>
          <w:szCs w:val="24"/>
        </w:rPr>
        <w:t xml:space="preserve"> or</w:t>
      </w:r>
      <w:r w:rsidR="00F42607" w:rsidRPr="007721FB">
        <w:rPr>
          <w:rFonts w:ascii="Times New Roman" w:eastAsia="Times New Roman" w:hAnsi="Times New Roman" w:cs="Times New Roman"/>
          <w:snapToGrid w:val="0"/>
          <w:sz w:val="24"/>
          <w:szCs w:val="24"/>
        </w:rPr>
        <w:t xml:space="preserve"> tissue </w:t>
      </w:r>
      <w:r w:rsidRPr="007721FB">
        <w:rPr>
          <w:rFonts w:ascii="Times New Roman" w:eastAsia="Times New Roman" w:hAnsi="Times New Roman" w:cs="Times New Roman"/>
          <w:snapToGrid w:val="0"/>
          <w:sz w:val="24"/>
          <w:szCs w:val="24"/>
        </w:rPr>
        <w:t xml:space="preserve">regeneration scenarios. </w:t>
      </w:r>
      <w:r w:rsidR="0084384C" w:rsidRPr="007721FB">
        <w:rPr>
          <w:rFonts w:ascii="Times New Roman" w:eastAsia="Times New Roman" w:hAnsi="Times New Roman" w:cs="Times New Roman"/>
          <w:snapToGrid w:val="0"/>
          <w:sz w:val="24"/>
          <w:szCs w:val="24"/>
        </w:rPr>
        <w:t>Such</w:t>
      </w:r>
      <w:r w:rsidR="004B6B19" w:rsidRPr="007721FB">
        <w:rPr>
          <w:rFonts w:ascii="Times New Roman" w:eastAsia="Times New Roman" w:hAnsi="Times New Roman" w:cs="Times New Roman"/>
          <w:snapToGrid w:val="0"/>
          <w:sz w:val="24"/>
          <w:szCs w:val="24"/>
        </w:rPr>
        <w:t xml:space="preserve"> focus</w:t>
      </w:r>
      <w:r w:rsidR="0084384C" w:rsidRPr="007721FB">
        <w:rPr>
          <w:rFonts w:ascii="Times New Roman" w:eastAsia="Times New Roman" w:hAnsi="Times New Roman" w:cs="Times New Roman"/>
          <w:snapToGrid w:val="0"/>
          <w:sz w:val="24"/>
          <w:szCs w:val="24"/>
        </w:rPr>
        <w:t xml:space="preserve"> is complemented with</w:t>
      </w:r>
      <w:r w:rsidRPr="007721FB">
        <w:rPr>
          <w:rFonts w:ascii="Times New Roman" w:eastAsia="Times New Roman" w:hAnsi="Times New Roman" w:cs="Times New Roman"/>
          <w:snapToGrid w:val="0"/>
          <w:sz w:val="24"/>
          <w:szCs w:val="24"/>
        </w:rPr>
        <w:t xml:space="preserve"> an</w:t>
      </w:r>
      <w:r w:rsidR="001018D9" w:rsidRPr="007721FB">
        <w:rPr>
          <w:rFonts w:ascii="Times New Roman" w:eastAsia="Times New Roman" w:hAnsi="Times New Roman" w:cs="Times New Roman"/>
          <w:snapToGrid w:val="0"/>
          <w:sz w:val="24"/>
          <w:szCs w:val="24"/>
        </w:rPr>
        <w:t xml:space="preserve"> </w:t>
      </w:r>
      <w:r w:rsidRPr="007721FB">
        <w:rPr>
          <w:rFonts w:ascii="Times New Roman" w:eastAsia="Times New Roman" w:hAnsi="Times New Roman" w:cs="Times New Roman"/>
          <w:snapToGrid w:val="0"/>
          <w:sz w:val="24"/>
          <w:szCs w:val="24"/>
        </w:rPr>
        <w:t>in-depth and up-to-date analysis of advances in</w:t>
      </w:r>
      <w:r w:rsidR="00E13C71" w:rsidRPr="007721FB">
        <w:rPr>
          <w:rFonts w:ascii="Times New Roman" w:eastAsia="Times New Roman" w:hAnsi="Times New Roman" w:cs="Times New Roman"/>
          <w:snapToGrid w:val="0"/>
          <w:sz w:val="24"/>
          <w:szCs w:val="24"/>
        </w:rPr>
        <w:t xml:space="preserve"> the development of</w:t>
      </w:r>
      <w:r w:rsidRPr="007721FB">
        <w:rPr>
          <w:rFonts w:ascii="Times New Roman" w:eastAsia="Times New Roman" w:hAnsi="Times New Roman" w:cs="Times New Roman"/>
          <w:snapToGrid w:val="0"/>
          <w:sz w:val="24"/>
          <w:szCs w:val="24"/>
        </w:rPr>
        <w:t xml:space="preserve"> stimuli-responsive</w:t>
      </w:r>
      <w:r w:rsidR="00F152D5" w:rsidRPr="007721FB">
        <w:rPr>
          <w:rFonts w:ascii="Times New Roman" w:eastAsia="Times New Roman" w:hAnsi="Times New Roman" w:cs="Times New Roman"/>
          <w:snapToGrid w:val="0"/>
          <w:sz w:val="24"/>
          <w:szCs w:val="24"/>
        </w:rPr>
        <w:t>,</w:t>
      </w:r>
      <w:r w:rsidRPr="007721FB">
        <w:rPr>
          <w:rFonts w:ascii="Times New Roman" w:eastAsia="Times New Roman" w:hAnsi="Times New Roman" w:cs="Times New Roman"/>
          <w:snapToGrid w:val="0"/>
          <w:sz w:val="24"/>
          <w:szCs w:val="24"/>
        </w:rPr>
        <w:t xml:space="preserve"> bone-focu</w:t>
      </w:r>
      <w:r w:rsidR="0084384C" w:rsidRPr="007721FB">
        <w:rPr>
          <w:rFonts w:ascii="Times New Roman" w:eastAsia="Times New Roman" w:hAnsi="Times New Roman" w:cs="Times New Roman"/>
          <w:snapToGrid w:val="0"/>
          <w:sz w:val="24"/>
          <w:szCs w:val="24"/>
        </w:rPr>
        <w:t>sed delivery systems</w:t>
      </w:r>
      <w:r w:rsidRPr="007721FB">
        <w:rPr>
          <w:rFonts w:ascii="Times New Roman" w:eastAsia="Times New Roman" w:hAnsi="Times New Roman" w:cs="Times New Roman"/>
          <w:snapToGrid w:val="0"/>
          <w:sz w:val="24"/>
          <w:szCs w:val="24"/>
        </w:rPr>
        <w:t>.</w:t>
      </w:r>
      <w:r w:rsidR="001D28EC" w:rsidRPr="007721FB">
        <w:rPr>
          <w:rFonts w:ascii="Times New Roman" w:eastAsia="Times New Roman" w:hAnsi="Times New Roman" w:cs="Times New Roman"/>
          <w:snapToGrid w:val="0"/>
          <w:sz w:val="24"/>
          <w:szCs w:val="24"/>
        </w:rPr>
        <w:t xml:space="preserve"> </w:t>
      </w:r>
      <w:r w:rsidRPr="007721FB">
        <w:rPr>
          <w:rFonts w:ascii="Times New Roman" w:eastAsia="Times New Roman" w:hAnsi="Times New Roman" w:cs="Times New Roman"/>
          <w:snapToGrid w:val="0"/>
          <w:sz w:val="24"/>
          <w:szCs w:val="24"/>
        </w:rPr>
        <w:t>In a holistic perspective,</w:t>
      </w:r>
      <w:r w:rsidR="00AC3E89" w:rsidRPr="007721FB">
        <w:rPr>
          <w:rFonts w:ascii="Times New Roman" w:eastAsia="Times New Roman" w:hAnsi="Times New Roman" w:cs="Times New Roman"/>
          <w:snapToGrid w:val="0"/>
          <w:sz w:val="24"/>
          <w:szCs w:val="24"/>
        </w:rPr>
        <w:t xml:space="preserve"> a </w:t>
      </w:r>
      <w:r w:rsidR="001C48B0" w:rsidRPr="007721FB">
        <w:rPr>
          <w:rFonts w:ascii="Times New Roman" w:eastAsia="Times New Roman" w:hAnsi="Times New Roman" w:cs="Times New Roman"/>
          <w:snapToGrid w:val="0"/>
          <w:sz w:val="24"/>
          <w:szCs w:val="24"/>
        </w:rPr>
        <w:t xml:space="preserve">deeper </w:t>
      </w:r>
      <w:r w:rsidR="00AC3E89" w:rsidRPr="007721FB">
        <w:rPr>
          <w:rFonts w:ascii="Times New Roman" w:eastAsia="Times New Roman" w:hAnsi="Times New Roman" w:cs="Times New Roman"/>
          <w:snapToGrid w:val="0"/>
          <w:sz w:val="24"/>
          <w:szCs w:val="24"/>
        </w:rPr>
        <w:t>knowledge of</w:t>
      </w:r>
      <w:r w:rsidR="00E8631D" w:rsidRPr="007721FB">
        <w:rPr>
          <w:rFonts w:ascii="Times New Roman" w:eastAsia="Times New Roman" w:hAnsi="Times New Roman" w:cs="Times New Roman"/>
          <w:snapToGrid w:val="0"/>
          <w:sz w:val="24"/>
          <w:szCs w:val="24"/>
        </w:rPr>
        <w:t xml:space="preserve"> human</w:t>
      </w:r>
      <w:r w:rsidR="00AC3E89" w:rsidRPr="007721FB">
        <w:rPr>
          <w:rFonts w:ascii="Times New Roman" w:eastAsia="Times New Roman" w:hAnsi="Times New Roman" w:cs="Times New Roman"/>
          <w:snapToGrid w:val="0"/>
          <w:sz w:val="24"/>
          <w:szCs w:val="24"/>
        </w:rPr>
        <w:t xml:space="preserve"> osteology </w:t>
      </w:r>
      <w:r w:rsidR="00E8631D" w:rsidRPr="007721FB">
        <w:rPr>
          <w:rFonts w:ascii="Times New Roman" w:eastAsia="Times New Roman" w:hAnsi="Times New Roman" w:cs="Times New Roman"/>
          <w:snapToGrid w:val="0"/>
          <w:sz w:val="24"/>
          <w:szCs w:val="24"/>
        </w:rPr>
        <w:t>combined</w:t>
      </w:r>
      <w:r w:rsidR="00B70CEF" w:rsidRPr="007721FB">
        <w:rPr>
          <w:rFonts w:ascii="Times New Roman" w:eastAsia="Times New Roman" w:hAnsi="Times New Roman" w:cs="Times New Roman"/>
          <w:snapToGrid w:val="0"/>
          <w:sz w:val="24"/>
          <w:szCs w:val="24"/>
        </w:rPr>
        <w:t xml:space="preserve"> with</w:t>
      </w:r>
      <w:r w:rsidR="000A5C7D" w:rsidRPr="007721FB">
        <w:rPr>
          <w:rFonts w:ascii="Times New Roman" w:eastAsia="Times New Roman" w:hAnsi="Times New Roman" w:cs="Times New Roman"/>
          <w:snapToGrid w:val="0"/>
          <w:sz w:val="24"/>
          <w:szCs w:val="24"/>
        </w:rPr>
        <w:t xml:space="preserve"> </w:t>
      </w:r>
      <w:r w:rsidR="00CD52B4" w:rsidRPr="007721FB">
        <w:rPr>
          <w:rFonts w:ascii="Times New Roman" w:eastAsia="Times New Roman" w:hAnsi="Times New Roman" w:cs="Times New Roman"/>
          <w:snapToGrid w:val="0"/>
          <w:sz w:val="24"/>
          <w:szCs w:val="24"/>
        </w:rPr>
        <w:t>advances in</w:t>
      </w:r>
      <w:r w:rsidR="002B0D3D" w:rsidRPr="007721FB">
        <w:rPr>
          <w:rFonts w:ascii="Times New Roman" w:eastAsia="Times New Roman" w:hAnsi="Times New Roman" w:cs="Times New Roman"/>
          <w:snapToGrid w:val="0"/>
          <w:sz w:val="24"/>
          <w:szCs w:val="24"/>
        </w:rPr>
        <w:t xml:space="preserve"> </w:t>
      </w:r>
      <w:r w:rsidR="001D28EC" w:rsidRPr="007721FB">
        <w:rPr>
          <w:rFonts w:ascii="Times New Roman" w:eastAsia="Times New Roman" w:hAnsi="Times New Roman" w:cs="Times New Roman"/>
          <w:snapToGrid w:val="0"/>
          <w:sz w:val="24"/>
          <w:szCs w:val="24"/>
        </w:rPr>
        <w:t xml:space="preserve">materials </w:t>
      </w:r>
      <w:r w:rsidR="00507EBF" w:rsidRPr="007721FB">
        <w:rPr>
          <w:rFonts w:ascii="Times New Roman" w:eastAsia="Times New Roman" w:hAnsi="Times New Roman" w:cs="Times New Roman"/>
          <w:snapToGrid w:val="0"/>
          <w:sz w:val="24"/>
          <w:szCs w:val="24"/>
        </w:rPr>
        <w:t>functionalization</w:t>
      </w:r>
      <w:r w:rsidR="009C76CB" w:rsidRPr="007721FB">
        <w:rPr>
          <w:rFonts w:ascii="Times New Roman" w:eastAsia="Times New Roman" w:hAnsi="Times New Roman" w:cs="Times New Roman"/>
          <w:snapToGrid w:val="0"/>
          <w:sz w:val="24"/>
          <w:szCs w:val="24"/>
        </w:rPr>
        <w:t xml:space="preserve"> via</w:t>
      </w:r>
      <w:r w:rsidR="00370B3E" w:rsidRPr="007721FB">
        <w:rPr>
          <w:rFonts w:ascii="Times New Roman" w:eastAsia="Times New Roman" w:hAnsi="Times New Roman" w:cs="Times New Roman"/>
          <w:snapToGrid w:val="0"/>
          <w:sz w:val="24"/>
          <w:szCs w:val="24"/>
        </w:rPr>
        <w:t xml:space="preserve"> simple</w:t>
      </w:r>
      <w:r w:rsidR="009C76CB" w:rsidRPr="007721FB">
        <w:rPr>
          <w:rFonts w:ascii="Times New Roman" w:eastAsia="Times New Roman" w:hAnsi="Times New Roman" w:cs="Times New Roman"/>
          <w:snapToGrid w:val="0"/>
          <w:sz w:val="24"/>
          <w:szCs w:val="24"/>
        </w:rPr>
        <w:t xml:space="preserve"> precision-chemistry</w:t>
      </w:r>
      <w:r w:rsidR="00507EBF" w:rsidRPr="007721FB">
        <w:rPr>
          <w:rFonts w:ascii="Times New Roman" w:eastAsia="Times New Roman" w:hAnsi="Times New Roman" w:cs="Times New Roman"/>
          <w:snapToGrid w:val="0"/>
          <w:sz w:val="24"/>
          <w:szCs w:val="24"/>
        </w:rPr>
        <w:t xml:space="preserve"> </w:t>
      </w:r>
      <w:r w:rsidRPr="007721FB">
        <w:rPr>
          <w:rFonts w:ascii="Times New Roman" w:eastAsia="Times New Roman" w:hAnsi="Times New Roman" w:cs="Times New Roman"/>
          <w:snapToGrid w:val="0"/>
          <w:sz w:val="24"/>
          <w:szCs w:val="24"/>
        </w:rPr>
        <w:t xml:space="preserve">is envisioned </w:t>
      </w:r>
      <w:r w:rsidR="000A5C7D" w:rsidRPr="007721FB">
        <w:rPr>
          <w:rFonts w:ascii="Times New Roman" w:eastAsia="Times New Roman" w:hAnsi="Times New Roman" w:cs="Times New Roman"/>
          <w:snapToGrid w:val="0"/>
          <w:sz w:val="24"/>
          <w:szCs w:val="24"/>
        </w:rPr>
        <w:t xml:space="preserve">to </w:t>
      </w:r>
      <w:r w:rsidR="002817B4" w:rsidRPr="007721FB">
        <w:rPr>
          <w:rFonts w:ascii="Times New Roman" w:eastAsia="Times New Roman" w:hAnsi="Times New Roman" w:cs="Times New Roman"/>
          <w:snapToGrid w:val="0"/>
          <w:sz w:val="24"/>
          <w:szCs w:val="24"/>
        </w:rPr>
        <w:t>incite</w:t>
      </w:r>
      <w:r w:rsidR="00CD52B4" w:rsidRPr="007721FB">
        <w:rPr>
          <w:rFonts w:ascii="Times New Roman" w:eastAsia="Times New Roman" w:hAnsi="Times New Roman" w:cs="Times New Roman"/>
          <w:snapToGrid w:val="0"/>
          <w:sz w:val="24"/>
          <w:szCs w:val="24"/>
        </w:rPr>
        <w:t xml:space="preserve"> the</w:t>
      </w:r>
      <w:r w:rsidR="00507EBF" w:rsidRPr="007721FB">
        <w:rPr>
          <w:rFonts w:ascii="Times New Roman" w:eastAsia="Times New Roman" w:hAnsi="Times New Roman" w:cs="Times New Roman"/>
          <w:snapToGrid w:val="0"/>
          <w:sz w:val="24"/>
          <w:szCs w:val="24"/>
        </w:rPr>
        <w:t xml:space="preserve"> </w:t>
      </w:r>
      <w:r w:rsidR="00CD52B4" w:rsidRPr="007721FB">
        <w:rPr>
          <w:rFonts w:ascii="Times New Roman" w:eastAsia="Times New Roman" w:hAnsi="Times New Roman" w:cs="Times New Roman"/>
          <w:snapToGrid w:val="0"/>
          <w:sz w:val="24"/>
          <w:szCs w:val="24"/>
        </w:rPr>
        <w:t>manufacture of</w:t>
      </w:r>
      <w:r w:rsidR="00507EBF" w:rsidRPr="007721FB">
        <w:rPr>
          <w:rFonts w:ascii="Times New Roman" w:eastAsia="Times New Roman" w:hAnsi="Times New Roman" w:cs="Times New Roman"/>
          <w:snapToGrid w:val="0"/>
          <w:sz w:val="24"/>
          <w:szCs w:val="24"/>
        </w:rPr>
        <w:t xml:space="preserve"> </w:t>
      </w:r>
      <w:r w:rsidR="00DC7958" w:rsidRPr="007721FB">
        <w:rPr>
          <w:rFonts w:ascii="Times New Roman" w:eastAsia="Times New Roman" w:hAnsi="Times New Roman" w:cs="Times New Roman"/>
          <w:snapToGrid w:val="0"/>
          <w:sz w:val="24"/>
          <w:szCs w:val="24"/>
        </w:rPr>
        <w:t>stimuli-triggered</w:t>
      </w:r>
      <w:r w:rsidR="00E8631D" w:rsidRPr="007721FB">
        <w:rPr>
          <w:rFonts w:ascii="Times New Roman" w:eastAsia="Times New Roman" w:hAnsi="Times New Roman" w:cs="Times New Roman"/>
          <w:snapToGrid w:val="0"/>
          <w:sz w:val="24"/>
          <w:szCs w:val="24"/>
        </w:rPr>
        <w:t xml:space="preserve"> nanomedicines </w:t>
      </w:r>
      <w:r w:rsidR="00507EBF" w:rsidRPr="007721FB">
        <w:rPr>
          <w:rFonts w:ascii="Times New Roman" w:eastAsia="Times New Roman" w:hAnsi="Times New Roman" w:cs="Times New Roman"/>
          <w:snapToGrid w:val="0"/>
          <w:sz w:val="24"/>
          <w:szCs w:val="24"/>
        </w:rPr>
        <w:t>with</w:t>
      </w:r>
      <w:r w:rsidR="00F6047B" w:rsidRPr="007721FB">
        <w:rPr>
          <w:rFonts w:ascii="Times New Roman" w:eastAsia="Times New Roman" w:hAnsi="Times New Roman" w:cs="Times New Roman"/>
          <w:snapToGrid w:val="0"/>
          <w:sz w:val="24"/>
          <w:szCs w:val="24"/>
        </w:rPr>
        <w:t xml:space="preserve"> </w:t>
      </w:r>
      <w:r w:rsidR="001D28EC" w:rsidRPr="007721FB">
        <w:rPr>
          <w:rFonts w:ascii="Times New Roman" w:eastAsia="Times New Roman" w:hAnsi="Times New Roman" w:cs="Times New Roman"/>
          <w:snapToGrid w:val="0"/>
          <w:sz w:val="24"/>
          <w:szCs w:val="24"/>
        </w:rPr>
        <w:t xml:space="preserve">more realistic </w:t>
      </w:r>
      <w:r w:rsidR="00E668C8" w:rsidRPr="007721FB">
        <w:rPr>
          <w:rFonts w:ascii="Times New Roman" w:eastAsia="Times New Roman" w:hAnsi="Times New Roman" w:cs="Times New Roman"/>
          <w:snapToGrid w:val="0"/>
          <w:sz w:val="24"/>
          <w:szCs w:val="24"/>
        </w:rPr>
        <w:t>potential</w:t>
      </w:r>
      <w:r w:rsidR="00476A11" w:rsidRPr="007721FB">
        <w:rPr>
          <w:rFonts w:ascii="Times New Roman" w:eastAsia="Times New Roman" w:hAnsi="Times New Roman" w:cs="Times New Roman"/>
          <w:snapToGrid w:val="0"/>
          <w:sz w:val="24"/>
          <w:szCs w:val="24"/>
        </w:rPr>
        <w:t xml:space="preserve"> for</w:t>
      </w:r>
      <w:r w:rsidR="00E668C8" w:rsidRPr="007721FB">
        <w:rPr>
          <w:rFonts w:ascii="Times New Roman" w:eastAsia="Times New Roman" w:hAnsi="Times New Roman" w:cs="Times New Roman"/>
          <w:snapToGrid w:val="0"/>
          <w:sz w:val="24"/>
          <w:szCs w:val="24"/>
        </w:rPr>
        <w:t xml:space="preserve"> </w:t>
      </w:r>
      <w:r w:rsidR="00507EBF" w:rsidRPr="007721FB">
        <w:rPr>
          <w:rFonts w:ascii="Times New Roman" w:eastAsia="Times New Roman" w:hAnsi="Times New Roman" w:cs="Times New Roman"/>
          <w:snapToGrid w:val="0"/>
          <w:sz w:val="24"/>
          <w:szCs w:val="24"/>
        </w:rPr>
        <w:t>clinical translation.</w:t>
      </w:r>
    </w:p>
    <w:p w14:paraId="633611BF" w14:textId="26081530" w:rsidR="00777758" w:rsidRPr="007721FB" w:rsidRDefault="007F45C4" w:rsidP="007D0AF8">
      <w:pPr>
        <w:spacing w:line="240" w:lineRule="auto"/>
        <w:rPr>
          <w:rFonts w:ascii="Times New Roman" w:hAnsi="Times New Roman" w:cs="Times New Roman"/>
          <w:b/>
          <w:sz w:val="28"/>
          <w:szCs w:val="28"/>
        </w:rPr>
      </w:pPr>
      <w:r w:rsidRPr="007721FB">
        <w:rPr>
          <w:rFonts w:ascii="Times New Roman" w:eastAsia="Times New Roman" w:hAnsi="Times New Roman" w:cs="Times New Roman"/>
          <w:b/>
          <w:snapToGrid w:val="0"/>
          <w:sz w:val="28"/>
          <w:szCs w:val="24"/>
        </w:rPr>
        <w:br w:type="column"/>
      </w:r>
      <w:bookmarkStart w:id="1" w:name="_Toc471752558"/>
      <w:bookmarkStart w:id="2" w:name="_Toc471829462"/>
      <w:r w:rsidR="00777758" w:rsidRPr="007721FB">
        <w:rPr>
          <w:rFonts w:ascii="Times New Roman" w:hAnsi="Times New Roman" w:cs="Times New Roman"/>
          <w:b/>
          <w:sz w:val="28"/>
          <w:szCs w:val="28"/>
        </w:rPr>
        <w:lastRenderedPageBreak/>
        <w:t>1. Introduction</w:t>
      </w:r>
      <w:bookmarkEnd w:id="1"/>
      <w:bookmarkEnd w:id="2"/>
    </w:p>
    <w:p w14:paraId="4EDB22E0" w14:textId="518A8C8C" w:rsidR="004B6B19" w:rsidRPr="007721FB" w:rsidRDefault="00AA5247" w:rsidP="00EE0E61">
      <w:pPr>
        <w:spacing w:after="0" w:line="240" w:lineRule="auto"/>
        <w:jc w:val="both"/>
        <w:rPr>
          <w:rFonts w:ascii="Times New Roman" w:hAnsi="Times New Roman" w:cs="Times New Roman"/>
          <w:sz w:val="24"/>
          <w:szCs w:val="24"/>
        </w:rPr>
      </w:pPr>
      <w:r w:rsidRPr="007721FB">
        <w:rPr>
          <w:rFonts w:ascii="Times New Roman" w:hAnsi="Times New Roman" w:cs="Times New Roman"/>
          <w:sz w:val="24"/>
        </w:rPr>
        <w:t xml:space="preserve">   </w:t>
      </w:r>
      <w:r w:rsidR="001B548E" w:rsidRPr="007721FB">
        <w:rPr>
          <w:rFonts w:ascii="Times New Roman" w:hAnsi="Times New Roman" w:cs="Times New Roman"/>
          <w:sz w:val="24"/>
        </w:rPr>
        <w:t>The continuous i</w:t>
      </w:r>
      <w:r w:rsidR="000F5FC2" w:rsidRPr="007721FB">
        <w:rPr>
          <w:rFonts w:ascii="Times New Roman" w:hAnsi="Times New Roman" w:cs="Times New Roman"/>
          <w:sz w:val="24"/>
        </w:rPr>
        <w:t>mprovement</w:t>
      </w:r>
      <w:r w:rsidR="001B548E" w:rsidRPr="007721FB">
        <w:rPr>
          <w:rFonts w:ascii="Times New Roman" w:hAnsi="Times New Roman" w:cs="Times New Roman"/>
          <w:sz w:val="24"/>
        </w:rPr>
        <w:t xml:space="preserve"> in</w:t>
      </w:r>
      <w:r w:rsidR="000F5FC2" w:rsidRPr="007721FB">
        <w:rPr>
          <w:rFonts w:ascii="Times New Roman" w:hAnsi="Times New Roman" w:cs="Times New Roman"/>
          <w:sz w:val="24"/>
        </w:rPr>
        <w:t xml:space="preserve"> humans</w:t>
      </w:r>
      <w:r w:rsidR="001B548E" w:rsidRPr="007721FB">
        <w:rPr>
          <w:rFonts w:ascii="Times New Roman" w:hAnsi="Times New Roman" w:cs="Times New Roman"/>
          <w:sz w:val="24"/>
        </w:rPr>
        <w:t xml:space="preserve"> life-expectancy in the past decades has contributed for an </w:t>
      </w:r>
      <w:r w:rsidR="002A3077" w:rsidRPr="007721FB">
        <w:rPr>
          <w:rFonts w:ascii="Times New Roman" w:hAnsi="Times New Roman" w:cs="Times New Roman"/>
          <w:sz w:val="24"/>
        </w:rPr>
        <w:t>increased incidence of</w:t>
      </w:r>
      <w:r w:rsidR="00FA2CB9" w:rsidRPr="007721FB">
        <w:rPr>
          <w:rFonts w:ascii="Times New Roman" w:hAnsi="Times New Roman" w:cs="Times New Roman"/>
          <w:sz w:val="24"/>
        </w:rPr>
        <w:t xml:space="preserve"> </w:t>
      </w:r>
      <w:r w:rsidR="0097124C" w:rsidRPr="007721FB">
        <w:rPr>
          <w:rFonts w:ascii="Times New Roman" w:hAnsi="Times New Roman" w:cs="Times New Roman"/>
          <w:sz w:val="24"/>
        </w:rPr>
        <w:t>numerous</w:t>
      </w:r>
      <w:r w:rsidR="00004DCC" w:rsidRPr="007721FB">
        <w:rPr>
          <w:rFonts w:ascii="Times New Roman" w:hAnsi="Times New Roman" w:cs="Times New Roman"/>
          <w:sz w:val="24"/>
        </w:rPr>
        <w:t xml:space="preserve"> </w:t>
      </w:r>
      <w:r w:rsidR="00FA2CB9" w:rsidRPr="007721FB">
        <w:rPr>
          <w:rFonts w:ascii="Times New Roman" w:hAnsi="Times New Roman" w:cs="Times New Roman"/>
          <w:sz w:val="24"/>
        </w:rPr>
        <w:t>skeletal</w:t>
      </w:r>
      <w:r w:rsidR="001B548E" w:rsidRPr="007721FB">
        <w:rPr>
          <w:rFonts w:ascii="Times New Roman" w:hAnsi="Times New Roman" w:cs="Times New Roman"/>
          <w:sz w:val="24"/>
        </w:rPr>
        <w:t xml:space="preserve"> diseases and age</w:t>
      </w:r>
      <w:r w:rsidR="002A3077" w:rsidRPr="007721FB">
        <w:rPr>
          <w:rFonts w:ascii="Times New Roman" w:hAnsi="Times New Roman" w:cs="Times New Roman"/>
          <w:sz w:val="24"/>
        </w:rPr>
        <w:t>-related</w:t>
      </w:r>
      <w:r w:rsidR="00FA2CB9" w:rsidRPr="007721FB">
        <w:rPr>
          <w:rFonts w:ascii="Times New Roman" w:hAnsi="Times New Roman" w:cs="Times New Roman"/>
          <w:sz w:val="24"/>
        </w:rPr>
        <w:t xml:space="preserve"> </w:t>
      </w:r>
      <w:r w:rsidR="001B548E" w:rsidRPr="007721FB">
        <w:rPr>
          <w:rFonts w:ascii="Times New Roman" w:hAnsi="Times New Roman" w:cs="Times New Roman"/>
          <w:sz w:val="24"/>
        </w:rPr>
        <w:t xml:space="preserve">bone </w:t>
      </w:r>
      <w:r w:rsidR="00FA2CB9" w:rsidRPr="007721FB">
        <w:rPr>
          <w:rFonts w:ascii="Times New Roman" w:hAnsi="Times New Roman" w:cs="Times New Roman"/>
          <w:sz w:val="24"/>
        </w:rPr>
        <w:t xml:space="preserve">abnormalities </w:t>
      </w:r>
      <w:r w:rsidR="001B548E" w:rsidRPr="007721FB">
        <w:rPr>
          <w:rFonts w:ascii="Times New Roman" w:hAnsi="Times New Roman" w:cs="Times New Roman"/>
          <w:sz w:val="24"/>
        </w:rPr>
        <w:t>such as</w:t>
      </w:r>
      <w:r w:rsidR="003779BB" w:rsidRPr="007721FB">
        <w:rPr>
          <w:rFonts w:ascii="Times New Roman" w:hAnsi="Times New Roman" w:cs="Times New Roman"/>
          <w:sz w:val="24"/>
        </w:rPr>
        <w:t xml:space="preserve"> osteoporosis</w:t>
      </w:r>
      <w:r w:rsidR="00FA2CB9" w:rsidRPr="007721FB">
        <w:rPr>
          <w:rFonts w:ascii="Times New Roman" w:hAnsi="Times New Roman" w:cs="Times New Roman"/>
          <w:sz w:val="24"/>
        </w:rPr>
        <w:t>, osteoart</w:t>
      </w:r>
      <w:r w:rsidR="003779BB" w:rsidRPr="007721FB">
        <w:rPr>
          <w:rFonts w:ascii="Times New Roman" w:hAnsi="Times New Roman" w:cs="Times New Roman"/>
          <w:sz w:val="24"/>
        </w:rPr>
        <w:t>hritis</w:t>
      </w:r>
      <w:r w:rsidR="0097124C" w:rsidRPr="007721FB">
        <w:rPr>
          <w:rFonts w:ascii="Times New Roman" w:hAnsi="Times New Roman" w:cs="Times New Roman"/>
          <w:sz w:val="24"/>
        </w:rPr>
        <w:t>,</w:t>
      </w:r>
      <w:r w:rsidR="00FA2CB9" w:rsidRPr="007721FB">
        <w:rPr>
          <w:rFonts w:ascii="Times New Roman" w:hAnsi="Times New Roman" w:cs="Times New Roman"/>
          <w:sz w:val="24"/>
        </w:rPr>
        <w:t xml:space="preserve"> osteomyelitis</w:t>
      </w:r>
      <w:r w:rsidR="001B548E" w:rsidRPr="007721FB">
        <w:rPr>
          <w:rFonts w:ascii="Times New Roman" w:hAnsi="Times New Roman" w:cs="Times New Roman"/>
          <w:sz w:val="24"/>
        </w:rPr>
        <w:t xml:space="preserve"> or bone cancer</w:t>
      </w:r>
      <w:r w:rsidR="00496BD7" w:rsidRPr="007721FB">
        <w:rPr>
          <w:rFonts w:ascii="Times New Roman" w:hAnsi="Times New Roman" w:cs="Times New Roman"/>
          <w:sz w:val="24"/>
        </w:rPr>
        <w:t xml:space="preserve"> </w:t>
      </w:r>
      <w:r w:rsidR="00FA2CB9" w:rsidRPr="007721FB">
        <w:rPr>
          <w:rFonts w:ascii="Times New Roman" w:hAnsi="Times New Roman" w:cs="Times New Roman"/>
          <w:sz w:val="24"/>
        </w:rPr>
        <w:fldChar w:fldCharType="begin" w:fldLock="1"/>
      </w:r>
      <w:r w:rsidR="00773B7A" w:rsidRPr="007721FB">
        <w:rPr>
          <w:rFonts w:ascii="Times New Roman" w:hAnsi="Times New Roman" w:cs="Times New Roman"/>
          <w:sz w:val="24"/>
        </w:rPr>
        <w:instrText>ADDIN CSL_CITATION { "citationItems" : [ { "id" : "ITEM-1", "itemData" : { "author" : [ { "dropping-particle" : "", "family" : "Rodan", "given" : "G.A.", "non-dropping-particle" : "", "parse-names" : false, "suffix" : "" }, { "dropping-particle" : "", "family" : "Martin", "given" : "T. J.", "non-dropping-particle" : "", "parse-names" : false, "suffix" : "" } ], "container-title" : "Science", "id" : "ITEM-1", "issue" : "5484", "issued" : { "date-parts" : [ [ "2000" ] ] }, "page" : "1508-1514", "title" : "Therapeutic Approaches to Bone Diseases", "type" : "article-journal", "volume" : "289" }, "uris" : [ "http://www.mendeley.com/documents/?uuid=9daa0a80-bb10-42e8-a39d-fd89ff8fd7e4", "http://www.mendeley.com/documents/?uuid=f01e2b78-ee83-4b0e-9b29-602a70e41c4f" ] } ], "mendeley" : { "formattedCitation" : "[1]", "plainTextFormattedCitation" : "[1]", "previouslyFormattedCitation" : "[1]" }, "properties" : { "noteIndex" : 0 }, "schema" : "https://github.com/citation-style-language/schema/raw/master/csl-citation.json" }</w:instrText>
      </w:r>
      <w:r w:rsidR="00FA2CB9" w:rsidRPr="007721FB">
        <w:rPr>
          <w:rFonts w:ascii="Times New Roman" w:hAnsi="Times New Roman" w:cs="Times New Roman"/>
          <w:sz w:val="24"/>
        </w:rPr>
        <w:fldChar w:fldCharType="separate"/>
      </w:r>
      <w:r w:rsidR="00773B7A" w:rsidRPr="007721FB">
        <w:rPr>
          <w:rFonts w:ascii="Times New Roman" w:hAnsi="Times New Roman" w:cs="Times New Roman"/>
          <w:noProof/>
          <w:sz w:val="24"/>
        </w:rPr>
        <w:t>[1]</w:t>
      </w:r>
      <w:r w:rsidR="00FA2CB9" w:rsidRPr="007721FB">
        <w:rPr>
          <w:rFonts w:ascii="Times New Roman" w:hAnsi="Times New Roman" w:cs="Times New Roman"/>
          <w:sz w:val="24"/>
        </w:rPr>
        <w:fldChar w:fldCharType="end"/>
      </w:r>
      <w:r w:rsidR="00496BD7" w:rsidRPr="007721FB">
        <w:rPr>
          <w:rFonts w:ascii="Times New Roman" w:hAnsi="Times New Roman" w:cs="Times New Roman"/>
          <w:sz w:val="24"/>
        </w:rPr>
        <w:t>.</w:t>
      </w:r>
      <w:r w:rsidR="000F5FC2" w:rsidRPr="007721FB">
        <w:rPr>
          <w:rFonts w:ascii="Times New Roman" w:hAnsi="Times New Roman" w:cs="Times New Roman"/>
          <w:sz w:val="24"/>
        </w:rPr>
        <w:t xml:space="preserve"> </w:t>
      </w:r>
      <w:r w:rsidR="003D4B96" w:rsidRPr="007721FB">
        <w:rPr>
          <w:rFonts w:ascii="Times New Roman" w:hAnsi="Times New Roman" w:cs="Times New Roman"/>
          <w:sz w:val="24"/>
        </w:rPr>
        <w:t>Regardless of</w:t>
      </w:r>
      <w:r w:rsidRPr="007721FB">
        <w:rPr>
          <w:rFonts w:ascii="Times New Roman" w:hAnsi="Times New Roman" w:cs="Times New Roman"/>
          <w:sz w:val="24"/>
          <w:szCs w:val="24"/>
        </w:rPr>
        <w:t xml:space="preserve"> several decades of </w:t>
      </w:r>
      <w:r w:rsidR="00A041F5" w:rsidRPr="007721FB">
        <w:rPr>
          <w:rFonts w:ascii="Times New Roman" w:hAnsi="Times New Roman" w:cs="Times New Roman"/>
          <w:sz w:val="24"/>
          <w:szCs w:val="24"/>
        </w:rPr>
        <w:t xml:space="preserve">scientific and medical </w:t>
      </w:r>
      <w:r w:rsidRPr="007721FB">
        <w:rPr>
          <w:rFonts w:ascii="Times New Roman" w:hAnsi="Times New Roman" w:cs="Times New Roman"/>
          <w:sz w:val="24"/>
          <w:szCs w:val="24"/>
        </w:rPr>
        <w:t>progress,</w:t>
      </w:r>
      <w:r w:rsidR="004B6B19" w:rsidRPr="007721FB">
        <w:rPr>
          <w:rFonts w:ascii="Times New Roman" w:hAnsi="Times New Roman" w:cs="Times New Roman"/>
          <w:sz w:val="24"/>
          <w:szCs w:val="24"/>
        </w:rPr>
        <w:t xml:space="preserve"> still</w:t>
      </w:r>
      <w:r w:rsidRPr="007721FB">
        <w:rPr>
          <w:rFonts w:ascii="Times New Roman" w:hAnsi="Times New Roman" w:cs="Times New Roman"/>
          <w:sz w:val="24"/>
          <w:szCs w:val="24"/>
        </w:rPr>
        <w:t xml:space="preserve"> no definitive treatment options exist </w:t>
      </w:r>
      <w:r w:rsidR="003D4B96" w:rsidRPr="007721FB">
        <w:rPr>
          <w:rFonts w:ascii="Times New Roman" w:hAnsi="Times New Roman" w:cs="Times New Roman"/>
          <w:sz w:val="24"/>
          <w:szCs w:val="24"/>
        </w:rPr>
        <w:t>for any of these pathologies</w:t>
      </w:r>
      <w:r w:rsidR="00496BD7" w:rsidRPr="007721FB">
        <w:rPr>
          <w:rFonts w:ascii="Times New Roman" w:hAnsi="Times New Roman" w:cs="Times New Roman"/>
          <w:sz w:val="24"/>
          <w:szCs w:val="24"/>
        </w:rPr>
        <w:t xml:space="preserve"> </w:t>
      </w:r>
      <w:r w:rsidRPr="007721FB">
        <w:rPr>
          <w:rFonts w:ascii="Times New Roman" w:hAnsi="Times New Roman" w:cs="Times New Roman"/>
          <w:sz w:val="24"/>
          <w:szCs w:val="24"/>
        </w:rPr>
        <w:fldChar w:fldCharType="begin" w:fldLock="1"/>
      </w:r>
      <w:r w:rsidR="00773B7A" w:rsidRPr="007721FB">
        <w:rPr>
          <w:rFonts w:ascii="Times New Roman" w:hAnsi="Times New Roman" w:cs="Times New Roman"/>
          <w:sz w:val="24"/>
          <w:szCs w:val="24"/>
        </w:rPr>
        <w:instrText>ADDIN CSL_CITATION { "citationItems" : [ { "id" : "ITEM-1", "itemData" : { "DOI" : "10.2147/IJN.S44393", "ISBN" : "1178-2013 (Electronic)\\r1176-9114 (Linking)", "ISSN" : "11769114", "PMID" : "23836972", "abstract" : "Nanotechnology is a vigorous research area and one of its important applications is in biomedical sciences. Among biomedical applications, targeted drug delivery is one of the most extensively studied subjects. Nanostructured particles and scaffolds have been widely studied for increasing treatment efficacy and specificity of present treatment approaches. Similarly, this technique has been used for treating bone diseases including bone regeneration. In this review, we have summarized and highlighted the recent advancement of nanostructured particles and scaffolds for the treatment of cancer bone metastasis, osteosarcoma, bone infections and inflammatory diseases, osteoarthritis, as well as for bone regeneration. Nanoparticles used to deliver deoxyribonucleic acid and ribonucleic acid molecules to specific bone sites for gene therapies are also included. The investigation of the implications of nanoparticles in bone diseases have just begun, and has already shown some promising potential. Further studies have to be conducted, aimed specifically at assessing targeted delivery and bioactive scaffolds to further improve their efficacy before they can be used clinically. ", "author" : [ { "dropping-particle" : "", "family" : "Gu", "given" : "Wenyi", "non-dropping-particle" : "", "parse-names" : false, "suffix" : "" }, { "dropping-particle" : "", "family" : "Wu", "given" : "Chengtie", "non-dropping-particle" : "", "parse-names" : false, "suffix" : "" }, { "dropping-particle" : "", "family" : "Chen", "given" : "Jiezhong", "non-dropping-particle" : "", "parse-names" : false, "suffix" : "" }, { "dropping-particle" : "", "family" : "Xiao", "given" : "Yin", "non-dropping-particle" : "", "parse-names" : false, "suffix" : "" } ], "container-title" : "International Journal of Nanomedicine", "id" : "ITEM-1", "issued" : { "date-parts" : [ [ "2013" ] ] }, "page" : "2305-2317", "title" : "Nanotechnology in the targeted drug delivery for bone diseases and bone regeneration", "type" : "article-journal", "volume" : "8" }, "uris" : [ "http://www.mendeley.com/documents/?uuid=fd9fde88-e2ec-42c9-a225-13f3d9ed5afd", "http://www.mendeley.com/documents/?uuid=0356638f-f632-47e4-8027-98b2e5b262e8" ] } ], "mendeley" : { "formattedCitation" : "[2]", "plainTextFormattedCitation" : "[2]", "previouslyFormattedCitation" : "[2]" }, "properties" : { "noteIndex" : 0 }, "schema" : "https://github.com/citation-style-language/schema/raw/master/csl-citation.json" }</w:instrText>
      </w:r>
      <w:r w:rsidRPr="007721FB">
        <w:rPr>
          <w:rFonts w:ascii="Times New Roman" w:hAnsi="Times New Roman" w:cs="Times New Roman"/>
          <w:sz w:val="24"/>
          <w:szCs w:val="24"/>
        </w:rPr>
        <w:fldChar w:fldCharType="separate"/>
      </w:r>
      <w:r w:rsidR="00773B7A" w:rsidRPr="007721FB">
        <w:rPr>
          <w:rFonts w:ascii="Times New Roman" w:hAnsi="Times New Roman" w:cs="Times New Roman"/>
          <w:noProof/>
          <w:sz w:val="24"/>
          <w:szCs w:val="24"/>
        </w:rPr>
        <w:t>[2]</w:t>
      </w:r>
      <w:r w:rsidRPr="007721FB">
        <w:rPr>
          <w:rFonts w:ascii="Times New Roman" w:hAnsi="Times New Roman" w:cs="Times New Roman"/>
          <w:sz w:val="24"/>
          <w:szCs w:val="24"/>
        </w:rPr>
        <w:fldChar w:fldCharType="end"/>
      </w:r>
      <w:r w:rsidR="00496BD7" w:rsidRPr="007721FB">
        <w:rPr>
          <w:rFonts w:ascii="Times New Roman" w:hAnsi="Times New Roman" w:cs="Times New Roman"/>
          <w:sz w:val="24"/>
          <w:szCs w:val="24"/>
        </w:rPr>
        <w:t>.</w:t>
      </w:r>
      <w:r w:rsidRPr="007721FB">
        <w:rPr>
          <w:rFonts w:ascii="Times New Roman" w:hAnsi="Times New Roman" w:cs="Times New Roman"/>
          <w:sz w:val="24"/>
          <w:szCs w:val="24"/>
        </w:rPr>
        <w:t xml:space="preserve"> </w:t>
      </w:r>
    </w:p>
    <w:p w14:paraId="6E95ED7C" w14:textId="1F8D1FA6" w:rsidR="003F0ACB" w:rsidRPr="007721FB" w:rsidRDefault="004B6B19" w:rsidP="00EE0E61">
      <w:pPr>
        <w:spacing w:after="0" w:line="240" w:lineRule="auto"/>
        <w:jc w:val="both"/>
        <w:rPr>
          <w:rFonts w:ascii="Times New Roman" w:hAnsi="Times New Roman" w:cs="Times New Roman"/>
          <w:sz w:val="24"/>
          <w:szCs w:val="24"/>
        </w:rPr>
      </w:pPr>
      <w:r w:rsidRPr="007721FB">
        <w:rPr>
          <w:rFonts w:ascii="Times New Roman" w:hAnsi="Times New Roman" w:cs="Times New Roman"/>
          <w:sz w:val="24"/>
          <w:szCs w:val="24"/>
        </w:rPr>
        <w:t xml:space="preserve">   </w:t>
      </w:r>
      <w:r w:rsidR="003F0ACB" w:rsidRPr="007721FB">
        <w:rPr>
          <w:rFonts w:ascii="Times New Roman" w:hAnsi="Times New Roman" w:cs="Times New Roman"/>
          <w:sz w:val="24"/>
          <w:szCs w:val="24"/>
        </w:rPr>
        <w:t>C</w:t>
      </w:r>
      <w:r w:rsidR="00FA2CB9" w:rsidRPr="007721FB">
        <w:rPr>
          <w:rFonts w:ascii="Times New Roman" w:hAnsi="Times New Roman" w:cs="Times New Roman"/>
          <w:sz w:val="24"/>
          <w:szCs w:val="24"/>
        </w:rPr>
        <w:t xml:space="preserve">urrently </w:t>
      </w:r>
      <w:r w:rsidRPr="007721FB">
        <w:rPr>
          <w:rFonts w:ascii="Times New Roman" w:hAnsi="Times New Roman" w:cs="Times New Roman"/>
          <w:sz w:val="24"/>
          <w:szCs w:val="24"/>
        </w:rPr>
        <w:t>a</w:t>
      </w:r>
      <w:r w:rsidR="00CF7635" w:rsidRPr="007721FB">
        <w:rPr>
          <w:rFonts w:ascii="Times New Roman" w:hAnsi="Times New Roman" w:cs="Times New Roman"/>
          <w:sz w:val="24"/>
          <w:szCs w:val="24"/>
        </w:rPr>
        <w:t>vailable</w:t>
      </w:r>
      <w:r w:rsidR="00FA2CB9" w:rsidRPr="007721FB">
        <w:rPr>
          <w:rFonts w:ascii="Times New Roman" w:hAnsi="Times New Roman" w:cs="Times New Roman"/>
          <w:sz w:val="24"/>
          <w:szCs w:val="24"/>
        </w:rPr>
        <w:t xml:space="preserve"> treatment</w:t>
      </w:r>
      <w:r w:rsidRPr="007721FB">
        <w:rPr>
          <w:rFonts w:ascii="Times New Roman" w:hAnsi="Times New Roman" w:cs="Times New Roman"/>
          <w:sz w:val="24"/>
          <w:szCs w:val="24"/>
        </w:rPr>
        <w:t xml:space="preserve"> options</w:t>
      </w:r>
      <w:r w:rsidR="00C8450F" w:rsidRPr="007721FB">
        <w:rPr>
          <w:rFonts w:ascii="Times New Roman" w:hAnsi="Times New Roman" w:cs="Times New Roman"/>
          <w:sz w:val="24"/>
          <w:szCs w:val="24"/>
        </w:rPr>
        <w:t xml:space="preserve"> for such disorders</w:t>
      </w:r>
      <w:r w:rsidR="00FA2CB9" w:rsidRPr="007721FB">
        <w:rPr>
          <w:rFonts w:ascii="Times New Roman" w:hAnsi="Times New Roman" w:cs="Times New Roman"/>
          <w:sz w:val="24"/>
          <w:szCs w:val="24"/>
        </w:rPr>
        <w:t xml:space="preserve"> </w:t>
      </w:r>
      <w:r w:rsidR="003F0ACB" w:rsidRPr="007721FB">
        <w:rPr>
          <w:rFonts w:ascii="Times New Roman" w:hAnsi="Times New Roman" w:cs="Times New Roman"/>
          <w:sz w:val="24"/>
          <w:szCs w:val="24"/>
        </w:rPr>
        <w:t xml:space="preserve">rely </w:t>
      </w:r>
      <w:r w:rsidR="00C8450F" w:rsidRPr="007721FB">
        <w:rPr>
          <w:rFonts w:ascii="Times New Roman" w:hAnsi="Times New Roman" w:cs="Times New Roman"/>
          <w:sz w:val="24"/>
          <w:szCs w:val="24"/>
        </w:rPr>
        <w:t xml:space="preserve">mostly </w:t>
      </w:r>
      <w:r w:rsidR="003F0ACB" w:rsidRPr="007721FB">
        <w:rPr>
          <w:rFonts w:ascii="Times New Roman" w:hAnsi="Times New Roman" w:cs="Times New Roman"/>
          <w:sz w:val="24"/>
          <w:szCs w:val="24"/>
        </w:rPr>
        <w:t>on p</w:t>
      </w:r>
      <w:r w:rsidRPr="007721FB">
        <w:rPr>
          <w:rFonts w:ascii="Times New Roman" w:hAnsi="Times New Roman" w:cs="Times New Roman"/>
          <w:sz w:val="24"/>
          <w:szCs w:val="24"/>
        </w:rPr>
        <w:t>harmacological-based therapeutics</w:t>
      </w:r>
      <w:r w:rsidR="00CF7635" w:rsidRPr="007721FB">
        <w:rPr>
          <w:rFonts w:ascii="Times New Roman" w:hAnsi="Times New Roman" w:cs="Times New Roman"/>
          <w:sz w:val="24"/>
          <w:szCs w:val="24"/>
        </w:rPr>
        <w:t xml:space="preserve"> that are administere</w:t>
      </w:r>
      <w:r w:rsidR="003D4B96" w:rsidRPr="007721FB">
        <w:rPr>
          <w:rFonts w:ascii="Times New Roman" w:hAnsi="Times New Roman" w:cs="Times New Roman"/>
          <w:sz w:val="24"/>
          <w:szCs w:val="24"/>
        </w:rPr>
        <w:t>d</w:t>
      </w:r>
      <w:r w:rsidR="00CF7635" w:rsidRPr="007721FB">
        <w:rPr>
          <w:rFonts w:ascii="Times New Roman" w:hAnsi="Times New Roman" w:cs="Times New Roman"/>
          <w:sz w:val="24"/>
          <w:szCs w:val="24"/>
        </w:rPr>
        <w:t xml:space="preserve"> under various regimes</w:t>
      </w:r>
      <w:r w:rsidR="003D4B96" w:rsidRPr="007721FB">
        <w:rPr>
          <w:rFonts w:ascii="Times New Roman" w:hAnsi="Times New Roman" w:cs="Times New Roman"/>
          <w:sz w:val="24"/>
          <w:szCs w:val="24"/>
        </w:rPr>
        <w:t xml:space="preserve"> according to each </w:t>
      </w:r>
      <w:r w:rsidR="00FD5EA6" w:rsidRPr="007721FB">
        <w:rPr>
          <w:rFonts w:ascii="Times New Roman" w:hAnsi="Times New Roman" w:cs="Times New Roman"/>
          <w:sz w:val="24"/>
          <w:szCs w:val="24"/>
        </w:rPr>
        <w:t>individuals</w:t>
      </w:r>
      <w:r w:rsidR="003D4B96" w:rsidRPr="007721FB">
        <w:rPr>
          <w:rFonts w:ascii="Times New Roman" w:hAnsi="Times New Roman" w:cs="Times New Roman"/>
          <w:sz w:val="24"/>
          <w:szCs w:val="24"/>
        </w:rPr>
        <w:t xml:space="preserve"> disease progression status</w:t>
      </w:r>
      <w:r w:rsidR="00496BD7" w:rsidRPr="007721FB">
        <w:rPr>
          <w:rFonts w:ascii="Times New Roman" w:hAnsi="Times New Roman" w:cs="Times New Roman"/>
          <w:sz w:val="24"/>
          <w:szCs w:val="24"/>
        </w:rPr>
        <w:t xml:space="preserve"> </w:t>
      </w:r>
      <w:r w:rsidR="00E874E7" w:rsidRPr="007721FB">
        <w:rPr>
          <w:rFonts w:ascii="Times New Roman" w:hAnsi="Times New Roman" w:cs="Times New Roman"/>
          <w:sz w:val="24"/>
          <w:szCs w:val="24"/>
        </w:rPr>
        <w:fldChar w:fldCharType="begin" w:fldLock="1"/>
      </w:r>
      <w:r w:rsidR="00773B7A" w:rsidRPr="007721FB">
        <w:rPr>
          <w:rFonts w:ascii="Times New Roman" w:hAnsi="Times New Roman" w:cs="Times New Roman"/>
          <w:sz w:val="24"/>
          <w:szCs w:val="24"/>
        </w:rPr>
        <w:instrText>ADDIN CSL_CITATION { "citationItems" : [ { "id" : "ITEM-1", "itemData" : { "ISSN" : "1472-8214", "author" : [ { "dropping-particle" : "", "family" : "Feurer", "given" : "Elodie", "non-dropping-particle" : "", "parse-names" : false, "suffix" : "" }, { "dropping-particle" : "", "family" : "Chapurlat", "given" : "Roland", "non-dropping-particle" : "", "parse-names" : false, "suffix" : "" } ], "container-title" : "Expert opinion on emerging drugs", "id" : "ITEM-1", "issue" : "3", "issued" : { "date-parts" : [ [ "2014" ] ] }, "page" : "385-395", "publisher" : "Taylor &amp; Francis", "title" : "Emerging drugs for osteoporosis", "type" : "article-journal", "volume" : "19" }, "uris" : [ "http://www.mendeley.com/documents/?uuid=4e1ee7ea-5210-4afe-855f-4470916a8a7a" ] } ], "mendeley" : { "formattedCitation" : "[3]", "plainTextFormattedCitation" : "[3]", "previouslyFormattedCitation" : "[3]" }, "properties" : { "noteIndex" : 3 }, "schema" : "https://github.com/citation-style-language/schema/raw/master/csl-citation.json" }</w:instrText>
      </w:r>
      <w:r w:rsidR="00E874E7" w:rsidRPr="007721FB">
        <w:rPr>
          <w:rFonts w:ascii="Times New Roman" w:hAnsi="Times New Roman" w:cs="Times New Roman"/>
          <w:sz w:val="24"/>
          <w:szCs w:val="24"/>
        </w:rPr>
        <w:fldChar w:fldCharType="separate"/>
      </w:r>
      <w:r w:rsidR="00773B7A" w:rsidRPr="007721FB">
        <w:rPr>
          <w:rFonts w:ascii="Times New Roman" w:hAnsi="Times New Roman" w:cs="Times New Roman"/>
          <w:noProof/>
          <w:sz w:val="24"/>
          <w:szCs w:val="24"/>
        </w:rPr>
        <w:t>[3]</w:t>
      </w:r>
      <w:r w:rsidR="00E874E7" w:rsidRPr="007721FB">
        <w:rPr>
          <w:rFonts w:ascii="Times New Roman" w:hAnsi="Times New Roman" w:cs="Times New Roman"/>
          <w:sz w:val="24"/>
          <w:szCs w:val="24"/>
        </w:rPr>
        <w:fldChar w:fldCharType="end"/>
      </w:r>
      <w:r w:rsidR="00CF7635" w:rsidRPr="007721FB">
        <w:rPr>
          <w:rFonts w:ascii="Times New Roman" w:hAnsi="Times New Roman" w:cs="Times New Roman"/>
          <w:sz w:val="24"/>
          <w:szCs w:val="24"/>
        </w:rPr>
        <w:t xml:space="preserve">. </w:t>
      </w:r>
      <w:r w:rsidR="003D4B96" w:rsidRPr="007721FB">
        <w:rPr>
          <w:rFonts w:ascii="Times New Roman" w:hAnsi="Times New Roman" w:cs="Times New Roman"/>
          <w:sz w:val="24"/>
          <w:szCs w:val="24"/>
        </w:rPr>
        <w:t>Despite</w:t>
      </w:r>
      <w:r w:rsidR="00E06B0B" w:rsidRPr="007721FB">
        <w:rPr>
          <w:rFonts w:ascii="Times New Roman" w:hAnsi="Times New Roman" w:cs="Times New Roman"/>
          <w:sz w:val="24"/>
          <w:szCs w:val="24"/>
        </w:rPr>
        <w:t xml:space="preserve"> their </w:t>
      </w:r>
      <w:r w:rsidR="003D4B96" w:rsidRPr="007721FB">
        <w:rPr>
          <w:rFonts w:ascii="Times New Roman" w:hAnsi="Times New Roman" w:cs="Times New Roman"/>
          <w:sz w:val="24"/>
          <w:szCs w:val="24"/>
        </w:rPr>
        <w:t>recognizable</w:t>
      </w:r>
      <w:r w:rsidR="00FD5EA6" w:rsidRPr="007721FB">
        <w:rPr>
          <w:rFonts w:ascii="Times New Roman" w:hAnsi="Times New Roman" w:cs="Times New Roman"/>
          <w:sz w:val="24"/>
          <w:szCs w:val="24"/>
        </w:rPr>
        <w:t xml:space="preserve"> therapeutic</w:t>
      </w:r>
      <w:r w:rsidR="003D4B96" w:rsidRPr="007721FB">
        <w:rPr>
          <w:rFonts w:ascii="Times New Roman" w:hAnsi="Times New Roman" w:cs="Times New Roman"/>
          <w:sz w:val="24"/>
          <w:szCs w:val="24"/>
        </w:rPr>
        <w:t xml:space="preserve"> benefits</w:t>
      </w:r>
      <w:r w:rsidR="00FD5EA6" w:rsidRPr="007721FB">
        <w:rPr>
          <w:rFonts w:ascii="Times New Roman" w:hAnsi="Times New Roman" w:cs="Times New Roman"/>
          <w:sz w:val="24"/>
          <w:szCs w:val="24"/>
        </w:rPr>
        <w:t>,</w:t>
      </w:r>
      <w:r w:rsidR="003D4B96" w:rsidRPr="007721FB">
        <w:rPr>
          <w:rFonts w:ascii="Times New Roman" w:hAnsi="Times New Roman" w:cs="Times New Roman"/>
          <w:sz w:val="24"/>
          <w:szCs w:val="24"/>
        </w:rPr>
        <w:t xml:space="preserve"> these </w:t>
      </w:r>
      <w:r w:rsidR="00FD5EA6" w:rsidRPr="007721FB">
        <w:rPr>
          <w:rFonts w:ascii="Times New Roman" w:hAnsi="Times New Roman" w:cs="Times New Roman"/>
          <w:sz w:val="24"/>
          <w:szCs w:val="24"/>
        </w:rPr>
        <w:t xml:space="preserve">approaches </w:t>
      </w:r>
      <w:r w:rsidR="003D4B96" w:rsidRPr="007721FB">
        <w:rPr>
          <w:rFonts w:ascii="Times New Roman" w:hAnsi="Times New Roman" w:cs="Times New Roman"/>
          <w:sz w:val="24"/>
          <w:szCs w:val="24"/>
        </w:rPr>
        <w:t>are still undermined by deleterious side effects that affect patients general health and daily quality of life.</w:t>
      </w:r>
      <w:r w:rsidR="006C0069" w:rsidRPr="007721FB">
        <w:rPr>
          <w:rFonts w:ascii="Times New Roman" w:hAnsi="Times New Roman" w:cs="Times New Roman"/>
          <w:sz w:val="24"/>
          <w:szCs w:val="24"/>
        </w:rPr>
        <w:t xml:space="preserve"> </w:t>
      </w:r>
      <w:r w:rsidR="00CF7635" w:rsidRPr="007721FB">
        <w:rPr>
          <w:rFonts w:ascii="Times New Roman" w:hAnsi="Times New Roman" w:cs="Times New Roman"/>
          <w:sz w:val="24"/>
          <w:szCs w:val="24"/>
        </w:rPr>
        <w:t>This issue is</w:t>
      </w:r>
      <w:r w:rsidR="004A47D3" w:rsidRPr="007721FB">
        <w:rPr>
          <w:rFonts w:ascii="Times New Roman" w:hAnsi="Times New Roman" w:cs="Times New Roman"/>
          <w:sz w:val="24"/>
          <w:szCs w:val="24"/>
        </w:rPr>
        <w:t xml:space="preserve"> clearly</w:t>
      </w:r>
      <w:r w:rsidR="00CF7635" w:rsidRPr="007721FB">
        <w:rPr>
          <w:rFonts w:ascii="Times New Roman" w:hAnsi="Times New Roman" w:cs="Times New Roman"/>
          <w:sz w:val="24"/>
          <w:szCs w:val="24"/>
        </w:rPr>
        <w:t xml:space="preserve"> evident for various therapies that are currently employed in</w:t>
      </w:r>
      <w:r w:rsidR="006C0069" w:rsidRPr="007721FB">
        <w:rPr>
          <w:rFonts w:ascii="Times New Roman" w:hAnsi="Times New Roman" w:cs="Times New Roman"/>
          <w:sz w:val="24"/>
          <w:szCs w:val="24"/>
        </w:rPr>
        <w:t xml:space="preserve"> the clinics</w:t>
      </w:r>
      <w:r w:rsidR="00496BD7" w:rsidRPr="007721FB">
        <w:rPr>
          <w:rFonts w:ascii="Times New Roman" w:hAnsi="Times New Roman" w:cs="Times New Roman"/>
          <w:sz w:val="24"/>
          <w:szCs w:val="24"/>
        </w:rPr>
        <w:t xml:space="preserve"> </w:t>
      </w:r>
      <w:r w:rsidR="00CF7635" w:rsidRPr="007721FB">
        <w:rPr>
          <w:rFonts w:ascii="Times New Roman" w:hAnsi="Times New Roman" w:cs="Times New Roman"/>
          <w:sz w:val="24"/>
          <w:szCs w:val="24"/>
        </w:rPr>
        <w:fldChar w:fldCharType="begin" w:fldLock="1"/>
      </w:r>
      <w:r w:rsidR="00773B7A" w:rsidRPr="007721FB">
        <w:rPr>
          <w:rFonts w:ascii="Times New Roman" w:hAnsi="Times New Roman" w:cs="Times New Roman"/>
          <w:sz w:val="24"/>
          <w:szCs w:val="24"/>
        </w:rPr>
        <w:instrText>ADDIN CSL_CITATION { "citationItems" : [ { "id" : "ITEM-1", "itemData" : { "DOI" : "10.1016/j.nano.2016.08.015", "ISSN" : "15499642", "abstract" : "Bone-targeted drug delivery is an active research area because successful clinical applications of this technology can significantly advance the treatment of bone injuries and disorders. Molecules with bone-targeting potential have been actively investigated as promising moieties in targeted drug delivery systems. In general, bone-targeting molecules are characterized by their high affinity for bone and their predisposition to persist in bone tissue for prolonged periods, while maintaining low systemic concentrations. Proteins, such as monoclonal antibodies, have shown promise as bone-targeting molecules; however, they suffer from several limitations including large molecular size, high production cost, and undesirable immune responses. A viable alternative associated with significantly less side effects is the use of small molecule-based targeting moieties. This review provides a summary of recent findings regarding small molecule compounds with bone-targeting capacity, as well as nanoscale targeted drug delivery approaches employing these molecules.", "author" : [ { "dropping-particle" : "", "family" : "Carbone", "given" : "Erica J.", "non-dropping-particle" : "", "parse-names" : false, "suffix" : "" }, { "dropping-particle" : "", "family" : "Rajpura", "given" : "Komal", "non-dropping-particle" : "", "parse-names" : false, "suffix" : "" }, { "dropping-particle" : "", "family" : "Allen", "given" : "Brittany N.", "non-dropping-particle" : "", "parse-names" : false, "suffix" : "" }, { "dropping-particle" : "", "family" : "Cheng", "given" : "Emily", "non-dropping-particle" : "", "parse-names" : false, "suffix" : "" }, { "dropping-particle" : "", "family" : "Ulery", "given" : "Bret D.", "non-dropping-particle" : "", "parse-names" : false, "suffix" : "" }, { "dropping-particle" : "", "family" : "Lo", "given" : "Kevin W H", "non-dropping-particle" : "", "parse-names" : false, "suffix" : "" } ], "container-title" : "Nanomedicine: Nanotechnology, Biology, and Medicine", "id" : "ITEM-1", "issue" : "1", "issued" : { "date-parts" : [ [ "2017" ] ] }, "page" : "37-47", "publisher" : "Elsevier B.V.", "title" : "Osteotropic nanoscale drug delivery systems based on small molecule bone-targeting moieties", "type" : "article-journal", "volume" : "13" }, "uris" : [ "http://www.mendeley.com/documents/?uuid=ad78f86e-7c85-41bd-b81e-b97d4934d33f", "http://www.mendeley.com/documents/?uuid=0f4eae86-3983-4dc0-a148-7cb80026deff" ] } ], "mendeley" : { "formattedCitation" : "[4]", "plainTextFormattedCitation" : "[4]", "previouslyFormattedCitation" : "[4]" }, "properties" : { "noteIndex" : 0 }, "schema" : "https://github.com/citation-style-language/schema/raw/master/csl-citation.json" }</w:instrText>
      </w:r>
      <w:r w:rsidR="00CF7635" w:rsidRPr="007721FB">
        <w:rPr>
          <w:rFonts w:ascii="Times New Roman" w:hAnsi="Times New Roman" w:cs="Times New Roman"/>
          <w:sz w:val="24"/>
          <w:szCs w:val="24"/>
        </w:rPr>
        <w:fldChar w:fldCharType="separate"/>
      </w:r>
      <w:r w:rsidR="00773B7A" w:rsidRPr="007721FB">
        <w:rPr>
          <w:rFonts w:ascii="Times New Roman" w:hAnsi="Times New Roman" w:cs="Times New Roman"/>
          <w:noProof/>
          <w:sz w:val="24"/>
          <w:szCs w:val="24"/>
        </w:rPr>
        <w:t>[4]</w:t>
      </w:r>
      <w:r w:rsidR="00CF7635" w:rsidRPr="007721FB">
        <w:rPr>
          <w:rFonts w:ascii="Times New Roman" w:hAnsi="Times New Roman" w:cs="Times New Roman"/>
          <w:sz w:val="24"/>
          <w:szCs w:val="24"/>
        </w:rPr>
        <w:fldChar w:fldCharType="end"/>
      </w:r>
      <w:r w:rsidR="00496BD7" w:rsidRPr="007721FB">
        <w:rPr>
          <w:rFonts w:ascii="Times New Roman" w:hAnsi="Times New Roman" w:cs="Times New Roman"/>
          <w:sz w:val="24"/>
          <w:szCs w:val="24"/>
        </w:rPr>
        <w:t>.</w:t>
      </w:r>
      <w:r w:rsidR="00CF7635" w:rsidRPr="007721FB">
        <w:rPr>
          <w:rFonts w:ascii="Times New Roman" w:hAnsi="Times New Roman" w:cs="Times New Roman"/>
          <w:sz w:val="24"/>
          <w:szCs w:val="24"/>
        </w:rPr>
        <w:t xml:space="preserve"> For example,</w:t>
      </w:r>
      <w:r w:rsidR="00E06B0B" w:rsidRPr="007721FB">
        <w:rPr>
          <w:rFonts w:ascii="Times New Roman" w:hAnsi="Times New Roman" w:cs="Times New Roman"/>
          <w:sz w:val="24"/>
          <w:szCs w:val="24"/>
        </w:rPr>
        <w:t xml:space="preserve"> the</w:t>
      </w:r>
      <w:r w:rsidR="00CF7635" w:rsidRPr="007721FB">
        <w:rPr>
          <w:rFonts w:ascii="Times New Roman" w:hAnsi="Times New Roman" w:cs="Times New Roman"/>
          <w:sz w:val="24"/>
          <w:szCs w:val="24"/>
        </w:rPr>
        <w:t xml:space="preserve"> administration of FDA-approved recombinant parathyroid hormone (PTH) is limited to severe</w:t>
      </w:r>
      <w:r w:rsidR="00FD5EA6" w:rsidRPr="007721FB">
        <w:rPr>
          <w:rFonts w:ascii="Times New Roman" w:hAnsi="Times New Roman" w:cs="Times New Roman"/>
          <w:sz w:val="24"/>
          <w:szCs w:val="24"/>
        </w:rPr>
        <w:t xml:space="preserve"> cases of</w:t>
      </w:r>
      <w:r w:rsidR="00CF7635" w:rsidRPr="007721FB">
        <w:rPr>
          <w:rFonts w:ascii="Times New Roman" w:hAnsi="Times New Roman" w:cs="Times New Roman"/>
          <w:sz w:val="24"/>
          <w:szCs w:val="24"/>
        </w:rPr>
        <w:t xml:space="preserve"> osteoporosis and for a maximum period of </w:t>
      </w:r>
      <w:r w:rsidR="00FD5EA6" w:rsidRPr="007721FB">
        <w:rPr>
          <w:rFonts w:ascii="Times New Roman" w:hAnsi="Times New Roman" w:cs="Times New Roman"/>
          <w:sz w:val="24"/>
          <w:szCs w:val="24"/>
        </w:rPr>
        <w:t>2</w:t>
      </w:r>
      <w:r w:rsidR="00CF7635" w:rsidRPr="007721FB">
        <w:rPr>
          <w:rFonts w:ascii="Times New Roman" w:hAnsi="Times New Roman" w:cs="Times New Roman"/>
          <w:sz w:val="24"/>
          <w:szCs w:val="24"/>
        </w:rPr>
        <w:t xml:space="preserve"> years, owing to the increased risk of developing osteosarcoma as a side effect</w:t>
      </w:r>
      <w:r w:rsidR="00496BD7" w:rsidRPr="007721FB">
        <w:rPr>
          <w:rFonts w:ascii="Times New Roman" w:hAnsi="Times New Roman" w:cs="Times New Roman"/>
          <w:sz w:val="24"/>
          <w:szCs w:val="24"/>
        </w:rPr>
        <w:t xml:space="preserve"> </w:t>
      </w:r>
      <w:r w:rsidR="00CF7635" w:rsidRPr="007721FB">
        <w:rPr>
          <w:rFonts w:ascii="Times New Roman" w:hAnsi="Times New Roman" w:cs="Times New Roman"/>
          <w:sz w:val="24"/>
          <w:szCs w:val="24"/>
        </w:rPr>
        <w:fldChar w:fldCharType="begin" w:fldLock="1"/>
      </w:r>
      <w:r w:rsidR="00773B7A" w:rsidRPr="007721FB">
        <w:rPr>
          <w:rFonts w:ascii="Times New Roman" w:hAnsi="Times New Roman" w:cs="Times New Roman"/>
          <w:sz w:val="24"/>
          <w:szCs w:val="24"/>
        </w:rPr>
        <w:instrText>ADDIN CSL_CITATION { "citationItems" : [ { "id" : "ITEM-1", "itemData" : { "DOI" : "10.1080/01926230252929882", "ISBN" : "0192-6233 (Print)\\r0192-6233 (Linking)", "ISSN" : "0192-6233", "PMID" : "12051548", "abstract" : "Fischer 344 rats (60/sex/group) were given daily subcutaneous injections of recombinant human parathyroid hormone (PTH)(1-34) for 2 years at doses of 0, 5, 30, or 75 microg/kg. Treatment caused substantial increases in bone mass consistent with the known pharmacologic effects of once-daily administration. As determined by quantitative computed tomography (QCT) and histomorphometry, bone mass was markedly increased. Substantial new bone formation resulted in a large decrease in marrow space accompanied by altered bone architecture. Bone proliferative lesions were observed in all PTH( 1-34)-treated groups. Osteosarcoma occurred in 3, 21, and 31 male rats and in 4, 12, and 23 female rats in the 5-, 30-, and 75-microg/kg treatment groups, respectively. Focal osteoblast hyperplasia, osteoma, and osteoblastoma were much less frequent. Although the specific cellular or molecular mechanisms responsible for the rat bone tumors have not been fully elucidated, the data suggest that these lesions resulted from the long duration of treatment and the exaggerated pharmacologic response of the rat skeleton to daily treatment with PTH(1-34). Important differences between the rat study and clinical use in adult humans suggest that the increased incidence of bone neoplasia in rats treated for 2 years is likely not predictive of an increased risk of bone cancer in skeletally mature adult humans being given PTH(1-34) for a limited period of time in the treatment of osteoporosis.", "author" : [ { "dropping-particle" : "", "family" : "Vahle", "given" : "John L", "non-dropping-particle" : "", "parse-names" : false, "suffix" : "" }, { "dropping-particle" : "", "family" : "Sato", "given" : "Masahiko", "non-dropping-particle" : "", "parse-names" : false, "suffix" : "" }, { "dropping-particle" : "", "family" : "Long", "given" : "Gerald G", "non-dropping-particle" : "", "parse-names" : false, "suffix" : "" }, { "dropping-particle" : "", "family" : "Young", "given" : "Jamie K", "non-dropping-particle" : "", "parse-names" : false, "suffix" : "" }, { "dropping-particle" : "", "family" : "Francis", "given" : "Paul C", "non-dropping-particle" : "", "parse-names" : false, "suffix" : "" }, { "dropping-particle" : "", "family" : "Engelhardt", "given" : "Jeffery a", "non-dropping-particle" : "", "parse-names" : false, "suffix" : "" }, { "dropping-particle" : "", "family" : "Westmore", "given" : "Michael S", "non-dropping-particle" : "", "parse-names" : false, "suffix" : "" }, { "dropping-particle" : "", "family" : "Linda", "given" : "Yanfei", "non-dropping-particle" : "", "parse-names" : false, "suffix" : "" }, { "dropping-particle" : "", "family" : "Nold", "given" : "James B", "non-dropping-particle" : "", "parse-names" : false, "suffix" : "" } ], "container-title" : "Toxicologic pathology", "id" : "ITEM-1", "issue" : "3", "issued" : { "date-parts" : [ [ "2002" ] ] }, "page" : "312-321", "title" : "Skeletal changes in rats given daily subcutaneous injections of recombinant human parathyroid hormone (1-34) for 2 years and relevance to human safety.", "type" : "article-journal", "volume" : "30" }, "uris" : [ "http://www.mendeley.com/documents/?uuid=86806cee-8315-47ad-87f5-5ff1b1fb0334", "http://www.mendeley.com/documents/?uuid=06522167-2c3c-4b4e-9f20-bf5e99ca112b" ] } ], "mendeley" : { "formattedCitation" : "[5]", "plainTextFormattedCitation" : "[5]", "previouslyFormattedCitation" : "[5]" }, "properties" : { "noteIndex" : 0 }, "schema" : "https://github.com/citation-style-language/schema/raw/master/csl-citation.json" }</w:instrText>
      </w:r>
      <w:r w:rsidR="00CF7635" w:rsidRPr="007721FB">
        <w:rPr>
          <w:rFonts w:ascii="Times New Roman" w:hAnsi="Times New Roman" w:cs="Times New Roman"/>
          <w:sz w:val="24"/>
          <w:szCs w:val="24"/>
        </w:rPr>
        <w:fldChar w:fldCharType="separate"/>
      </w:r>
      <w:r w:rsidR="00773B7A" w:rsidRPr="007721FB">
        <w:rPr>
          <w:rFonts w:ascii="Times New Roman" w:hAnsi="Times New Roman" w:cs="Times New Roman"/>
          <w:noProof/>
          <w:sz w:val="24"/>
          <w:szCs w:val="24"/>
        </w:rPr>
        <w:t>[5]</w:t>
      </w:r>
      <w:r w:rsidR="00CF7635" w:rsidRPr="007721FB">
        <w:rPr>
          <w:rFonts w:ascii="Times New Roman" w:hAnsi="Times New Roman" w:cs="Times New Roman"/>
          <w:sz w:val="24"/>
          <w:szCs w:val="24"/>
        </w:rPr>
        <w:fldChar w:fldCharType="end"/>
      </w:r>
      <w:r w:rsidR="00496BD7" w:rsidRPr="007721FB">
        <w:rPr>
          <w:rFonts w:ascii="Times New Roman" w:hAnsi="Times New Roman" w:cs="Times New Roman"/>
          <w:sz w:val="24"/>
          <w:szCs w:val="24"/>
        </w:rPr>
        <w:t>.</w:t>
      </w:r>
      <w:r w:rsidR="00CF7635" w:rsidRPr="007721FB">
        <w:rPr>
          <w:rFonts w:ascii="Times New Roman" w:hAnsi="Times New Roman" w:cs="Times New Roman"/>
          <w:sz w:val="24"/>
          <w:szCs w:val="24"/>
        </w:rPr>
        <w:t xml:space="preserve"> </w:t>
      </w:r>
      <w:r w:rsidR="004A47D3" w:rsidRPr="007721FB">
        <w:rPr>
          <w:rFonts w:ascii="Times New Roman" w:hAnsi="Times New Roman" w:cs="Times New Roman"/>
          <w:sz w:val="24"/>
          <w:szCs w:val="24"/>
        </w:rPr>
        <w:t>Likewise</w:t>
      </w:r>
      <w:r w:rsidR="00CF7635" w:rsidRPr="007721FB">
        <w:rPr>
          <w:rFonts w:ascii="Times New Roman" w:hAnsi="Times New Roman" w:cs="Times New Roman"/>
          <w:sz w:val="24"/>
          <w:szCs w:val="24"/>
        </w:rPr>
        <w:t>,</w:t>
      </w:r>
      <w:r w:rsidR="004A47D3" w:rsidRPr="007721FB">
        <w:rPr>
          <w:rFonts w:ascii="Times New Roman" w:hAnsi="Times New Roman" w:cs="Times New Roman"/>
          <w:sz w:val="24"/>
          <w:szCs w:val="24"/>
        </w:rPr>
        <w:t xml:space="preserve"> the</w:t>
      </w:r>
      <w:r w:rsidR="00CF7635" w:rsidRPr="007721FB">
        <w:rPr>
          <w:rFonts w:ascii="Times New Roman" w:hAnsi="Times New Roman" w:cs="Times New Roman"/>
          <w:sz w:val="24"/>
          <w:szCs w:val="24"/>
        </w:rPr>
        <w:t xml:space="preserve"> oral administration of antiresorptive bisphosphonates has been reported to induce gastric ulcer and osteonecrosis of the jaw</w:t>
      </w:r>
      <w:r w:rsidR="00496BD7" w:rsidRPr="007721FB">
        <w:rPr>
          <w:rFonts w:ascii="Times New Roman" w:hAnsi="Times New Roman" w:cs="Times New Roman"/>
          <w:sz w:val="24"/>
          <w:szCs w:val="24"/>
        </w:rPr>
        <w:t xml:space="preserve"> </w:t>
      </w:r>
      <w:r w:rsidR="00CF7635" w:rsidRPr="007721FB">
        <w:rPr>
          <w:rFonts w:ascii="Times New Roman" w:hAnsi="Times New Roman" w:cs="Times New Roman"/>
          <w:sz w:val="24"/>
          <w:szCs w:val="24"/>
        </w:rPr>
        <w:fldChar w:fldCharType="begin" w:fldLock="1"/>
      </w:r>
      <w:r w:rsidR="00773B7A" w:rsidRPr="007721FB">
        <w:rPr>
          <w:rFonts w:ascii="Times New Roman" w:hAnsi="Times New Roman" w:cs="Times New Roman"/>
          <w:sz w:val="24"/>
          <w:szCs w:val="24"/>
        </w:rPr>
        <w:instrText>ADDIN CSL_CITATION { "citationItems" : [ { "id" : "ITEM-1", "itemData" : { "ISBN" : "0002-8177 (Print)\\r0002-8177 (Linking)", "ISSN" : "0002-8177; 0002-8177", "PMID" : "16873327", "abstract" : "BACKGROUND: Bisphosphonates are becoming recognized increasingly as having a significant impact on dental therapies. This case report describes adverse clinical sequelae and successful treatment following periodontal surgery in a dental patient receiving bisphosphonate treatment. CASE DESCRIPTION: A 78-year-old woman experienced a nonhealing interproximal wound subsequent to a minor periodontal procedure performed to facilitate restoration of an adjacent tooth. Her medical history revealed that she had been taking an oral bisphosphonate every day for the previous five years for treatment of osteoporosis. After three months of periodic debridement and meticulous oral home care, one of the authors recovered a large piece of necrotic bone. The wound healed after the author performed surgery at the site. CLINICAL IMPLICATIONS: Dentists should exercise caution when considering surgical procedures for patients with a history of oral bisphosphonate use. Thorough treatment of nonhealing wounds in these patients can lead to favorable outcomes", "author" : [ { "dropping-particle" : "", "family" : "Nase", "given" : "J B", "non-dropping-particle" : "", "parse-names" : false, "suffix" : "" }, { "dropping-particle" : "", "family" : "Suzuki", "given" : "J B", "non-dropping-particle" : "", "parse-names" : false, "suffix" : "" } ], "container-title" : "J.Am.Dent.Assoc.", "id" : "ITEM-1", "issue" : "0002-8177 (Print)", "issued" : { "date-parts" : [ [ "2006" ] ] }, "page" : "1115-1119", "title" : "Osteonecrosis of the jaw and oral bisphosphonate treatment", "type" : "article-journal", "volume" : "137" }, "uris" : [ "http://www.mendeley.com/documents/?uuid=a5312375-0d29-4302-8916-dd8803bb0644", "http://www.mendeley.com/documents/?uuid=1cd98d6e-1760-451c-8e8e-314188b30351" ] }, { "id" : "ITEM-2", "itemData" : { "DOI" : "10.1023/A:1016495221567", "ISBN" : "0163-2116 (Print)\\r0163-2116 (Linking)", "ISSN" : "01632116", "PMID" : "12184516", "abstract" : "Bisphosphonates are widely prescribed to treat Paget's disease of the bone and to prevent and treat osteoporosis. Soon after the release of alendronate, esophagitis and esophageal strictures were encountered, resulting in labeling changes. Subsequent endoscopic studies in normal subjects showed that alendronate also caused gastric erosions and ulcers. Although the clinical significance of these is still uncertain, the anatomic distribution of both the gastric ulcers and esophageal damage is consistent with a topical irritant effect. Recent data also suggest a synergistic ulcerogenic potential of concurrent alendronate and NSAID use. A 70-mg once-weekly dosage form of alendronate has recently been approved and clinical experience with its gastrointestinal tolerability is ongoing. Risedronate, a third-generation bisphosphonate, appears to have less ulcerogenic potential than alendronate, and esophageal stricture has not been reported. Experience with the bisphosphonates provide a paradigm for the critical role of endoscopists in evaluating the gastrointestinal profile of new drugs. As bisphosphonates are more widely prescribed and more types of bisphosphonates are developed, the role of the gastroenterologist is likely to assume even more importance", "author" : [ { "dropping-particle" : "", "family" : "Graham", "given" : "David Y.", "non-dropping-particle" : "", "parse-names" : false, "suffix" : "" } ], "container-title" : "Digestive Diseases and Sciences", "id" : "ITEM-2", "issue" : "8", "issued" : { "date-parts" : [ [ "2002" ] ] }, "page" : "1665-1678", "title" : "What the gastroenterologist should know about the gastrointestinal safety profiles of bisphosphonates", "type" : "article-journal", "volume" : "47" }, "uris" : [ "http://www.mendeley.com/documents/?uuid=67ca22e2-0b09-4426-a90a-532c8b4177da", "http://www.mendeley.com/documents/?uuid=d5f4a739-95ab-4675-9db5-05450e2bc5a6" ] } ], "mendeley" : { "formattedCitation" : "[6,7]", "plainTextFormattedCitation" : "[6,7]", "previouslyFormattedCitation" : "[6,7]" }, "properties" : { "noteIndex" : 0 }, "schema" : "https://github.com/citation-style-language/schema/raw/master/csl-citation.json" }</w:instrText>
      </w:r>
      <w:r w:rsidR="00CF7635" w:rsidRPr="007721FB">
        <w:rPr>
          <w:rFonts w:ascii="Times New Roman" w:hAnsi="Times New Roman" w:cs="Times New Roman"/>
          <w:sz w:val="24"/>
          <w:szCs w:val="24"/>
        </w:rPr>
        <w:fldChar w:fldCharType="separate"/>
      </w:r>
      <w:r w:rsidR="00773B7A" w:rsidRPr="007721FB">
        <w:rPr>
          <w:rFonts w:ascii="Times New Roman" w:hAnsi="Times New Roman" w:cs="Times New Roman"/>
          <w:noProof/>
          <w:sz w:val="24"/>
          <w:szCs w:val="24"/>
        </w:rPr>
        <w:t>[6,7]</w:t>
      </w:r>
      <w:r w:rsidR="00CF7635" w:rsidRPr="007721FB">
        <w:rPr>
          <w:rFonts w:ascii="Times New Roman" w:hAnsi="Times New Roman" w:cs="Times New Roman"/>
          <w:sz w:val="24"/>
          <w:szCs w:val="24"/>
        </w:rPr>
        <w:fldChar w:fldCharType="end"/>
      </w:r>
      <w:r w:rsidR="00496BD7" w:rsidRPr="007721FB">
        <w:rPr>
          <w:rFonts w:ascii="Times New Roman" w:hAnsi="Times New Roman" w:cs="Times New Roman"/>
          <w:sz w:val="24"/>
          <w:szCs w:val="24"/>
        </w:rPr>
        <w:t>.</w:t>
      </w:r>
      <w:r w:rsidR="00CF7635" w:rsidRPr="007721FB">
        <w:rPr>
          <w:rFonts w:ascii="Times New Roman" w:hAnsi="Times New Roman" w:cs="Times New Roman"/>
          <w:sz w:val="24"/>
          <w:szCs w:val="24"/>
        </w:rPr>
        <w:t xml:space="preserve"> </w:t>
      </w:r>
      <w:r w:rsidR="004A47D3" w:rsidRPr="007721FB">
        <w:rPr>
          <w:rFonts w:ascii="Times New Roman" w:hAnsi="Times New Roman" w:cs="Times New Roman"/>
          <w:sz w:val="24"/>
          <w:szCs w:val="24"/>
        </w:rPr>
        <w:t>In the case of bone diseases that require</w:t>
      </w:r>
      <w:r w:rsidR="000551B8" w:rsidRPr="007721FB">
        <w:rPr>
          <w:rFonts w:ascii="Times New Roman" w:hAnsi="Times New Roman" w:cs="Times New Roman"/>
          <w:sz w:val="24"/>
          <w:szCs w:val="24"/>
        </w:rPr>
        <w:t xml:space="preserve"> immediate treatment</w:t>
      </w:r>
      <w:r w:rsidR="00CF7635" w:rsidRPr="007721FB">
        <w:rPr>
          <w:rFonts w:ascii="Times New Roman" w:hAnsi="Times New Roman" w:cs="Times New Roman"/>
          <w:sz w:val="24"/>
          <w:szCs w:val="24"/>
        </w:rPr>
        <w:t xml:space="preserve"> such as osteosarcoma, the access of systemically administered pharmaceutics to</w:t>
      </w:r>
      <w:r w:rsidR="003779BB" w:rsidRPr="007721FB">
        <w:rPr>
          <w:rFonts w:ascii="Times New Roman" w:hAnsi="Times New Roman" w:cs="Times New Roman"/>
          <w:sz w:val="24"/>
          <w:szCs w:val="24"/>
        </w:rPr>
        <w:t xml:space="preserve"> the</w:t>
      </w:r>
      <w:r w:rsidR="00CF7635" w:rsidRPr="007721FB">
        <w:rPr>
          <w:rFonts w:ascii="Times New Roman" w:hAnsi="Times New Roman" w:cs="Times New Roman"/>
          <w:sz w:val="24"/>
          <w:szCs w:val="24"/>
        </w:rPr>
        <w:t xml:space="preserve"> tumor is also physically hindered due to the existence of a denser osteoid. Such limitation adds on to the common side-effects underlying chemotherapeutics systemic administration</w:t>
      </w:r>
      <w:r w:rsidR="00496BD7" w:rsidRPr="007721FB">
        <w:rPr>
          <w:rFonts w:ascii="Times New Roman" w:hAnsi="Times New Roman" w:cs="Times New Roman"/>
          <w:sz w:val="24"/>
          <w:szCs w:val="24"/>
        </w:rPr>
        <w:t xml:space="preserve"> </w:t>
      </w:r>
      <w:r w:rsidR="00CF7635" w:rsidRPr="007721FB">
        <w:rPr>
          <w:rFonts w:ascii="Times New Roman" w:hAnsi="Times New Roman" w:cs="Times New Roman"/>
          <w:sz w:val="24"/>
          <w:szCs w:val="24"/>
        </w:rPr>
        <w:fldChar w:fldCharType="begin" w:fldLock="1"/>
      </w:r>
      <w:r w:rsidR="00773B7A" w:rsidRPr="007721FB">
        <w:rPr>
          <w:rFonts w:ascii="Times New Roman" w:hAnsi="Times New Roman" w:cs="Times New Roman"/>
          <w:sz w:val="24"/>
          <w:szCs w:val="24"/>
        </w:rPr>
        <w:instrText>ADDIN CSL_CITATION { "citationItems" : [ { "id" : "ITEM-1", "itemData" : { "DOI" : "10.1016/j.ctrv.2013.11.006", "ISBN" : "1532-1967 (Electronic)\\r0305-7372 (Linking)", "ISSN" : "03057372", "PMID" : "24345772", "abstract" : "Long-term outcome for patients with high-grade osteosarcoma has improved with the addition of systemic chemotherapy, but subsequent progress has been less marked. Modern, multiagent, dose-intensive chemotherapy in conjunction with surgery achieves a 5-year event-free survival of 60-70% in extremity localized, non-metastatic disease. A major, as yet unsolved, problem is the poor prognosis for metastatic relapse or recurrence, and for patients with axial disease. This article reviews the current state of the art of systemic osteosarcoma therapy by focusing on the experiences of cooperative osteosarcoma groups. Also, we shed light on questions and challenges posed by the aggressiveness of the tumor, and we consider potential future directions that may be critical to progress in the prognosis of high-grade osteosarcoma. ?? 2014.", "author" : [ { "dropping-particle" : "", "family" : "Luetke", "given" : "Anja", "non-dropping-particle" : "", "parse-names" : false, "suffix" : "" }, { "dropping-particle" : "", "family" : "Meyers", "given" : "Paul A.", "non-dropping-particle" : "", "parse-names" : false, "suffix" : "" }, { "dropping-particle" : "", "family" : "Lewis", "given" : "Ian", "non-dropping-particle" : "", "parse-names" : false, "suffix" : "" }, { "dropping-particle" : "", "family" : "Juergens", "given" : "Heribert", "non-dropping-particle" : "", "parse-names" : false, "suffix" : "" } ], "container-title" : "Cancer Treatment Reviews", "id" : "ITEM-1", "issue" : "4", "issued" : { "date-parts" : [ [ "2014" ] ] }, "page" : "523-532", "publisher" : "Elsevier Ltd", "title" : "Osteosarcoma treatment - Where do we stand? A state of the art review", "type" : "article-journal", "volume" : "40" }, "uris" : [ "http://www.mendeley.com/documents/?uuid=e6993c30-6ecf-4386-9616-7c4a64b4fdcc", "http://www.mendeley.com/documents/?uuid=0a4e44c5-c9f5-47aa-a8ea-5be77d224e83" ] } ], "mendeley" : { "formattedCitation" : "[8]", "plainTextFormattedCitation" : "[8]", "previouslyFormattedCitation" : "[8]" }, "properties" : { "noteIndex" : 0 }, "schema" : "https://github.com/citation-style-language/schema/raw/master/csl-citation.json" }</w:instrText>
      </w:r>
      <w:r w:rsidR="00CF7635" w:rsidRPr="007721FB">
        <w:rPr>
          <w:rFonts w:ascii="Times New Roman" w:hAnsi="Times New Roman" w:cs="Times New Roman"/>
          <w:sz w:val="24"/>
          <w:szCs w:val="24"/>
        </w:rPr>
        <w:fldChar w:fldCharType="separate"/>
      </w:r>
      <w:r w:rsidR="00773B7A" w:rsidRPr="007721FB">
        <w:rPr>
          <w:rFonts w:ascii="Times New Roman" w:hAnsi="Times New Roman" w:cs="Times New Roman"/>
          <w:noProof/>
          <w:sz w:val="24"/>
          <w:szCs w:val="24"/>
        </w:rPr>
        <w:t>[8]</w:t>
      </w:r>
      <w:r w:rsidR="00CF7635" w:rsidRPr="007721FB">
        <w:rPr>
          <w:rFonts w:ascii="Times New Roman" w:hAnsi="Times New Roman" w:cs="Times New Roman"/>
          <w:sz w:val="24"/>
          <w:szCs w:val="24"/>
        </w:rPr>
        <w:fldChar w:fldCharType="end"/>
      </w:r>
      <w:r w:rsidR="00496BD7" w:rsidRPr="007721FB">
        <w:rPr>
          <w:rFonts w:ascii="Times New Roman" w:hAnsi="Times New Roman" w:cs="Times New Roman"/>
          <w:sz w:val="24"/>
          <w:szCs w:val="24"/>
        </w:rPr>
        <w:t>.</w:t>
      </w:r>
    </w:p>
    <w:p w14:paraId="6320A427" w14:textId="1112EE01" w:rsidR="00AA5247" w:rsidRPr="007721FB" w:rsidRDefault="00FD5EA6" w:rsidP="00EE0E61">
      <w:pPr>
        <w:spacing w:after="0" w:line="240" w:lineRule="auto"/>
        <w:jc w:val="both"/>
        <w:rPr>
          <w:rFonts w:ascii="Times New Roman" w:hAnsi="Times New Roman" w:cs="Times New Roman"/>
          <w:sz w:val="24"/>
          <w:szCs w:val="24"/>
        </w:rPr>
      </w:pPr>
      <w:r w:rsidRPr="007721FB">
        <w:rPr>
          <w:rFonts w:ascii="Times New Roman" w:hAnsi="Times New Roman" w:cs="Times New Roman"/>
          <w:sz w:val="24"/>
          <w:szCs w:val="24"/>
        </w:rPr>
        <w:t xml:space="preserve">   </w:t>
      </w:r>
      <w:r w:rsidR="001018D9" w:rsidRPr="007721FB">
        <w:rPr>
          <w:rFonts w:ascii="Times New Roman" w:hAnsi="Times New Roman" w:cs="Times New Roman"/>
          <w:sz w:val="24"/>
          <w:szCs w:val="24"/>
        </w:rPr>
        <w:t>T</w:t>
      </w:r>
      <w:r w:rsidR="004A47D3" w:rsidRPr="007721FB">
        <w:rPr>
          <w:rFonts w:ascii="Times New Roman" w:hAnsi="Times New Roman" w:cs="Times New Roman"/>
          <w:sz w:val="24"/>
          <w:szCs w:val="24"/>
        </w:rPr>
        <w:t>he</w:t>
      </w:r>
      <w:r w:rsidR="00AA5247" w:rsidRPr="007721FB">
        <w:rPr>
          <w:rFonts w:ascii="Times New Roman" w:hAnsi="Times New Roman" w:cs="Times New Roman"/>
          <w:sz w:val="24"/>
          <w:szCs w:val="24"/>
        </w:rPr>
        <w:t xml:space="preserve"> challenge of administering bioactive </w:t>
      </w:r>
      <w:r w:rsidR="007D0AF8" w:rsidRPr="007721FB">
        <w:rPr>
          <w:rFonts w:ascii="Times New Roman" w:hAnsi="Times New Roman" w:cs="Times New Roman"/>
          <w:sz w:val="24"/>
          <w:szCs w:val="24"/>
        </w:rPr>
        <w:t>molecules</w:t>
      </w:r>
      <w:r w:rsidR="00AA5247" w:rsidRPr="007721FB">
        <w:rPr>
          <w:rFonts w:ascii="Times New Roman" w:hAnsi="Times New Roman" w:cs="Times New Roman"/>
          <w:sz w:val="24"/>
          <w:szCs w:val="24"/>
        </w:rPr>
        <w:t xml:space="preserve"> to</w:t>
      </w:r>
      <w:r w:rsidR="0045707A" w:rsidRPr="007721FB">
        <w:rPr>
          <w:rFonts w:ascii="Times New Roman" w:hAnsi="Times New Roman" w:cs="Times New Roman"/>
          <w:sz w:val="24"/>
          <w:szCs w:val="24"/>
        </w:rPr>
        <w:t xml:space="preserve"> diseased</w:t>
      </w:r>
      <w:r w:rsidR="00AA5247" w:rsidRPr="007721FB">
        <w:rPr>
          <w:rFonts w:ascii="Times New Roman" w:hAnsi="Times New Roman" w:cs="Times New Roman"/>
          <w:sz w:val="24"/>
          <w:szCs w:val="24"/>
        </w:rPr>
        <w:t xml:space="preserve"> bone tissues lies in</w:t>
      </w:r>
      <w:r w:rsidR="005533E1" w:rsidRPr="007721FB">
        <w:rPr>
          <w:rFonts w:ascii="Times New Roman" w:hAnsi="Times New Roman" w:cs="Times New Roman"/>
          <w:sz w:val="24"/>
          <w:szCs w:val="24"/>
        </w:rPr>
        <w:t xml:space="preserve"> </w:t>
      </w:r>
      <w:r w:rsidR="00073C7F" w:rsidRPr="007721FB">
        <w:rPr>
          <w:rFonts w:ascii="Times New Roman" w:hAnsi="Times New Roman" w:cs="Times New Roman"/>
          <w:sz w:val="24"/>
          <w:szCs w:val="24"/>
        </w:rPr>
        <w:t>attaining</w:t>
      </w:r>
      <w:r w:rsidR="000551B8" w:rsidRPr="007721FB">
        <w:rPr>
          <w:rFonts w:ascii="Times New Roman" w:hAnsi="Times New Roman" w:cs="Times New Roman"/>
          <w:sz w:val="24"/>
          <w:szCs w:val="24"/>
        </w:rPr>
        <w:t xml:space="preserve"> an optimal</w:t>
      </w:r>
      <w:r w:rsidR="00F0221A" w:rsidRPr="007721FB">
        <w:rPr>
          <w:rFonts w:ascii="Times New Roman" w:hAnsi="Times New Roman" w:cs="Times New Roman"/>
          <w:sz w:val="24"/>
          <w:szCs w:val="24"/>
        </w:rPr>
        <w:t xml:space="preserve"> compromise between</w:t>
      </w:r>
      <w:r w:rsidR="007C3850" w:rsidRPr="007721FB">
        <w:rPr>
          <w:rFonts w:ascii="Times New Roman" w:hAnsi="Times New Roman" w:cs="Times New Roman"/>
          <w:sz w:val="24"/>
          <w:szCs w:val="24"/>
        </w:rPr>
        <w:t>: (i)</w:t>
      </w:r>
      <w:r w:rsidR="00F0221A" w:rsidRPr="007721FB">
        <w:rPr>
          <w:rFonts w:ascii="Times New Roman" w:hAnsi="Times New Roman" w:cs="Times New Roman"/>
          <w:sz w:val="24"/>
          <w:szCs w:val="24"/>
        </w:rPr>
        <w:t xml:space="preserve"> pharmacokinetic/pharmacodynamic (PK/PD)</w:t>
      </w:r>
      <w:r w:rsidR="0045707A" w:rsidRPr="007721FB">
        <w:rPr>
          <w:rFonts w:ascii="Times New Roman" w:hAnsi="Times New Roman" w:cs="Times New Roman"/>
          <w:sz w:val="24"/>
          <w:szCs w:val="24"/>
        </w:rPr>
        <w:t xml:space="preserve"> parameters</w:t>
      </w:r>
      <w:r w:rsidR="00F0221A" w:rsidRPr="007721FB">
        <w:rPr>
          <w:rFonts w:ascii="Times New Roman" w:hAnsi="Times New Roman" w:cs="Times New Roman"/>
          <w:sz w:val="24"/>
          <w:szCs w:val="24"/>
        </w:rPr>
        <w:t>,</w:t>
      </w:r>
      <w:r w:rsidR="007C3850" w:rsidRPr="007721FB">
        <w:rPr>
          <w:rFonts w:ascii="Times New Roman" w:hAnsi="Times New Roman" w:cs="Times New Roman"/>
          <w:sz w:val="24"/>
          <w:szCs w:val="24"/>
        </w:rPr>
        <w:t xml:space="preserve"> (ii)</w:t>
      </w:r>
      <w:r w:rsidR="0045707A" w:rsidRPr="007721FB">
        <w:rPr>
          <w:rFonts w:ascii="Times New Roman" w:hAnsi="Times New Roman" w:cs="Times New Roman"/>
          <w:sz w:val="24"/>
          <w:szCs w:val="24"/>
        </w:rPr>
        <w:t xml:space="preserve"> the administered dos</w:t>
      </w:r>
      <w:r w:rsidR="00D463D3" w:rsidRPr="007721FB">
        <w:rPr>
          <w:rFonts w:ascii="Times New Roman" w:hAnsi="Times New Roman" w:cs="Times New Roman"/>
          <w:sz w:val="24"/>
          <w:szCs w:val="24"/>
        </w:rPr>
        <w:t>e</w:t>
      </w:r>
      <w:r w:rsidR="0045707A" w:rsidRPr="007721FB">
        <w:rPr>
          <w:rFonts w:ascii="Times New Roman" w:hAnsi="Times New Roman" w:cs="Times New Roman"/>
          <w:sz w:val="24"/>
          <w:szCs w:val="24"/>
        </w:rPr>
        <w:t>,</w:t>
      </w:r>
      <w:r w:rsidR="007C3850" w:rsidRPr="007721FB">
        <w:rPr>
          <w:rFonts w:ascii="Times New Roman" w:hAnsi="Times New Roman" w:cs="Times New Roman"/>
          <w:sz w:val="24"/>
          <w:szCs w:val="24"/>
        </w:rPr>
        <w:t xml:space="preserve"> (iii) </w:t>
      </w:r>
      <w:r w:rsidR="007D0AF8" w:rsidRPr="007721FB">
        <w:rPr>
          <w:rFonts w:ascii="Times New Roman" w:hAnsi="Times New Roman" w:cs="Times New Roman"/>
          <w:sz w:val="24"/>
          <w:szCs w:val="24"/>
        </w:rPr>
        <w:t>the existence</w:t>
      </w:r>
      <w:r w:rsidR="00743880" w:rsidRPr="007721FB">
        <w:rPr>
          <w:rFonts w:ascii="Times New Roman" w:hAnsi="Times New Roman" w:cs="Times New Roman"/>
          <w:sz w:val="24"/>
          <w:szCs w:val="24"/>
        </w:rPr>
        <w:t xml:space="preserve"> of</w:t>
      </w:r>
      <w:r w:rsidR="00D463D3" w:rsidRPr="007721FB">
        <w:rPr>
          <w:rFonts w:ascii="Times New Roman" w:hAnsi="Times New Roman" w:cs="Times New Roman"/>
          <w:sz w:val="24"/>
          <w:szCs w:val="24"/>
        </w:rPr>
        <w:t xml:space="preserve"> off-target</w:t>
      </w:r>
      <w:r w:rsidR="00743880" w:rsidRPr="007721FB">
        <w:rPr>
          <w:rFonts w:ascii="Times New Roman" w:hAnsi="Times New Roman" w:cs="Times New Roman"/>
          <w:sz w:val="24"/>
          <w:szCs w:val="24"/>
        </w:rPr>
        <w:t xml:space="preserve"> </w:t>
      </w:r>
      <w:r w:rsidR="005A1543" w:rsidRPr="007721FB">
        <w:rPr>
          <w:rFonts w:ascii="Times New Roman" w:hAnsi="Times New Roman" w:cs="Times New Roman"/>
          <w:sz w:val="24"/>
          <w:szCs w:val="24"/>
        </w:rPr>
        <w:t>side-</w:t>
      </w:r>
      <w:r w:rsidR="00FD0DF0" w:rsidRPr="007721FB">
        <w:rPr>
          <w:rFonts w:ascii="Times New Roman" w:hAnsi="Times New Roman" w:cs="Times New Roman"/>
          <w:sz w:val="24"/>
          <w:szCs w:val="24"/>
        </w:rPr>
        <w:t>effects</w:t>
      </w:r>
      <w:r w:rsidR="005533E1" w:rsidRPr="007721FB">
        <w:rPr>
          <w:rFonts w:ascii="Times New Roman" w:hAnsi="Times New Roman" w:cs="Times New Roman"/>
          <w:sz w:val="24"/>
          <w:szCs w:val="24"/>
        </w:rPr>
        <w:t xml:space="preserve"> (e.g., nephrotoxicity, </w:t>
      </w:r>
      <w:r w:rsidR="00073C7F" w:rsidRPr="007721FB">
        <w:rPr>
          <w:rFonts w:ascii="Times New Roman" w:hAnsi="Times New Roman" w:cs="Times New Roman"/>
          <w:sz w:val="24"/>
          <w:szCs w:val="24"/>
        </w:rPr>
        <w:t>cardiotoxicity</w:t>
      </w:r>
      <w:r w:rsidR="005533E1" w:rsidRPr="007721FB">
        <w:rPr>
          <w:rFonts w:ascii="Times New Roman" w:hAnsi="Times New Roman" w:cs="Times New Roman"/>
          <w:sz w:val="24"/>
          <w:szCs w:val="24"/>
        </w:rPr>
        <w:t>, etc)</w:t>
      </w:r>
      <w:r w:rsidR="00FD0DF0" w:rsidRPr="007721FB">
        <w:rPr>
          <w:rFonts w:ascii="Times New Roman" w:hAnsi="Times New Roman" w:cs="Times New Roman"/>
          <w:sz w:val="24"/>
          <w:szCs w:val="24"/>
        </w:rPr>
        <w:t>,</w:t>
      </w:r>
      <w:r w:rsidR="007C3850" w:rsidRPr="007721FB">
        <w:rPr>
          <w:rFonts w:ascii="Times New Roman" w:hAnsi="Times New Roman" w:cs="Times New Roman"/>
          <w:sz w:val="24"/>
          <w:szCs w:val="24"/>
        </w:rPr>
        <w:t xml:space="preserve"> (iv)</w:t>
      </w:r>
      <w:r w:rsidR="00FD0DF0" w:rsidRPr="007721FB">
        <w:rPr>
          <w:rFonts w:ascii="Times New Roman" w:hAnsi="Times New Roman" w:cs="Times New Roman"/>
          <w:sz w:val="24"/>
          <w:szCs w:val="24"/>
        </w:rPr>
        <w:t xml:space="preserve"> </w:t>
      </w:r>
      <w:r w:rsidR="007D0AF8" w:rsidRPr="007721FB">
        <w:rPr>
          <w:rFonts w:ascii="Times New Roman" w:hAnsi="Times New Roman" w:cs="Times New Roman"/>
          <w:sz w:val="24"/>
          <w:szCs w:val="24"/>
        </w:rPr>
        <w:t xml:space="preserve">the </w:t>
      </w:r>
      <w:r w:rsidR="0045707A" w:rsidRPr="007721FB">
        <w:rPr>
          <w:rFonts w:ascii="Times New Roman" w:hAnsi="Times New Roman" w:cs="Times New Roman"/>
          <w:sz w:val="24"/>
          <w:szCs w:val="24"/>
        </w:rPr>
        <w:t>overall treatment efficacy and</w:t>
      </w:r>
      <w:r w:rsidR="007C3850" w:rsidRPr="007721FB">
        <w:rPr>
          <w:rFonts w:ascii="Times New Roman" w:hAnsi="Times New Roman" w:cs="Times New Roman"/>
          <w:sz w:val="24"/>
          <w:szCs w:val="24"/>
        </w:rPr>
        <w:t>,</w:t>
      </w:r>
      <w:r w:rsidR="004A47D3" w:rsidRPr="007721FB">
        <w:rPr>
          <w:rFonts w:ascii="Times New Roman" w:hAnsi="Times New Roman" w:cs="Times New Roman"/>
          <w:sz w:val="24"/>
          <w:szCs w:val="24"/>
        </w:rPr>
        <w:t xml:space="preserve"> more importantly,</w:t>
      </w:r>
      <w:r w:rsidR="007C3850" w:rsidRPr="007721FB">
        <w:rPr>
          <w:rFonts w:ascii="Times New Roman" w:hAnsi="Times New Roman" w:cs="Times New Roman"/>
          <w:sz w:val="24"/>
          <w:szCs w:val="24"/>
        </w:rPr>
        <w:t xml:space="preserve"> (v)</w:t>
      </w:r>
      <w:r w:rsidR="007D0AF8" w:rsidRPr="007721FB">
        <w:rPr>
          <w:rFonts w:ascii="Times New Roman" w:hAnsi="Times New Roman" w:cs="Times New Roman"/>
          <w:sz w:val="24"/>
          <w:szCs w:val="24"/>
        </w:rPr>
        <w:t xml:space="preserve"> the</w:t>
      </w:r>
      <w:r w:rsidR="00222467" w:rsidRPr="007721FB">
        <w:rPr>
          <w:rFonts w:ascii="Times New Roman" w:hAnsi="Times New Roman" w:cs="Times New Roman"/>
          <w:sz w:val="24"/>
          <w:szCs w:val="24"/>
        </w:rPr>
        <w:t xml:space="preserve"> short or</w:t>
      </w:r>
      <w:r w:rsidR="0045707A" w:rsidRPr="007721FB">
        <w:rPr>
          <w:rFonts w:ascii="Times New Roman" w:hAnsi="Times New Roman" w:cs="Times New Roman"/>
          <w:sz w:val="24"/>
          <w:szCs w:val="24"/>
        </w:rPr>
        <w:t xml:space="preserve"> long-term</w:t>
      </w:r>
      <w:r w:rsidR="00222467" w:rsidRPr="007721FB">
        <w:rPr>
          <w:rFonts w:ascii="Times New Roman" w:hAnsi="Times New Roman" w:cs="Times New Roman"/>
          <w:sz w:val="24"/>
          <w:szCs w:val="24"/>
        </w:rPr>
        <w:t xml:space="preserve"> therapeutic</w:t>
      </w:r>
      <w:r w:rsidR="0045707A" w:rsidRPr="007721FB">
        <w:rPr>
          <w:rFonts w:ascii="Times New Roman" w:hAnsi="Times New Roman" w:cs="Times New Roman"/>
          <w:sz w:val="24"/>
          <w:szCs w:val="24"/>
        </w:rPr>
        <w:t xml:space="preserve"> outcome</w:t>
      </w:r>
      <w:r w:rsidR="00F0221A" w:rsidRPr="007721FB">
        <w:rPr>
          <w:rFonts w:ascii="Times New Roman" w:hAnsi="Times New Roman" w:cs="Times New Roman"/>
          <w:sz w:val="24"/>
          <w:szCs w:val="24"/>
        </w:rPr>
        <w:t xml:space="preserve">. </w:t>
      </w:r>
    </w:p>
    <w:p w14:paraId="1E62FE7C" w14:textId="075CEAFD" w:rsidR="00DB7FDB" w:rsidRPr="007721FB" w:rsidRDefault="005533E1" w:rsidP="00DB7FDB">
      <w:pPr>
        <w:spacing w:after="0" w:line="240" w:lineRule="auto"/>
        <w:jc w:val="both"/>
        <w:rPr>
          <w:rFonts w:ascii="Times New Roman" w:hAnsi="Times New Roman" w:cs="Times New Roman"/>
          <w:sz w:val="24"/>
          <w:szCs w:val="24"/>
        </w:rPr>
      </w:pPr>
      <w:r w:rsidRPr="007721FB">
        <w:rPr>
          <w:rFonts w:ascii="Times New Roman" w:hAnsi="Times New Roman" w:cs="Times New Roman"/>
          <w:sz w:val="24"/>
          <w:szCs w:val="24"/>
        </w:rPr>
        <w:t xml:space="preserve">   </w:t>
      </w:r>
      <w:r w:rsidR="00D87883" w:rsidRPr="007721FB">
        <w:rPr>
          <w:rFonts w:ascii="Times New Roman" w:hAnsi="Times New Roman" w:cs="Times New Roman"/>
          <w:sz w:val="24"/>
          <w:szCs w:val="24"/>
        </w:rPr>
        <w:t>To overcome such issues</w:t>
      </w:r>
      <w:r w:rsidRPr="007721FB">
        <w:rPr>
          <w:rFonts w:ascii="Times New Roman" w:hAnsi="Times New Roman" w:cs="Times New Roman"/>
          <w:sz w:val="24"/>
          <w:szCs w:val="24"/>
        </w:rPr>
        <w:t>,</w:t>
      </w:r>
      <w:r w:rsidR="00364175" w:rsidRPr="007721FB">
        <w:rPr>
          <w:rFonts w:ascii="Times New Roman" w:hAnsi="Times New Roman" w:cs="Times New Roman"/>
          <w:sz w:val="24"/>
          <w:szCs w:val="24"/>
        </w:rPr>
        <w:t xml:space="preserve"> the</w:t>
      </w:r>
      <w:r w:rsidR="00D87883" w:rsidRPr="007721FB">
        <w:rPr>
          <w:rFonts w:ascii="Times New Roman" w:hAnsi="Times New Roman" w:cs="Times New Roman"/>
          <w:sz w:val="24"/>
          <w:szCs w:val="24"/>
        </w:rPr>
        <w:t xml:space="preserve"> </w:t>
      </w:r>
      <w:r w:rsidR="00E204A4" w:rsidRPr="007721FB">
        <w:rPr>
          <w:rFonts w:ascii="Times New Roman" w:hAnsi="Times New Roman" w:cs="Times New Roman"/>
          <w:sz w:val="24"/>
          <w:szCs w:val="24"/>
        </w:rPr>
        <w:t>development of</w:t>
      </w:r>
      <w:r w:rsidR="00E57C0E" w:rsidRPr="007721FB">
        <w:rPr>
          <w:rFonts w:ascii="Times New Roman" w:hAnsi="Times New Roman" w:cs="Times New Roman"/>
          <w:sz w:val="24"/>
          <w:szCs w:val="24"/>
        </w:rPr>
        <w:t xml:space="preserve"> advanced</w:t>
      </w:r>
      <w:r w:rsidR="00AA5247" w:rsidRPr="007721FB">
        <w:rPr>
          <w:rFonts w:ascii="Times New Roman" w:hAnsi="Times New Roman" w:cs="Times New Roman"/>
          <w:sz w:val="24"/>
          <w:szCs w:val="24"/>
        </w:rPr>
        <w:t xml:space="preserve"> </w:t>
      </w:r>
      <w:r w:rsidR="00D87883" w:rsidRPr="007721FB">
        <w:rPr>
          <w:rFonts w:ascii="Times New Roman" w:hAnsi="Times New Roman" w:cs="Times New Roman"/>
          <w:sz w:val="24"/>
          <w:szCs w:val="24"/>
        </w:rPr>
        <w:t xml:space="preserve">nanosized carriers </w:t>
      </w:r>
      <w:r w:rsidR="00364175" w:rsidRPr="007721FB">
        <w:rPr>
          <w:rFonts w:ascii="Times New Roman" w:hAnsi="Times New Roman" w:cs="Times New Roman"/>
          <w:sz w:val="24"/>
          <w:szCs w:val="24"/>
        </w:rPr>
        <w:t>formulated</w:t>
      </w:r>
      <w:r w:rsidR="00F762AF" w:rsidRPr="007721FB">
        <w:rPr>
          <w:rFonts w:ascii="Times New Roman" w:hAnsi="Times New Roman" w:cs="Times New Roman"/>
          <w:sz w:val="24"/>
          <w:szCs w:val="24"/>
        </w:rPr>
        <w:t xml:space="preserve"> for</w:t>
      </w:r>
      <w:r w:rsidR="00AA5247" w:rsidRPr="007721FB">
        <w:rPr>
          <w:rFonts w:ascii="Times New Roman" w:hAnsi="Times New Roman" w:cs="Times New Roman"/>
          <w:sz w:val="24"/>
          <w:szCs w:val="24"/>
        </w:rPr>
        <w:t xml:space="preserve"> </w:t>
      </w:r>
      <w:r w:rsidR="00DE2CD8" w:rsidRPr="007721FB">
        <w:rPr>
          <w:rFonts w:ascii="Times New Roman" w:hAnsi="Times New Roman" w:cs="Times New Roman"/>
          <w:sz w:val="24"/>
          <w:szCs w:val="24"/>
        </w:rPr>
        <w:t xml:space="preserve">delivery of bone </w:t>
      </w:r>
      <w:r w:rsidR="00E204A4" w:rsidRPr="007721FB">
        <w:rPr>
          <w:rFonts w:ascii="Times New Roman" w:hAnsi="Times New Roman" w:cs="Times New Roman"/>
          <w:sz w:val="24"/>
          <w:szCs w:val="24"/>
        </w:rPr>
        <w:t>therapeutics</w:t>
      </w:r>
      <w:r w:rsidR="000551B8" w:rsidRPr="007721FB">
        <w:rPr>
          <w:rFonts w:ascii="Times New Roman" w:hAnsi="Times New Roman" w:cs="Times New Roman"/>
          <w:sz w:val="24"/>
          <w:szCs w:val="24"/>
        </w:rPr>
        <w:t xml:space="preserve"> </w:t>
      </w:r>
      <w:r w:rsidR="000551B8" w:rsidRPr="007721FB">
        <w:rPr>
          <w:rFonts w:ascii="Times New Roman" w:hAnsi="Times New Roman" w:cs="Times New Roman"/>
          <w:i/>
          <w:sz w:val="24"/>
          <w:szCs w:val="24"/>
        </w:rPr>
        <w:t>via</w:t>
      </w:r>
      <w:r w:rsidR="000551B8" w:rsidRPr="007721FB">
        <w:rPr>
          <w:rFonts w:ascii="Times New Roman" w:hAnsi="Times New Roman" w:cs="Times New Roman"/>
          <w:sz w:val="24"/>
          <w:szCs w:val="24"/>
        </w:rPr>
        <w:t xml:space="preserve"> </w:t>
      </w:r>
      <w:r w:rsidR="004A47D3" w:rsidRPr="007721FB">
        <w:rPr>
          <w:rFonts w:ascii="Times New Roman" w:hAnsi="Times New Roman" w:cs="Times New Roman"/>
          <w:sz w:val="24"/>
          <w:szCs w:val="24"/>
        </w:rPr>
        <w:t>different administration routes</w:t>
      </w:r>
      <w:r w:rsidR="00F762AF" w:rsidRPr="007721FB">
        <w:rPr>
          <w:rFonts w:ascii="Times New Roman" w:hAnsi="Times New Roman" w:cs="Times New Roman"/>
          <w:sz w:val="24"/>
          <w:szCs w:val="24"/>
        </w:rPr>
        <w:t xml:space="preserve"> </w:t>
      </w:r>
      <w:r w:rsidR="00364175" w:rsidRPr="007721FB">
        <w:rPr>
          <w:rFonts w:ascii="Times New Roman" w:hAnsi="Times New Roman" w:cs="Times New Roman"/>
          <w:sz w:val="24"/>
          <w:szCs w:val="24"/>
        </w:rPr>
        <w:t>has been extensively explored in the past</w:t>
      </w:r>
      <w:r w:rsidR="00496BD7" w:rsidRPr="007721FB">
        <w:rPr>
          <w:rFonts w:ascii="Times New Roman" w:hAnsi="Times New Roman" w:cs="Times New Roman"/>
          <w:sz w:val="24"/>
          <w:szCs w:val="24"/>
        </w:rPr>
        <w:t xml:space="preserve"> decade </w:t>
      </w:r>
      <w:r w:rsidR="00496BD7" w:rsidRPr="007721FB">
        <w:rPr>
          <w:rFonts w:ascii="Times New Roman" w:hAnsi="Times New Roman" w:cs="Times New Roman"/>
          <w:sz w:val="24"/>
          <w:szCs w:val="24"/>
        </w:rPr>
        <w:fldChar w:fldCharType="begin" w:fldLock="1"/>
      </w:r>
      <w:r w:rsidR="00496BD7" w:rsidRPr="007721FB">
        <w:rPr>
          <w:rFonts w:ascii="Times New Roman" w:hAnsi="Times New Roman" w:cs="Times New Roman"/>
          <w:sz w:val="24"/>
          <w:szCs w:val="24"/>
        </w:rPr>
        <w:instrText>ADDIN CSL_CITATION { "citationItems" : [ { "id" : "ITEM-1", "itemData" : { "DOI" : "10.1016/j.jconrel.2016.01.033", "ISSN" : "18734995", "PMID" : "26805518", "abstract" : "Bone formation is a complex process that requires concerted function of multiple growth factors. For this, it is essential to design a delivery system with the ability to load multiple growth factors in order to mimic the natural microenvironment for bone tissue formation. However, the short half-lives of growth factors, their relatively large size, slow tissue penetration, and high toxicity suggest that conventional routes of administration are unlikely to be effective. Therefore, it seems that using multiple bioactive factors in different delivery systems can develop new strategies for improving bone tissue regeneration. Combination of these factors along with biomaterials that permit tunable release profiles would help to achieve truly spatiotemporal regulation during delivery. This review summarizes the various dual-control release systems that are used for bone tissue engineering.", "author" : [ { "dropping-particle" : "", "family" : "Farokhi", "given" : "Mehdi", "non-dropping-particle" : "", "parse-names" : false, "suffix" : "" }, { "dropping-particle" : "", "family" : "Mottaghitalab", "given" : "Fatemeh", "non-dropping-particle" : "", "parse-names" : false, "suffix" : "" }, { "dropping-particle" : "", "family" : "Shokrgozar", "given" : "Mohammad Ali", "non-dropping-particle" : "", "parse-names" : false, "suffix" : "" }, { "dropping-particle" : "", "family" : "Ou", "given" : "Keng Liang", "non-dropping-particle" : "", "parse-names" : false, "suffix" : "" }, { "dropping-particle" : "", "family" : "Mao", "given" : "Chuanbin", "non-dropping-particle" : "", "parse-names" : false, "suffix" : "" }, { "dropping-particle" : "", "family" : "Hosseinkhani", "given" : "Hossein", "non-dropping-particle" : "", "parse-names" : false, "suffix" : "" } ], "container-title" : "Journal of Controlled Release", "id" : "ITEM-1", "issued" : { "date-parts" : [ [ "2016" ] ] }, "page" : "152-169", "publisher" : "Elsevier B.V.", "title" : "Importance of dual delivery systems for bone tissue engineering", "type" : "article-journal", "volume" : "225" }, "uris" : [ "http://www.mendeley.com/documents/?uuid=0aa9565f-28aa-4578-9661-b164055bd04b" ] }, { "id" : "ITEM-2", "itemData" : { "DOI" : "10.1016/j.copbio.2016.02.029", "ISSN" : "0958-1669", "PMID" : "27064433", "author" : [ { "dropping-particle" : "", "family" : "Newman", "given" : "Maureen R", "non-dropping-particle" : "", "parse-names" : false, "suffix" : "" }, { "dropping-particle" : "", "family" : "Benoit", "given" : "Danielle S W", "non-dropping-particle" : "", "parse-names" : false, "suffix" : "" } ], "container-title" : "Current Opinion in Biotechnology", "id" : "ITEM-2", "issued" : { "date-parts" : [ [ "2016" ] ] }, "page" : "125-132", "publisher" : "Elsevier Ltd", "title" : "Local and targeted drug delivery for bone regeneration", "type" : "article-journal", "volume" : "40" }, "uris" : [ "http://www.mendeley.com/documents/?uuid=7811f736-38f6-401f-b346-0082b62fc6b6" ] }, { "id" : "ITEM-3", "itemData" : { "ISSN" : "0169-409X", "author" : [ { "dropping-particle" : "", "family" : "Balmayor", "given" : "Elizabeth R", "non-dropping-particle" : "", "parse-names" : false, "suffix" : "" } ], "container-title" : "Advanced drug delivery reviews", "id" : "ITEM-3", "issued" : { "date-parts" : [ [ "2015" ] ] }, "page" : "13-27", "publisher" : "Elsevier", "title" : "Targeted delivery as key for the success of small osteoinductive molecules", "type" : "article-journal", "volume" : "94" }, "uris" : [ "http://www.mendeley.com/documents/?uuid=345766e3-6dc4-4cab-a8f8-cc14d49b0f15" ] }, { "id" : "ITEM-4", "itemData" : { "ISSN" : "0169-409X", "author" : [ { "dropping-particle" : "", "family" : "Kim", "given" : "Yang-Hee", "non-dropping-particle" : "", "parse-names" : false, "suffix" : "" }, { "dropping-particle" : "", "family" : "Tabata", "given" : "Yasuhiko", "non-dropping-particle" : "", "parse-names" : false, "suffix" : "" } ], "container-title" : "Advanced drug delivery reviews", "id" : "ITEM-4", "issued" : { "date-parts" : [ [ "2015" ] ] }, "page" : "28-40", "publisher" : "Elsevier", "title" : "Dual-controlled release system of drugs for bone regeneration", "type" : "article-journal", "volume" : "94" }, "uris" : [ "http://www.mendeley.com/documents/?uuid=1cf28c7c-1e4d-481d-a11d-be1b2932e5e5" ] } ], "mendeley" : { "formattedCitation" : "[9\u201312]", "plainTextFormattedCitation" : "[9\u201312]", "previouslyFormattedCitation" : "[9\u201312]" }, "properties" : { "noteIndex" : 3 }, "schema" : "https://github.com/citation-style-language/schema/raw/master/csl-citation.json" }</w:instrText>
      </w:r>
      <w:r w:rsidR="00496BD7" w:rsidRPr="007721FB">
        <w:rPr>
          <w:rFonts w:ascii="Times New Roman" w:hAnsi="Times New Roman" w:cs="Times New Roman"/>
          <w:sz w:val="24"/>
          <w:szCs w:val="24"/>
        </w:rPr>
        <w:fldChar w:fldCharType="separate"/>
      </w:r>
      <w:r w:rsidR="00496BD7" w:rsidRPr="007721FB">
        <w:rPr>
          <w:rFonts w:ascii="Times New Roman" w:hAnsi="Times New Roman" w:cs="Times New Roman"/>
          <w:noProof/>
          <w:sz w:val="24"/>
          <w:szCs w:val="24"/>
        </w:rPr>
        <w:t>[9–12]</w:t>
      </w:r>
      <w:r w:rsidR="00496BD7" w:rsidRPr="007721FB">
        <w:rPr>
          <w:rFonts w:ascii="Times New Roman" w:hAnsi="Times New Roman" w:cs="Times New Roman"/>
          <w:sz w:val="24"/>
          <w:szCs w:val="24"/>
        </w:rPr>
        <w:fldChar w:fldCharType="end"/>
      </w:r>
      <w:r w:rsidR="00AA5247" w:rsidRPr="007721FB">
        <w:rPr>
          <w:rFonts w:ascii="Times New Roman" w:hAnsi="Times New Roman" w:cs="Times New Roman"/>
          <w:sz w:val="24"/>
          <w:szCs w:val="24"/>
        </w:rPr>
        <w:t xml:space="preserve">. </w:t>
      </w:r>
      <w:r w:rsidR="004A47D3" w:rsidRPr="007721FB">
        <w:rPr>
          <w:rFonts w:ascii="Times New Roman" w:hAnsi="Times New Roman" w:cs="Times New Roman"/>
          <w:sz w:val="24"/>
          <w:szCs w:val="24"/>
        </w:rPr>
        <w:t>Such</w:t>
      </w:r>
      <w:r w:rsidR="00364175" w:rsidRPr="007721FB">
        <w:rPr>
          <w:rFonts w:ascii="Times New Roman" w:hAnsi="Times New Roman" w:cs="Times New Roman"/>
          <w:sz w:val="24"/>
          <w:szCs w:val="24"/>
        </w:rPr>
        <w:t xml:space="preserve"> nanocarriers </w:t>
      </w:r>
      <w:r w:rsidR="000551B8" w:rsidRPr="007721FB">
        <w:rPr>
          <w:rFonts w:ascii="Times New Roman" w:hAnsi="Times New Roman" w:cs="Times New Roman"/>
          <w:sz w:val="24"/>
          <w:szCs w:val="24"/>
        </w:rPr>
        <w:t>have</w:t>
      </w:r>
      <w:r w:rsidR="00DE2CD8" w:rsidRPr="007721FB">
        <w:rPr>
          <w:rFonts w:ascii="Times New Roman" w:hAnsi="Times New Roman" w:cs="Times New Roman"/>
          <w:sz w:val="24"/>
          <w:szCs w:val="24"/>
        </w:rPr>
        <w:t xml:space="preserve"> so far</w:t>
      </w:r>
      <w:r w:rsidR="000551B8" w:rsidRPr="007721FB">
        <w:rPr>
          <w:rFonts w:ascii="Times New Roman" w:hAnsi="Times New Roman" w:cs="Times New Roman"/>
          <w:sz w:val="24"/>
          <w:szCs w:val="24"/>
        </w:rPr>
        <w:t xml:space="preserve"> been engineered</w:t>
      </w:r>
      <w:r w:rsidR="006C365E" w:rsidRPr="007721FB">
        <w:rPr>
          <w:rFonts w:ascii="Times New Roman" w:hAnsi="Times New Roman" w:cs="Times New Roman"/>
          <w:sz w:val="24"/>
          <w:szCs w:val="24"/>
        </w:rPr>
        <w:t xml:space="preserve"> to </w:t>
      </w:r>
      <w:r w:rsidR="00DE2CD8" w:rsidRPr="007721FB">
        <w:rPr>
          <w:rFonts w:ascii="Times New Roman" w:hAnsi="Times New Roman" w:cs="Times New Roman"/>
          <w:sz w:val="24"/>
          <w:szCs w:val="24"/>
        </w:rPr>
        <w:t>modify drugs pharmacokinetics</w:t>
      </w:r>
      <w:r w:rsidR="006328B0" w:rsidRPr="007721FB">
        <w:rPr>
          <w:rFonts w:ascii="Times New Roman" w:hAnsi="Times New Roman" w:cs="Times New Roman"/>
          <w:sz w:val="24"/>
          <w:szCs w:val="24"/>
        </w:rPr>
        <w:t xml:space="preserve"> to improve their local concentration, whilst reducing unspecific tissue partitioning</w:t>
      </w:r>
      <w:r w:rsidR="003718A8" w:rsidRPr="007721FB">
        <w:rPr>
          <w:rFonts w:ascii="Times New Roman" w:hAnsi="Times New Roman" w:cs="Times New Roman"/>
          <w:sz w:val="24"/>
          <w:szCs w:val="24"/>
        </w:rPr>
        <w:t>.</w:t>
      </w:r>
      <w:r w:rsidR="00762C40" w:rsidRPr="007721FB">
        <w:rPr>
          <w:rFonts w:ascii="Times New Roman" w:hAnsi="Times New Roman" w:cs="Times New Roman"/>
          <w:sz w:val="24"/>
          <w:szCs w:val="24"/>
        </w:rPr>
        <w:t xml:space="preserve"> Ensuing </w:t>
      </w:r>
      <w:r w:rsidR="000551B8" w:rsidRPr="007721FB">
        <w:rPr>
          <w:rFonts w:ascii="Times New Roman" w:hAnsi="Times New Roman" w:cs="Times New Roman"/>
          <w:sz w:val="24"/>
          <w:szCs w:val="24"/>
        </w:rPr>
        <w:t>nanoformulated</w:t>
      </w:r>
      <w:r w:rsidR="00DE2CD8" w:rsidRPr="007721FB">
        <w:rPr>
          <w:rFonts w:ascii="Times New Roman" w:hAnsi="Times New Roman" w:cs="Times New Roman"/>
          <w:sz w:val="24"/>
          <w:szCs w:val="24"/>
        </w:rPr>
        <w:t xml:space="preserve"> bone</w:t>
      </w:r>
      <w:r w:rsidR="000551B8" w:rsidRPr="007721FB">
        <w:rPr>
          <w:rFonts w:ascii="Times New Roman" w:hAnsi="Times New Roman" w:cs="Times New Roman"/>
          <w:sz w:val="24"/>
          <w:szCs w:val="24"/>
        </w:rPr>
        <w:t xml:space="preserve"> therapeutics bioavailability following </w:t>
      </w:r>
      <w:r w:rsidR="004A47D3" w:rsidRPr="007721FB">
        <w:rPr>
          <w:rFonts w:ascii="Times New Roman" w:hAnsi="Times New Roman" w:cs="Times New Roman"/>
          <w:sz w:val="24"/>
          <w:szCs w:val="24"/>
        </w:rPr>
        <w:t xml:space="preserve">minimally </w:t>
      </w:r>
      <w:r w:rsidR="000551B8" w:rsidRPr="007721FB">
        <w:rPr>
          <w:rFonts w:ascii="Times New Roman" w:hAnsi="Times New Roman" w:cs="Times New Roman"/>
          <w:sz w:val="24"/>
          <w:szCs w:val="24"/>
        </w:rPr>
        <w:t xml:space="preserve">intravenous administration is </w:t>
      </w:r>
      <w:r w:rsidR="00C06D59" w:rsidRPr="007721FB">
        <w:rPr>
          <w:rFonts w:ascii="Times New Roman" w:hAnsi="Times New Roman" w:cs="Times New Roman"/>
          <w:sz w:val="24"/>
          <w:szCs w:val="24"/>
        </w:rPr>
        <w:t>a</w:t>
      </w:r>
      <w:r w:rsidR="000551B8" w:rsidRPr="007721FB">
        <w:rPr>
          <w:rFonts w:ascii="Times New Roman" w:hAnsi="Times New Roman" w:cs="Times New Roman"/>
          <w:sz w:val="24"/>
          <w:szCs w:val="24"/>
        </w:rPr>
        <w:t xml:space="preserve"> crucial parameter to address during pre-clinical design stages</w:t>
      </w:r>
      <w:r w:rsidR="00AA5247" w:rsidRPr="007721FB">
        <w:rPr>
          <w:rFonts w:ascii="Times New Roman" w:hAnsi="Times New Roman" w:cs="Times New Roman"/>
          <w:sz w:val="24"/>
          <w:szCs w:val="24"/>
        </w:rPr>
        <w:t>, especially considering that</w:t>
      </w:r>
      <w:r w:rsidR="000F0C55" w:rsidRPr="007721FB">
        <w:rPr>
          <w:rFonts w:ascii="Times New Roman" w:hAnsi="Times New Roman" w:cs="Times New Roman"/>
          <w:sz w:val="24"/>
          <w:szCs w:val="24"/>
        </w:rPr>
        <w:t xml:space="preserve"> some</w:t>
      </w:r>
      <w:r w:rsidR="00AA5247" w:rsidRPr="007721FB">
        <w:rPr>
          <w:rFonts w:ascii="Times New Roman" w:hAnsi="Times New Roman" w:cs="Times New Roman"/>
          <w:sz w:val="24"/>
          <w:szCs w:val="24"/>
        </w:rPr>
        <w:t xml:space="preserve"> bone</w:t>
      </w:r>
      <w:r w:rsidR="000F0C55" w:rsidRPr="007721FB">
        <w:rPr>
          <w:rFonts w:ascii="Times New Roman" w:hAnsi="Times New Roman" w:cs="Times New Roman"/>
          <w:sz w:val="24"/>
          <w:szCs w:val="24"/>
        </w:rPr>
        <w:t xml:space="preserve"> sections are poorly perfused</w:t>
      </w:r>
      <w:r w:rsidR="00AA5247" w:rsidRPr="007721FB">
        <w:rPr>
          <w:rFonts w:ascii="Times New Roman" w:hAnsi="Times New Roman" w:cs="Times New Roman"/>
          <w:sz w:val="24"/>
          <w:szCs w:val="24"/>
        </w:rPr>
        <w:t xml:space="preserve"> and</w:t>
      </w:r>
      <w:r w:rsidR="000F0C55" w:rsidRPr="007721FB">
        <w:rPr>
          <w:rFonts w:ascii="Times New Roman" w:hAnsi="Times New Roman" w:cs="Times New Roman"/>
          <w:sz w:val="24"/>
          <w:szCs w:val="24"/>
        </w:rPr>
        <w:t xml:space="preserve"> that</w:t>
      </w:r>
      <w:r w:rsidR="00AA5247" w:rsidRPr="007721FB">
        <w:rPr>
          <w:rFonts w:ascii="Times New Roman" w:hAnsi="Times New Roman" w:cs="Times New Roman"/>
          <w:sz w:val="24"/>
          <w:szCs w:val="24"/>
        </w:rPr>
        <w:t xml:space="preserve"> its highly hierarchic structure</w:t>
      </w:r>
      <w:r w:rsidR="003718A8" w:rsidRPr="007721FB">
        <w:rPr>
          <w:rFonts w:ascii="Times New Roman" w:hAnsi="Times New Roman" w:cs="Times New Roman"/>
          <w:sz w:val="24"/>
          <w:szCs w:val="24"/>
        </w:rPr>
        <w:t xml:space="preserve"> naturally</w:t>
      </w:r>
      <w:r w:rsidR="00AA5247" w:rsidRPr="007721FB">
        <w:rPr>
          <w:rFonts w:ascii="Times New Roman" w:hAnsi="Times New Roman" w:cs="Times New Roman"/>
          <w:sz w:val="24"/>
          <w:szCs w:val="24"/>
        </w:rPr>
        <w:t xml:space="preserve"> restricts </w:t>
      </w:r>
      <w:r w:rsidR="004A47D3" w:rsidRPr="007721FB">
        <w:rPr>
          <w:rFonts w:ascii="Times New Roman" w:hAnsi="Times New Roman" w:cs="Times New Roman"/>
          <w:sz w:val="24"/>
          <w:szCs w:val="24"/>
        </w:rPr>
        <w:t>particles</w:t>
      </w:r>
      <w:r w:rsidR="000F0C55" w:rsidRPr="007721FB">
        <w:rPr>
          <w:rFonts w:ascii="Times New Roman" w:hAnsi="Times New Roman" w:cs="Times New Roman"/>
          <w:sz w:val="24"/>
          <w:szCs w:val="24"/>
        </w:rPr>
        <w:t xml:space="preserve"> ac</w:t>
      </w:r>
      <w:r w:rsidR="00496BD7" w:rsidRPr="007721FB">
        <w:rPr>
          <w:rFonts w:ascii="Times New Roman" w:hAnsi="Times New Roman" w:cs="Times New Roman"/>
          <w:sz w:val="24"/>
          <w:szCs w:val="24"/>
        </w:rPr>
        <w:t>c</w:t>
      </w:r>
      <w:r w:rsidR="000F0C55" w:rsidRPr="007721FB">
        <w:rPr>
          <w:rFonts w:ascii="Times New Roman" w:hAnsi="Times New Roman" w:cs="Times New Roman"/>
          <w:sz w:val="24"/>
          <w:szCs w:val="24"/>
        </w:rPr>
        <w:t>ess</w:t>
      </w:r>
      <w:r w:rsidR="00496BD7" w:rsidRPr="007721FB">
        <w:rPr>
          <w:rFonts w:ascii="Times New Roman" w:hAnsi="Times New Roman" w:cs="Times New Roman"/>
          <w:sz w:val="24"/>
          <w:szCs w:val="24"/>
        </w:rPr>
        <w:t xml:space="preserve"> </w:t>
      </w:r>
      <w:r w:rsidR="00AA5247" w:rsidRPr="007721FB">
        <w:rPr>
          <w:rFonts w:ascii="Times New Roman" w:hAnsi="Times New Roman" w:cs="Times New Roman"/>
          <w:sz w:val="24"/>
          <w:szCs w:val="24"/>
        </w:rPr>
        <w:fldChar w:fldCharType="begin" w:fldLock="1"/>
      </w:r>
      <w:r w:rsidR="00496BD7" w:rsidRPr="007721FB">
        <w:rPr>
          <w:rFonts w:ascii="Times New Roman" w:hAnsi="Times New Roman" w:cs="Times New Roman"/>
          <w:sz w:val="24"/>
          <w:szCs w:val="24"/>
        </w:rPr>
        <w:instrText>ADDIN CSL_CITATION { "citationItems" : [ { "id" : "ITEM-1", "itemData" : { "DOI" : "10.1038/mtna.2016.68", "ISSN" : "2162-2531", "PMID" : "27623445", "abstract" : "Sclerostin is a protein secreted by osteocytes that is encoded by the SOST gene; it decreases bone formation by reducing osteoblast differentiation through inhibition of the Wnt signaling pathway. Silencing the SOST gene using RNA interference (RNAi) could therefore be an effective way to treat osteoporosis. Here, we investigate the utility of lipid nanoparticle (LNP) formulations of siRNA to silence the SOST gene in vitro and in vivo. It is shown that primary mouse embryonic fibroblasts (MEF) provide a useful model system in which the SOST gene can be induced by incubation in osteogenic media, allowing development of optimized SOST siRNA for silencing the SOST gene. Incubation of MEF cells with LNP containing optimized SOST siRNA produced significant, prolonged knockdown of the induced SOST gene in vitro, which was associated with an increase in osteogenic markers. Intravenous (i.v.) administration of LNP containing SOST siRNA to mice showed significant accumulation of LNP in osteocytes in compact bone, depletion of SOST mRNA and subsequent reduction of circulating sclerostin protein, establishing the potential utility for LNP siRNA systems to promote bone formation.", "author" : [ { "dropping-particle" : "", "family" : "Basha", "given" : "Genc", "non-dropping-particle" : "", "parse-names" : false, "suffix" : "" }, { "dropping-particle" : "", "family" : "Ordobadi", "given" : "Mina", "non-dropping-particle" : "", "parse-names" : false, "suffix" : "" }, { "dropping-particle" : "", "family" : "Scott", "given" : "Wilder R", "non-dropping-particle" : "", "parse-names" : false, "suffix" : "" }, { "dropping-particle" : "", "family" : "Cottle", "given" : "Andrew", "non-dropping-particle" : "", "parse-names" : false, "suffix" : "" }, { "dropping-particle" : "", "family" : "Liu", "given" : "Yan", "non-dropping-particle" : "", "parse-names" : false, "suffix" : "" }, { "dropping-particle" : "", "family" : "Wang", "given" : "Haitang", "non-dropping-particle" : "", "parse-names" : false, "suffix" : "" }, { "dropping-particle" : "", "family" : "Cullis", "given" : "Pieter R", "non-dropping-particle" : "", "parse-names" : false, "suffix" : "" } ], "container-title" : "Molecular Therapy\u2014Nucleic Acids", "id" : "ITEM-1", "issue" : "9", "issued" : { "date-parts" : [ [ "2016" ] ] }, "page" : "e363", "publisher" : "IOP Publishing", "title" : "Lipid Nanoparticle Delivery of siRNA to Osteocytes Leads to Effective Silencing of SOST and Inhibition of Sclerostin In Vivo", "type" : "article-journal", "volume" : "5" }, "uris" : [ "http://www.mendeley.com/documents/?uuid=0ba6b55b-1b54-4b9e-a059-014ab52861d6", "http://www.mendeley.com/documents/?uuid=229af9b7-4b23-49d2-862a-660e8c325f73" ] } ], "mendeley" : { "formattedCitation" : "[13]", "plainTextFormattedCitation" : "[13]", "previouslyFormattedCitation" : "[13]" }, "properties" : { "noteIndex" : 0 }, "schema" : "https://github.com/citation-style-language/schema/raw/master/csl-citation.json" }</w:instrText>
      </w:r>
      <w:r w:rsidR="00AA5247" w:rsidRPr="007721FB">
        <w:rPr>
          <w:rFonts w:ascii="Times New Roman" w:hAnsi="Times New Roman" w:cs="Times New Roman"/>
          <w:sz w:val="24"/>
          <w:szCs w:val="24"/>
        </w:rPr>
        <w:fldChar w:fldCharType="separate"/>
      </w:r>
      <w:r w:rsidR="00496BD7" w:rsidRPr="007721FB">
        <w:rPr>
          <w:rFonts w:ascii="Times New Roman" w:hAnsi="Times New Roman" w:cs="Times New Roman"/>
          <w:noProof/>
          <w:sz w:val="24"/>
          <w:szCs w:val="24"/>
        </w:rPr>
        <w:t>[13]</w:t>
      </w:r>
      <w:r w:rsidR="00AA5247" w:rsidRPr="007721FB">
        <w:rPr>
          <w:rFonts w:ascii="Times New Roman" w:hAnsi="Times New Roman" w:cs="Times New Roman"/>
          <w:sz w:val="24"/>
          <w:szCs w:val="24"/>
        </w:rPr>
        <w:fldChar w:fldCharType="end"/>
      </w:r>
      <w:r w:rsidR="00496BD7" w:rsidRPr="007721FB">
        <w:rPr>
          <w:rFonts w:ascii="Times New Roman" w:hAnsi="Times New Roman" w:cs="Times New Roman"/>
          <w:sz w:val="24"/>
          <w:szCs w:val="24"/>
        </w:rPr>
        <w:t>.</w:t>
      </w:r>
      <w:r w:rsidR="00AA5247" w:rsidRPr="007721FB">
        <w:rPr>
          <w:rFonts w:ascii="Times New Roman" w:hAnsi="Times New Roman" w:cs="Times New Roman"/>
          <w:sz w:val="24"/>
          <w:szCs w:val="24"/>
        </w:rPr>
        <w:t xml:space="preserve"> </w:t>
      </w:r>
      <w:r w:rsidR="003718A8" w:rsidRPr="007721FB">
        <w:rPr>
          <w:rFonts w:ascii="Times New Roman" w:hAnsi="Times New Roman" w:cs="Times New Roman"/>
          <w:sz w:val="24"/>
          <w:szCs w:val="24"/>
        </w:rPr>
        <w:t>N</w:t>
      </w:r>
      <w:r w:rsidR="00AA5247" w:rsidRPr="007721FB">
        <w:rPr>
          <w:rFonts w:ascii="Times New Roman" w:hAnsi="Times New Roman" w:cs="Times New Roman"/>
          <w:sz w:val="24"/>
          <w:szCs w:val="24"/>
        </w:rPr>
        <w:t xml:space="preserve">umerous </w:t>
      </w:r>
      <w:r w:rsidR="00AA5247" w:rsidRPr="007721FB">
        <w:rPr>
          <w:rFonts w:ascii="Times New Roman" w:hAnsi="Times New Roman" w:cs="Times New Roman"/>
          <w:i/>
          <w:sz w:val="24"/>
          <w:szCs w:val="24"/>
        </w:rPr>
        <w:t>in vitro</w:t>
      </w:r>
      <w:r w:rsidR="00AA5247" w:rsidRPr="007721FB">
        <w:rPr>
          <w:rFonts w:ascii="Times New Roman" w:hAnsi="Times New Roman" w:cs="Times New Roman"/>
          <w:sz w:val="24"/>
          <w:szCs w:val="24"/>
        </w:rPr>
        <w:t xml:space="preserve"> and </w:t>
      </w:r>
      <w:r w:rsidR="00AA5247" w:rsidRPr="007721FB">
        <w:rPr>
          <w:rFonts w:ascii="Times New Roman" w:hAnsi="Times New Roman" w:cs="Times New Roman"/>
          <w:i/>
          <w:sz w:val="24"/>
          <w:szCs w:val="24"/>
        </w:rPr>
        <w:t>in vivo</w:t>
      </w:r>
      <w:r w:rsidR="00AA5247" w:rsidRPr="007721FB">
        <w:rPr>
          <w:rFonts w:ascii="Times New Roman" w:hAnsi="Times New Roman" w:cs="Times New Roman"/>
          <w:sz w:val="24"/>
          <w:szCs w:val="24"/>
        </w:rPr>
        <w:t xml:space="preserve"> studies highlight the potential of nanocarriers for </w:t>
      </w:r>
      <w:r w:rsidR="000E03E9" w:rsidRPr="007721FB">
        <w:rPr>
          <w:rFonts w:ascii="Times New Roman" w:hAnsi="Times New Roman" w:cs="Times New Roman"/>
          <w:sz w:val="24"/>
          <w:szCs w:val="24"/>
        </w:rPr>
        <w:t xml:space="preserve">delivery of bioactive molecules to </w:t>
      </w:r>
      <w:r w:rsidR="003718A8" w:rsidRPr="007721FB">
        <w:rPr>
          <w:rFonts w:ascii="Times New Roman" w:hAnsi="Times New Roman" w:cs="Times New Roman"/>
          <w:sz w:val="24"/>
          <w:szCs w:val="24"/>
        </w:rPr>
        <w:t xml:space="preserve">treat different </w:t>
      </w:r>
      <w:r w:rsidR="000E03E9" w:rsidRPr="007721FB">
        <w:rPr>
          <w:rFonts w:ascii="Times New Roman" w:hAnsi="Times New Roman" w:cs="Times New Roman"/>
          <w:sz w:val="24"/>
          <w:szCs w:val="24"/>
        </w:rPr>
        <w:t>bone</w:t>
      </w:r>
      <w:r w:rsidR="003718A8" w:rsidRPr="007721FB">
        <w:rPr>
          <w:rFonts w:ascii="Times New Roman" w:hAnsi="Times New Roman" w:cs="Times New Roman"/>
          <w:sz w:val="24"/>
          <w:szCs w:val="24"/>
        </w:rPr>
        <w:t xml:space="preserve"> disorders</w:t>
      </w:r>
      <w:r w:rsidR="00AA5247" w:rsidRPr="007721FB">
        <w:rPr>
          <w:rFonts w:ascii="Times New Roman" w:hAnsi="Times New Roman" w:cs="Times New Roman"/>
          <w:sz w:val="24"/>
          <w:szCs w:val="24"/>
        </w:rPr>
        <w:t>, but so far, very few have managed to</w:t>
      </w:r>
      <w:r w:rsidRPr="007721FB">
        <w:rPr>
          <w:rFonts w:ascii="Times New Roman" w:hAnsi="Times New Roman" w:cs="Times New Roman"/>
          <w:sz w:val="24"/>
          <w:szCs w:val="24"/>
        </w:rPr>
        <w:t xml:space="preserve"> actually</w:t>
      </w:r>
      <w:r w:rsidR="00AA5247" w:rsidRPr="007721FB">
        <w:rPr>
          <w:rFonts w:ascii="Times New Roman" w:hAnsi="Times New Roman" w:cs="Times New Roman"/>
          <w:sz w:val="24"/>
          <w:szCs w:val="24"/>
        </w:rPr>
        <w:t xml:space="preserve"> reach clinical trials</w:t>
      </w:r>
      <w:r w:rsidR="00FF069C" w:rsidRPr="007721FB">
        <w:rPr>
          <w:rFonts w:ascii="Times New Roman" w:hAnsi="Times New Roman" w:cs="Times New Roman"/>
          <w:sz w:val="24"/>
          <w:szCs w:val="24"/>
        </w:rPr>
        <w:t xml:space="preserve">. </w:t>
      </w:r>
      <w:r w:rsidR="000F0C55" w:rsidRPr="007721FB">
        <w:rPr>
          <w:rFonts w:ascii="Times New Roman" w:hAnsi="Times New Roman" w:cs="Times New Roman"/>
          <w:sz w:val="24"/>
          <w:szCs w:val="24"/>
        </w:rPr>
        <w:t xml:space="preserve">One </w:t>
      </w:r>
      <w:r w:rsidR="00FF069C" w:rsidRPr="007721FB">
        <w:rPr>
          <w:rFonts w:ascii="Times New Roman" w:hAnsi="Times New Roman" w:cs="Times New Roman"/>
          <w:sz w:val="24"/>
          <w:szCs w:val="24"/>
        </w:rPr>
        <w:t>example</w:t>
      </w:r>
      <w:r w:rsidRPr="007721FB">
        <w:rPr>
          <w:rFonts w:ascii="Times New Roman" w:hAnsi="Times New Roman" w:cs="Times New Roman"/>
          <w:sz w:val="24"/>
          <w:szCs w:val="24"/>
        </w:rPr>
        <w:t xml:space="preserve"> </w:t>
      </w:r>
      <w:r w:rsidR="000F0C55" w:rsidRPr="007721FB">
        <w:rPr>
          <w:rFonts w:ascii="Times New Roman" w:hAnsi="Times New Roman" w:cs="Times New Roman"/>
          <w:sz w:val="24"/>
          <w:szCs w:val="24"/>
        </w:rPr>
        <w:t xml:space="preserve">is </w:t>
      </w:r>
      <w:r w:rsidR="003718A8" w:rsidRPr="007721FB">
        <w:rPr>
          <w:rFonts w:ascii="Times New Roman" w:hAnsi="Times New Roman" w:cs="Times New Roman"/>
          <w:sz w:val="24"/>
          <w:szCs w:val="24"/>
        </w:rPr>
        <w:t>the</w:t>
      </w:r>
      <w:r w:rsidR="000F0C55" w:rsidRPr="007721FB">
        <w:rPr>
          <w:rFonts w:ascii="Times New Roman" w:hAnsi="Times New Roman" w:cs="Times New Roman"/>
          <w:sz w:val="24"/>
          <w:szCs w:val="24"/>
        </w:rPr>
        <w:t xml:space="preserve"> </w:t>
      </w:r>
      <w:r w:rsidR="00FF069C" w:rsidRPr="007721FB">
        <w:rPr>
          <w:rFonts w:ascii="Times New Roman" w:hAnsi="Times New Roman" w:cs="Times New Roman"/>
          <w:sz w:val="24"/>
          <w:szCs w:val="24"/>
        </w:rPr>
        <w:t>Phase II trial (NCT03140657</w:t>
      </w:r>
      <w:r w:rsidR="003718A8" w:rsidRPr="007721FB">
        <w:rPr>
          <w:rFonts w:ascii="Times New Roman" w:hAnsi="Times New Roman" w:cs="Times New Roman"/>
          <w:sz w:val="24"/>
          <w:szCs w:val="24"/>
        </w:rPr>
        <w:t xml:space="preserve"> – currently at</w:t>
      </w:r>
      <w:r w:rsidR="000F0C55" w:rsidRPr="007721FB">
        <w:rPr>
          <w:rFonts w:ascii="Times New Roman" w:hAnsi="Times New Roman" w:cs="Times New Roman"/>
          <w:sz w:val="24"/>
          <w:szCs w:val="24"/>
        </w:rPr>
        <w:t xml:space="preserve"> recruitment stage</w:t>
      </w:r>
      <w:r w:rsidR="00FF069C" w:rsidRPr="007721FB">
        <w:rPr>
          <w:rFonts w:ascii="Times New Roman" w:hAnsi="Times New Roman" w:cs="Times New Roman"/>
          <w:sz w:val="24"/>
          <w:szCs w:val="24"/>
        </w:rPr>
        <w:t>)</w:t>
      </w:r>
      <w:r w:rsidR="003718A8" w:rsidRPr="007721FB">
        <w:rPr>
          <w:rFonts w:ascii="Times New Roman" w:hAnsi="Times New Roman" w:cs="Times New Roman"/>
          <w:sz w:val="24"/>
          <w:szCs w:val="24"/>
        </w:rPr>
        <w:t>,</w:t>
      </w:r>
      <w:r w:rsidR="00FF069C" w:rsidRPr="007721FB">
        <w:rPr>
          <w:rFonts w:ascii="Times New Roman" w:hAnsi="Times New Roman" w:cs="Times New Roman"/>
          <w:sz w:val="24"/>
          <w:szCs w:val="24"/>
        </w:rPr>
        <w:t xml:space="preserve"> which aims to evaluate the use of nanoformulated curcumin for the treatment of patients diagnosed with Ankylosing spondylitis.</w:t>
      </w:r>
      <w:r w:rsidR="0035595A" w:rsidRPr="007721FB">
        <w:rPr>
          <w:rFonts w:ascii="Times New Roman" w:hAnsi="Times New Roman" w:cs="Times New Roman"/>
          <w:sz w:val="24"/>
          <w:szCs w:val="24"/>
        </w:rPr>
        <w:t xml:space="preserve"> </w:t>
      </w:r>
      <w:r w:rsidR="006328B0" w:rsidRPr="007721FB">
        <w:rPr>
          <w:rFonts w:ascii="Times New Roman" w:hAnsi="Times New Roman" w:cs="Times New Roman"/>
          <w:sz w:val="24"/>
          <w:szCs w:val="24"/>
        </w:rPr>
        <w:t>Other interesting clinical trial focusing on</w:t>
      </w:r>
      <w:r w:rsidR="00FF069C" w:rsidRPr="007721FB">
        <w:rPr>
          <w:rFonts w:ascii="Times New Roman" w:hAnsi="Times New Roman" w:cs="Times New Roman"/>
          <w:sz w:val="24"/>
          <w:szCs w:val="24"/>
        </w:rPr>
        <w:t xml:space="preserve"> bone regeneration</w:t>
      </w:r>
      <w:r w:rsidR="000F0C55" w:rsidRPr="007721FB">
        <w:rPr>
          <w:rFonts w:ascii="Times New Roman" w:hAnsi="Times New Roman" w:cs="Times New Roman"/>
          <w:sz w:val="24"/>
          <w:szCs w:val="24"/>
        </w:rPr>
        <w:t xml:space="preserve"> </w:t>
      </w:r>
      <w:r w:rsidR="00004DCC" w:rsidRPr="007721FB">
        <w:rPr>
          <w:rFonts w:ascii="Times New Roman" w:hAnsi="Times New Roman" w:cs="Times New Roman"/>
          <w:sz w:val="24"/>
          <w:szCs w:val="24"/>
        </w:rPr>
        <w:t>was</w:t>
      </w:r>
      <w:r w:rsidR="006328B0" w:rsidRPr="007721FB">
        <w:rPr>
          <w:rFonts w:ascii="Times New Roman" w:hAnsi="Times New Roman" w:cs="Times New Roman"/>
          <w:sz w:val="24"/>
          <w:szCs w:val="24"/>
        </w:rPr>
        <w:t xml:space="preserve"> recently</w:t>
      </w:r>
      <w:r w:rsidR="00004DCC" w:rsidRPr="007721FB">
        <w:rPr>
          <w:rFonts w:ascii="Times New Roman" w:hAnsi="Times New Roman" w:cs="Times New Roman"/>
          <w:sz w:val="24"/>
          <w:szCs w:val="24"/>
        </w:rPr>
        <w:t xml:space="preserve"> completed in China Medical Hospital (NCT01323894)</w:t>
      </w:r>
      <w:r w:rsidR="000F0C55" w:rsidRPr="007721FB">
        <w:rPr>
          <w:rFonts w:ascii="Times New Roman" w:hAnsi="Times New Roman" w:cs="Times New Roman"/>
          <w:sz w:val="24"/>
          <w:szCs w:val="24"/>
        </w:rPr>
        <w:t xml:space="preserve">. This study </w:t>
      </w:r>
      <w:r w:rsidR="00004DCC" w:rsidRPr="007721FB">
        <w:rPr>
          <w:rFonts w:ascii="Times New Roman" w:hAnsi="Times New Roman" w:cs="Times New Roman"/>
          <w:sz w:val="24"/>
          <w:szCs w:val="24"/>
        </w:rPr>
        <w:t>involved the use</w:t>
      </w:r>
      <w:r w:rsidR="00314E8B" w:rsidRPr="007721FB">
        <w:rPr>
          <w:rFonts w:ascii="Times New Roman" w:hAnsi="Times New Roman" w:cs="Times New Roman"/>
          <w:sz w:val="24"/>
          <w:szCs w:val="24"/>
        </w:rPr>
        <w:t xml:space="preserve"> of</w:t>
      </w:r>
      <w:r w:rsidR="00004DCC" w:rsidRPr="007721FB">
        <w:rPr>
          <w:rFonts w:ascii="Times New Roman" w:hAnsi="Times New Roman" w:cs="Times New Roman"/>
          <w:sz w:val="24"/>
          <w:szCs w:val="24"/>
        </w:rPr>
        <w:t xml:space="preserve"> stem cells transfected with hydroxyapatite</w:t>
      </w:r>
      <w:r w:rsidR="006328B0" w:rsidRPr="007721FB">
        <w:rPr>
          <w:rFonts w:ascii="Times New Roman" w:hAnsi="Times New Roman" w:cs="Times New Roman"/>
          <w:sz w:val="24"/>
          <w:szCs w:val="24"/>
        </w:rPr>
        <w:t>-based</w:t>
      </w:r>
      <w:r w:rsidR="00004DCC" w:rsidRPr="007721FB">
        <w:rPr>
          <w:rFonts w:ascii="Times New Roman" w:hAnsi="Times New Roman" w:cs="Times New Roman"/>
          <w:sz w:val="24"/>
          <w:szCs w:val="24"/>
        </w:rPr>
        <w:t xml:space="preserve"> nanoparticles</w:t>
      </w:r>
      <w:r w:rsidR="000F0C55" w:rsidRPr="007721FB">
        <w:rPr>
          <w:rFonts w:ascii="Times New Roman" w:hAnsi="Times New Roman" w:cs="Times New Roman"/>
          <w:sz w:val="24"/>
          <w:szCs w:val="24"/>
        </w:rPr>
        <w:t xml:space="preserve"> as a strategy to</w:t>
      </w:r>
      <w:r w:rsidR="00004DCC" w:rsidRPr="007721FB">
        <w:rPr>
          <w:rFonts w:ascii="Times New Roman" w:hAnsi="Times New Roman" w:cs="Times New Roman"/>
          <w:sz w:val="24"/>
          <w:szCs w:val="24"/>
        </w:rPr>
        <w:t xml:space="preserve"> improve h</w:t>
      </w:r>
      <w:r w:rsidR="000F0C55" w:rsidRPr="007721FB">
        <w:rPr>
          <w:rFonts w:ascii="Times New Roman" w:hAnsi="Times New Roman" w:cs="Times New Roman"/>
          <w:sz w:val="24"/>
          <w:szCs w:val="24"/>
        </w:rPr>
        <w:t>uman mesenchymal/stromal stem cells (hMSCs)</w:t>
      </w:r>
      <w:r w:rsidR="00004DCC" w:rsidRPr="007721FB">
        <w:rPr>
          <w:rFonts w:ascii="Times New Roman" w:hAnsi="Times New Roman" w:cs="Times New Roman"/>
          <w:sz w:val="24"/>
          <w:szCs w:val="24"/>
        </w:rPr>
        <w:t xml:space="preserve"> osteoblastogenesis.</w:t>
      </w:r>
      <w:r w:rsidR="000F0C55" w:rsidRPr="007721FB">
        <w:rPr>
          <w:rFonts w:ascii="Times New Roman" w:hAnsi="Times New Roman" w:cs="Times New Roman"/>
          <w:sz w:val="24"/>
          <w:szCs w:val="24"/>
        </w:rPr>
        <w:t xml:space="preserve"> </w:t>
      </w:r>
      <w:r w:rsidR="00DB7FDB" w:rsidRPr="007721FB">
        <w:rPr>
          <w:rFonts w:ascii="Times New Roman" w:hAnsi="Times New Roman" w:cs="Times New Roman"/>
          <w:sz w:val="24"/>
          <w:szCs w:val="24"/>
        </w:rPr>
        <w:t>It</w:t>
      </w:r>
      <w:r w:rsidR="008112B2" w:rsidRPr="007721FB">
        <w:rPr>
          <w:rFonts w:ascii="Times New Roman" w:hAnsi="Times New Roman" w:cs="Times New Roman"/>
          <w:sz w:val="24"/>
          <w:szCs w:val="24"/>
        </w:rPr>
        <w:t xml:space="preserve"> i</w:t>
      </w:r>
      <w:r w:rsidR="000F0C55" w:rsidRPr="007721FB">
        <w:rPr>
          <w:rFonts w:ascii="Times New Roman" w:hAnsi="Times New Roman" w:cs="Times New Roman"/>
          <w:sz w:val="24"/>
          <w:szCs w:val="24"/>
        </w:rPr>
        <w:t xml:space="preserve">s important to highlight that </w:t>
      </w:r>
      <w:r w:rsidR="006328B0" w:rsidRPr="007721FB">
        <w:rPr>
          <w:rFonts w:ascii="Times New Roman" w:hAnsi="Times New Roman" w:cs="Times New Roman"/>
          <w:sz w:val="24"/>
          <w:szCs w:val="24"/>
        </w:rPr>
        <w:t>both trials</w:t>
      </w:r>
      <w:r w:rsidR="000F0C55" w:rsidRPr="007721FB">
        <w:rPr>
          <w:rFonts w:ascii="Times New Roman" w:hAnsi="Times New Roman" w:cs="Times New Roman"/>
          <w:sz w:val="24"/>
          <w:szCs w:val="24"/>
        </w:rPr>
        <w:t xml:space="preserve"> employ pristine nanoparticles with no specific selectivity for bone tissue or bone tissue progenitor cells.</w:t>
      </w:r>
      <w:r w:rsidR="00DB7FDB" w:rsidRPr="007721FB">
        <w:rPr>
          <w:rFonts w:ascii="Times New Roman" w:hAnsi="Times New Roman" w:cs="Times New Roman"/>
          <w:sz w:val="24"/>
          <w:szCs w:val="24"/>
        </w:rPr>
        <w:t xml:space="preserve"> In fact, as the knowledge on the complexity of bone disease/remodeling dynamics deepens, there is an ever-increasing notion that simply relying on increased drug accumulation in bone tissues and passive diffusion from nanocarriers may not be enough to achieve a selective and clinically significant therapeutic effect</w:t>
      </w:r>
      <w:r w:rsidR="00496BD7" w:rsidRPr="007721FB">
        <w:rPr>
          <w:rFonts w:ascii="Times New Roman" w:hAnsi="Times New Roman" w:cs="Times New Roman"/>
          <w:sz w:val="24"/>
          <w:szCs w:val="24"/>
        </w:rPr>
        <w:t xml:space="preserve"> </w:t>
      </w:r>
      <w:r w:rsidR="00DB7FDB" w:rsidRPr="007721FB">
        <w:rPr>
          <w:rFonts w:ascii="Times New Roman" w:hAnsi="Times New Roman" w:cs="Times New Roman"/>
          <w:sz w:val="24"/>
          <w:szCs w:val="24"/>
        </w:rPr>
        <w:fldChar w:fldCharType="begin" w:fldLock="1"/>
      </w:r>
      <w:r w:rsidR="00496BD7" w:rsidRPr="007721FB">
        <w:rPr>
          <w:rFonts w:ascii="Times New Roman" w:hAnsi="Times New Roman" w:cs="Times New Roman"/>
          <w:sz w:val="24"/>
          <w:szCs w:val="24"/>
        </w:rPr>
        <w:instrText>ADDIN CSL_CITATION { "citationItems" : [ { "id" : "ITEM-1", "itemData" : { "DOI" : "10.22203/eCM.v031a23", "ISSN" : "14732262", "author" : [ { "dropping-particle" : "", "family" : "Alencastre", "given" : "I. S.", "non-dropping-particle" : "", "parse-names" : false, "suffix" : "" }, { "dropping-particle" : "", "family" : "Sousa", "given" : "D. M.", "non-dropping-particle" : "", "parse-names" : false, "suffix" : "" }, { "dropping-particle" : "", "family" : "Alves", "given" : "C. J.", "non-dropping-particle" : "", "parse-names" : false, "suffix" : "" }, { "dropping-particle" : "", "family" : "Leit\u00e3o", "given" : "L.", "non-dropping-particle" : "", "parse-names" : false, "suffix" : "" }, { "dropping-particle" : "", "family" : "Neto", "given" : "E.", "non-dropping-particle" : "", "parse-names" : false, "suffix" : "" }, { "dropping-particle" : "", "family" : "Aguiar", "given" : "P.", "non-dropping-particle" : "", "parse-names" : false, "suffix" : "" }, { "dropping-particle" : "", "family" : "Lamghari", "given" : "Meriem", "non-dropping-particle" : "", "parse-names" : false, "suffix" : "" } ], "container-title" : "European Cells and Materials", "id" : "ITEM-1", "issued" : { "date-parts" : [ [ "2016" ] ] }, "page" : "355-381", "title" : "Delivery of pharmaceutics to bone: Nanotechnologies, high-throughput processing and in silico mathematical models", "type" : "article-journal", "volume" : "31" }, "uris" : [ "http://www.mendeley.com/documents/?uuid=2a4122c7-da52-4c62-9b0b-487e5b6fe31a", "http://www.mendeley.com/documents/?uuid=aab045be-86a8-4cab-8b84-a83e297ee4a3" ] }, { "id" : "ITEM-2", "itemData" : { "DOI" : "10.1517/17425240903044935", "ISBN" : "1744-7593 (Electronic)\\r1742-5247 (Linking)", "ISSN" : "1744-7593", "PMID" : "19637973", "abstract" : "Rapid developments at the intersection of nanotechnology and controlled drug delivery have triggered exceptional growth in treating various bone diseases. As a result, over the past decade, nanotechnology has contributed tremendously to controlling drug delivery for treating various bone diseases, and in many cases, has led to increased bone regeneration. In this review paper, the recent experimental progress towards using nanotechnology to treat bone-specific diseases is reviewed. Novel applications of different types of nanomaterials (from nanoparticles to 3D nanostructured scaffolds) for treating bone diseases are summarized. In addition, fundamental principles for utilizing nanomaterials to create better drug delivery systems, especially for treating bone diseases and regenerating bone, are emphasized.", "author" : [ { "dropping-particle" : "", "family" : "Yang", "given" : "Lei", "non-dropping-particle" : "", "parse-names" : false, "suffix" : "" }, { "dropping-particle" : "", "family" : "Webster", "given" : "Thomas J", "non-dropping-particle" : "", "parse-names" : false, "suffix" : "" } ], "container-title" : "Expert opinion on drug delivery", "id" : "ITEM-2", "issue" : "8", "issued" : { "date-parts" : [ [ "2009" ] ] }, "page" : "851-64", "title" : "Nanotechnology controlled drug delivery for treating bone diseases.", "type" : "article-journal", "volume" : "6" }, "uris" : [ "http://www.mendeley.com/documents/?uuid=3cce5604-b538-46f9-9e74-2b3541e6be5a", "http://www.mendeley.com/documents/?uuid=a3fd190d-b436-4cc1-999d-b72b19254574" ] } ], "mendeley" : { "formattedCitation" : "[14,15]", "plainTextFormattedCitation" : "[14,15]", "previouslyFormattedCitation" : "[14,15]" }, "properties" : { "noteIndex" : 0 }, "schema" : "https://github.com/citation-style-language/schema/raw/master/csl-citation.json" }</w:instrText>
      </w:r>
      <w:r w:rsidR="00DB7FDB" w:rsidRPr="007721FB">
        <w:rPr>
          <w:rFonts w:ascii="Times New Roman" w:hAnsi="Times New Roman" w:cs="Times New Roman"/>
          <w:sz w:val="24"/>
          <w:szCs w:val="24"/>
        </w:rPr>
        <w:fldChar w:fldCharType="separate"/>
      </w:r>
      <w:r w:rsidR="00496BD7" w:rsidRPr="007721FB">
        <w:rPr>
          <w:rFonts w:ascii="Times New Roman" w:hAnsi="Times New Roman" w:cs="Times New Roman"/>
          <w:noProof/>
          <w:sz w:val="24"/>
          <w:szCs w:val="24"/>
        </w:rPr>
        <w:t>[14,15]</w:t>
      </w:r>
      <w:r w:rsidR="00DB7FDB" w:rsidRPr="007721FB">
        <w:rPr>
          <w:rFonts w:ascii="Times New Roman" w:hAnsi="Times New Roman" w:cs="Times New Roman"/>
          <w:sz w:val="24"/>
          <w:szCs w:val="24"/>
        </w:rPr>
        <w:fldChar w:fldCharType="end"/>
      </w:r>
      <w:r w:rsidR="00496BD7" w:rsidRPr="007721FB">
        <w:rPr>
          <w:rFonts w:ascii="Times New Roman" w:hAnsi="Times New Roman" w:cs="Times New Roman"/>
          <w:sz w:val="24"/>
          <w:szCs w:val="24"/>
        </w:rPr>
        <w:t>.</w:t>
      </w:r>
    </w:p>
    <w:p w14:paraId="4B638F6D" w14:textId="7C261E69" w:rsidR="00340699" w:rsidRPr="007721FB" w:rsidRDefault="00314E8B" w:rsidP="00FA44FB">
      <w:pPr>
        <w:spacing w:after="0" w:line="240" w:lineRule="auto"/>
        <w:jc w:val="both"/>
        <w:rPr>
          <w:rFonts w:ascii="Times New Roman" w:hAnsi="Times New Roman" w:cs="Times New Roman"/>
          <w:sz w:val="24"/>
          <w:szCs w:val="24"/>
        </w:rPr>
      </w:pPr>
      <w:r w:rsidRPr="007721FB">
        <w:rPr>
          <w:rFonts w:ascii="Times New Roman" w:hAnsi="Times New Roman" w:cs="Times New Roman"/>
          <w:sz w:val="24"/>
          <w:szCs w:val="24"/>
        </w:rPr>
        <w:lastRenderedPageBreak/>
        <w:t xml:space="preserve">   </w:t>
      </w:r>
      <w:r w:rsidR="009E1EB4" w:rsidRPr="007721FB">
        <w:rPr>
          <w:rFonts w:ascii="Times New Roman" w:hAnsi="Times New Roman" w:cs="Times New Roman"/>
          <w:sz w:val="24"/>
          <w:szCs w:val="24"/>
        </w:rPr>
        <w:t>T</w:t>
      </w:r>
      <w:r w:rsidRPr="007721FB">
        <w:rPr>
          <w:rFonts w:ascii="Times New Roman" w:hAnsi="Times New Roman" w:cs="Times New Roman"/>
          <w:sz w:val="24"/>
          <w:szCs w:val="24"/>
        </w:rPr>
        <w:t>he</w:t>
      </w:r>
      <w:r w:rsidR="000F0C55" w:rsidRPr="007721FB">
        <w:rPr>
          <w:rFonts w:ascii="Times New Roman" w:hAnsi="Times New Roman" w:cs="Times New Roman"/>
          <w:sz w:val="24"/>
          <w:szCs w:val="24"/>
        </w:rPr>
        <w:t xml:space="preserve"> </w:t>
      </w:r>
      <w:r w:rsidR="009E1EB4" w:rsidRPr="007721FB">
        <w:rPr>
          <w:rFonts w:ascii="Times New Roman" w:hAnsi="Times New Roman" w:cs="Times New Roman"/>
          <w:sz w:val="24"/>
          <w:szCs w:val="24"/>
        </w:rPr>
        <w:t>functionalization of nanocarriers with</w:t>
      </w:r>
      <w:r w:rsidR="000F0C55" w:rsidRPr="007721FB">
        <w:rPr>
          <w:rFonts w:ascii="Times New Roman" w:hAnsi="Times New Roman" w:cs="Times New Roman"/>
          <w:sz w:val="24"/>
          <w:szCs w:val="24"/>
        </w:rPr>
        <w:t xml:space="preserve"> bone targeting moieties </w:t>
      </w:r>
      <w:r w:rsidR="008112B2" w:rsidRPr="007721FB">
        <w:rPr>
          <w:rFonts w:ascii="Times New Roman" w:hAnsi="Times New Roman" w:cs="Times New Roman"/>
          <w:sz w:val="24"/>
          <w:szCs w:val="24"/>
        </w:rPr>
        <w:t xml:space="preserve">is </w:t>
      </w:r>
      <w:r w:rsidR="000F0C55" w:rsidRPr="007721FB">
        <w:rPr>
          <w:rFonts w:ascii="Times New Roman" w:hAnsi="Times New Roman" w:cs="Times New Roman"/>
          <w:sz w:val="24"/>
          <w:szCs w:val="24"/>
        </w:rPr>
        <w:t>particularly</w:t>
      </w:r>
      <w:r w:rsidR="009E1EB4" w:rsidRPr="007721FB">
        <w:rPr>
          <w:rFonts w:ascii="Times New Roman" w:hAnsi="Times New Roman" w:cs="Times New Roman"/>
          <w:sz w:val="24"/>
          <w:szCs w:val="24"/>
        </w:rPr>
        <w:t xml:space="preserve"> valuable</w:t>
      </w:r>
      <w:r w:rsidR="000F0C55" w:rsidRPr="007721FB">
        <w:rPr>
          <w:rFonts w:ascii="Times New Roman" w:hAnsi="Times New Roman" w:cs="Times New Roman"/>
          <w:sz w:val="24"/>
          <w:szCs w:val="24"/>
        </w:rPr>
        <w:t xml:space="preserve"> </w:t>
      </w:r>
      <w:r w:rsidR="009E1EB4" w:rsidRPr="007721FB">
        <w:rPr>
          <w:rFonts w:ascii="Times New Roman" w:hAnsi="Times New Roman" w:cs="Times New Roman"/>
          <w:sz w:val="24"/>
          <w:szCs w:val="24"/>
        </w:rPr>
        <w:t>for improving accumulation in</w:t>
      </w:r>
      <w:r w:rsidR="000F0C55" w:rsidRPr="007721FB">
        <w:rPr>
          <w:rFonts w:ascii="Times New Roman" w:hAnsi="Times New Roman" w:cs="Times New Roman"/>
          <w:sz w:val="24"/>
          <w:szCs w:val="24"/>
        </w:rPr>
        <w:t xml:space="preserve"> </w:t>
      </w:r>
      <w:r w:rsidR="008112B2" w:rsidRPr="007721FB">
        <w:rPr>
          <w:rFonts w:ascii="Times New Roman" w:hAnsi="Times New Roman" w:cs="Times New Roman"/>
          <w:sz w:val="24"/>
          <w:szCs w:val="24"/>
        </w:rPr>
        <w:t>bone-</w:t>
      </w:r>
      <w:r w:rsidR="006328B0" w:rsidRPr="007721FB">
        <w:rPr>
          <w:rFonts w:ascii="Times New Roman" w:hAnsi="Times New Roman" w:cs="Times New Roman"/>
          <w:sz w:val="24"/>
          <w:szCs w:val="24"/>
        </w:rPr>
        <w:t xml:space="preserve">specific cells </w:t>
      </w:r>
      <w:r w:rsidR="006F6FA4" w:rsidRPr="007721FB">
        <w:rPr>
          <w:rFonts w:ascii="Times New Roman" w:hAnsi="Times New Roman" w:cs="Times New Roman"/>
          <w:sz w:val="24"/>
          <w:szCs w:val="24"/>
        </w:rPr>
        <w:t>or in</w:t>
      </w:r>
      <w:r w:rsidR="006328B0" w:rsidRPr="007721FB">
        <w:rPr>
          <w:rFonts w:ascii="Times New Roman" w:hAnsi="Times New Roman" w:cs="Times New Roman"/>
          <w:sz w:val="24"/>
          <w:szCs w:val="24"/>
        </w:rPr>
        <w:t xml:space="preserve"> dynamic</w:t>
      </w:r>
      <w:r w:rsidR="008112B2" w:rsidRPr="007721FB">
        <w:rPr>
          <w:rFonts w:ascii="Times New Roman" w:hAnsi="Times New Roman" w:cs="Times New Roman"/>
          <w:sz w:val="24"/>
          <w:szCs w:val="24"/>
        </w:rPr>
        <w:t xml:space="preserve"> </w:t>
      </w:r>
      <w:r w:rsidR="006328B0" w:rsidRPr="007721FB">
        <w:rPr>
          <w:rFonts w:ascii="Times New Roman" w:hAnsi="Times New Roman" w:cs="Times New Roman"/>
          <w:sz w:val="24"/>
          <w:szCs w:val="24"/>
        </w:rPr>
        <w:t>bone</w:t>
      </w:r>
      <w:r w:rsidR="00B02D2F" w:rsidRPr="007721FB">
        <w:rPr>
          <w:rFonts w:ascii="Times New Roman" w:hAnsi="Times New Roman" w:cs="Times New Roman"/>
          <w:sz w:val="24"/>
          <w:szCs w:val="24"/>
        </w:rPr>
        <w:t xml:space="preserve"> </w:t>
      </w:r>
      <w:r w:rsidR="008112B2" w:rsidRPr="007721FB">
        <w:rPr>
          <w:rFonts w:ascii="Times New Roman" w:hAnsi="Times New Roman" w:cs="Times New Roman"/>
          <w:sz w:val="24"/>
          <w:szCs w:val="24"/>
        </w:rPr>
        <w:t>disease scenarios</w:t>
      </w:r>
      <w:r w:rsidR="000F0C55" w:rsidRPr="007721FB">
        <w:rPr>
          <w:rFonts w:ascii="Times New Roman" w:hAnsi="Times New Roman" w:cs="Times New Roman"/>
          <w:sz w:val="24"/>
          <w:szCs w:val="24"/>
        </w:rPr>
        <w:t xml:space="preserve">. </w:t>
      </w:r>
      <w:r w:rsidR="00AA5247" w:rsidRPr="007721FB">
        <w:rPr>
          <w:rFonts w:ascii="Times New Roman" w:hAnsi="Times New Roman" w:cs="Times New Roman"/>
          <w:sz w:val="24"/>
          <w:szCs w:val="24"/>
        </w:rPr>
        <w:t>Among</w:t>
      </w:r>
      <w:r w:rsidR="00E11B56" w:rsidRPr="007721FB">
        <w:rPr>
          <w:rFonts w:ascii="Times New Roman" w:hAnsi="Times New Roman" w:cs="Times New Roman"/>
          <w:sz w:val="24"/>
          <w:szCs w:val="24"/>
        </w:rPr>
        <w:t xml:space="preserve"> the different</w:t>
      </w:r>
      <w:r w:rsidR="00AA5247" w:rsidRPr="007721FB">
        <w:rPr>
          <w:rFonts w:ascii="Times New Roman" w:hAnsi="Times New Roman" w:cs="Times New Roman"/>
          <w:sz w:val="24"/>
          <w:szCs w:val="24"/>
        </w:rPr>
        <w:t xml:space="preserve"> </w:t>
      </w:r>
      <w:r w:rsidR="00E11B56" w:rsidRPr="007721FB">
        <w:rPr>
          <w:rFonts w:ascii="Times New Roman" w:hAnsi="Times New Roman" w:cs="Times New Roman"/>
          <w:sz w:val="24"/>
          <w:szCs w:val="24"/>
        </w:rPr>
        <w:t>molecules</w:t>
      </w:r>
      <w:r w:rsidR="00AA5247" w:rsidRPr="007721FB">
        <w:rPr>
          <w:rFonts w:ascii="Times New Roman" w:hAnsi="Times New Roman" w:cs="Times New Roman"/>
          <w:sz w:val="24"/>
          <w:szCs w:val="24"/>
        </w:rPr>
        <w:t xml:space="preserve"> explored to date, </w:t>
      </w:r>
      <w:r w:rsidR="00C045E9" w:rsidRPr="007721FB">
        <w:rPr>
          <w:rFonts w:ascii="Times New Roman" w:hAnsi="Times New Roman" w:cs="Times New Roman"/>
          <w:sz w:val="24"/>
          <w:szCs w:val="24"/>
        </w:rPr>
        <w:t>bisphos</w:t>
      </w:r>
      <w:bookmarkStart w:id="3" w:name="_GoBack"/>
      <w:bookmarkEnd w:id="3"/>
      <w:r w:rsidR="00C045E9" w:rsidRPr="007721FB">
        <w:rPr>
          <w:rFonts w:ascii="Times New Roman" w:hAnsi="Times New Roman" w:cs="Times New Roman"/>
          <w:sz w:val="24"/>
          <w:szCs w:val="24"/>
        </w:rPr>
        <w:t>phonates</w:t>
      </w:r>
      <w:r w:rsidR="00AA5247" w:rsidRPr="007721FB">
        <w:rPr>
          <w:rFonts w:ascii="Times New Roman" w:hAnsi="Times New Roman" w:cs="Times New Roman"/>
          <w:sz w:val="24"/>
          <w:szCs w:val="24"/>
        </w:rPr>
        <w:t>, aptamers and peptides (e.g., aspartate-based oligopeptides), have</w:t>
      </w:r>
      <w:r w:rsidR="009E1EB4" w:rsidRPr="007721FB">
        <w:rPr>
          <w:rFonts w:ascii="Times New Roman" w:hAnsi="Times New Roman" w:cs="Times New Roman"/>
          <w:sz w:val="24"/>
          <w:szCs w:val="24"/>
        </w:rPr>
        <w:t xml:space="preserve"> been</w:t>
      </w:r>
      <w:r w:rsidR="00E11B56" w:rsidRPr="007721FB">
        <w:rPr>
          <w:rFonts w:ascii="Times New Roman" w:hAnsi="Times New Roman" w:cs="Times New Roman"/>
          <w:sz w:val="24"/>
          <w:szCs w:val="24"/>
        </w:rPr>
        <w:t xml:space="preserve"> the most</w:t>
      </w:r>
      <w:r w:rsidR="00AA5247" w:rsidRPr="007721FB">
        <w:rPr>
          <w:rFonts w:ascii="Times New Roman" w:hAnsi="Times New Roman" w:cs="Times New Roman"/>
          <w:sz w:val="24"/>
          <w:szCs w:val="24"/>
        </w:rPr>
        <w:t xml:space="preserve"> </w:t>
      </w:r>
      <w:r w:rsidR="00DB7FDB" w:rsidRPr="007721FB">
        <w:rPr>
          <w:rFonts w:ascii="Times New Roman" w:hAnsi="Times New Roman" w:cs="Times New Roman"/>
          <w:sz w:val="24"/>
          <w:szCs w:val="24"/>
        </w:rPr>
        <w:t>used</w:t>
      </w:r>
      <w:r w:rsidR="0035595A" w:rsidRPr="007721FB">
        <w:rPr>
          <w:rFonts w:ascii="Times New Roman" w:hAnsi="Times New Roman" w:cs="Times New Roman"/>
          <w:sz w:val="24"/>
          <w:szCs w:val="24"/>
        </w:rPr>
        <w:t xml:space="preserve"> </w:t>
      </w:r>
      <w:r w:rsidR="00AA5247" w:rsidRPr="007721FB">
        <w:rPr>
          <w:rFonts w:ascii="Times New Roman" w:hAnsi="Times New Roman" w:cs="Times New Roman"/>
          <w:sz w:val="24"/>
          <w:szCs w:val="24"/>
        </w:rPr>
        <w:t xml:space="preserve">to </w:t>
      </w:r>
      <w:r w:rsidR="0035595A" w:rsidRPr="007721FB">
        <w:rPr>
          <w:rFonts w:ascii="Times New Roman" w:hAnsi="Times New Roman" w:cs="Times New Roman"/>
          <w:sz w:val="24"/>
          <w:szCs w:val="24"/>
        </w:rPr>
        <w:t xml:space="preserve">functionalize </w:t>
      </w:r>
      <w:r w:rsidR="00AA5247" w:rsidRPr="007721FB">
        <w:rPr>
          <w:rFonts w:ascii="Times New Roman" w:hAnsi="Times New Roman" w:cs="Times New Roman"/>
          <w:sz w:val="24"/>
          <w:szCs w:val="24"/>
        </w:rPr>
        <w:t>nanocarriers</w:t>
      </w:r>
      <w:r w:rsidR="0035595A" w:rsidRPr="007721FB">
        <w:rPr>
          <w:rFonts w:ascii="Times New Roman" w:hAnsi="Times New Roman" w:cs="Times New Roman"/>
          <w:sz w:val="24"/>
          <w:szCs w:val="24"/>
        </w:rPr>
        <w:t xml:space="preserve"> s</w:t>
      </w:r>
      <w:r w:rsidR="00DB7FDB" w:rsidRPr="007721FB">
        <w:rPr>
          <w:rFonts w:ascii="Times New Roman" w:hAnsi="Times New Roman" w:cs="Times New Roman"/>
          <w:sz w:val="24"/>
          <w:szCs w:val="24"/>
        </w:rPr>
        <w:t>urface and endow them with bone-</w:t>
      </w:r>
      <w:r w:rsidR="0035595A" w:rsidRPr="007721FB">
        <w:rPr>
          <w:rFonts w:ascii="Times New Roman" w:hAnsi="Times New Roman" w:cs="Times New Roman"/>
          <w:sz w:val="24"/>
          <w:szCs w:val="24"/>
        </w:rPr>
        <w:t>targeting properties</w:t>
      </w:r>
      <w:r w:rsidR="000760CD" w:rsidRPr="007721FB">
        <w:rPr>
          <w:rFonts w:ascii="Times New Roman" w:hAnsi="Times New Roman" w:cs="Times New Roman"/>
          <w:sz w:val="24"/>
          <w:szCs w:val="24"/>
        </w:rPr>
        <w:t xml:space="preserve"> </w:t>
      </w:r>
      <w:r w:rsidR="00AA5247" w:rsidRPr="007721FB">
        <w:rPr>
          <w:rFonts w:ascii="Times New Roman" w:hAnsi="Times New Roman" w:cs="Times New Roman"/>
          <w:sz w:val="24"/>
          <w:szCs w:val="24"/>
        </w:rPr>
        <w:fldChar w:fldCharType="begin" w:fldLock="1"/>
      </w:r>
      <w:r w:rsidR="00496BD7" w:rsidRPr="007721FB">
        <w:rPr>
          <w:rFonts w:ascii="Times New Roman" w:hAnsi="Times New Roman" w:cs="Times New Roman"/>
          <w:sz w:val="24"/>
          <w:szCs w:val="24"/>
        </w:rPr>
        <w:instrText>ADDIN CSL_CITATION { "citationItems" : [ { "id" : "ITEM-1", "itemData" : { "abstract" : "Despite several decades of progress, bone-specific delivery is still limited by the unique anatomical features of bone, which mainly consists of inorganic hydroxyapatite. A practical approach to this problem is to produce targeted drugs that have a high affinity for hydroxyapatite. Bisphosphonates are a class of synthetic compounds structurally related to pyrophosphate. Bisphosphonates rap- idly localise on the bone surface after being administered either intravenously or orally, since the P-C-P portion of the bisphosphonate structure has high affinity for hydroxyapatite. Therefore, bisphosphonate modification might be a promising method for targeting drugs selectively to the bone. Bisphosphonate-conjugated drugs are hydrophilic and highly water-soluble due to the acidic nature of the bisphosphonate moiety at physiological pH, and therefore they hardly permeate through the biological membrane of soft tissues. These physicochemical changes also reduce the intrinsic susceptibility of the drug to metabolism, promoting urinary or biliary excretion as unchanged drug. All these physicochemical and pharmacokinetic alterations contribute to the excep- tional skeletal disposition of bisphosphonate-conjugated drugs. Bisphosphonate conjugation is based on chemical modification of the targeting molecule, and therapeutically optimised bisphosphonate derivatives have to be custom-developed on a case-by-case basis. The bisphosphonate moiety is usually coupled with the targeting drug through a specific linkage. The high affinity of bisphosphonate conjugates for the bone is not simply dependent on the bisphos- phonate moiety but on the resultant molecule as a whole, including the linker and the linked drug. Lipophilicity (represented as log P) appears to be an appropriate index for predicting the osteotropic properties of bisphosphonate derivatives. Several strategies using bisphosphonate-conjugated drugs have been investi- gated at a laboratory level with the aim of obtaining therapeutically optimised treatments for conditions such as osteoporosis, osteoarthritis and bone cancer. In each case, the intention is to achieve prolonged local exposure to high concentra- tions of the targeting drug, thereby improving therapeutic index by enhancing pharmacological efficacy and minimising systemic adverse effects. Although most examples of bone-specific drug delivery via bone-seeking agents still remain in preclinical studies, several phosphonate-coupled radi- opharmaceuticals,\u2026", "author" : [ { "dropping-particle" : "", "family" : "Hirabayashi", "given" : "Hideki", "non-dropping-particle" : "", "parse-names" : false, "suffix" : "" }, { "dropping-particle" : "", "family" : "Fujisaki", "given" : "Jiro", "non-dropping-particle" : "", "parse-names" : false, "suffix" : "" } ], "container-title" : "Clinical Pharmacokinetics", "id" : "ITEM-1", "issue" : "15", "issued" : { "date-parts" : [ [ "2003" ] ] }, "page" : "1319-1330", "title" : "Bone-Specific Drug Delivery Systems Approaches via Chemical Modification of", "type" : "article-journal", "volume" : "42" }, "uris" : [ "http://www.mendeley.com/documents/?uuid=11beaa8e-0277-428f-887d-040f6e198930", "http://www.mendeley.com/documents/?uuid=71d69251-3a7c-4a48-9dce-a0731fc65aab" ] }, { "id" : "ITEM-2", "itemData" : { "DOI" : "10.1016/j.addr.2012.05.017", "ISBN" : "0169-409X\\r1872-8294", "ISSN" : "0169409X", "PMID" : "22709649", "abstract" : "Peptides are attractive as novel therapeutic reagents, since they are flexible in adopting and mimicking the local structural features of proteins. Versatile capabilities to perform organic synthetic manipulations are another unique feature of peptides compared to protein-based medicines, such as antibodies. On the other hand, a disadvantage of using a peptide for a therapeutic purpose is its low stability and/or high level of aggregation. During the past two decades, numerous peptides were developed for the treatment of bone diseases, and some peptides have already been used for local applications to repair bone defects in the clinic. However, very few peptides have the ability to form bone themselves. We herein summarize the effects of the therapeutic peptides on bone loss and/or local bone defects, including the results from basic studies. We also herein describe some possible methods for overcoming the obstacles associated with using therapeutic peptide candidates. ?? 2012 Elsevier B.V.", "author" : [ { "dropping-particle" : "", "family" : "Aoki", "given" : "Kazuhiro", "non-dropping-particle" : "", "parse-names" : false, "suffix" : "" }, { "dropping-particle" : "", "family" : "Alles", "given" : "Neil", "non-dropping-particle" : "", "parse-names" : false, "suffix" : "" }, { "dropping-particle" : "", "family" : "Soysa", "given" : "Niroshani", "non-dropping-particle" : "", "parse-names" : false, "suffix" : "" }, { "dropping-particle" : "", "family" : "Ohya", "given" : "Keiichi", "non-dropping-particle" : "", "parse-names" : false, "suffix" : "" } ], "container-title" : "Advanced Drug Delivery Reviews", "id" : "ITEM-2", "issue" : "12", "issued" : { "date-parts" : [ [ "2012" ] ] }, "page" : "1220-1238", "publisher" : "Elsevier B.V.", "title" : "Peptide-based delivery to bone", "type" : "article-journal", "volume" : "64" }, "uris" : [ "http://www.mendeley.com/documents/?uuid=7cfb4af9-cc3e-46f2-88e2-8e76731887ca", "http://www.mendeley.com/documents/?uuid=e3524794-ff9e-4b42-883d-cb82a269c9ec" ] }, { "id" : "ITEM-3", "itemData" : { "DOI" : "10.3390/ijms17030428", "ISSN" : "1422-0067", "abstract" : "Abnormalities in the integral components of bone, including bone matrix, bone mineral and bone cells, give rise to complex disturbances of skeletal development, growth and homeostasis. Non-specific drug delivery using high-dose systemic administration may decrease therapeutic efficacy of drugs and increase the risk of toxic effects in non-skeletal tissues, which remain clinical challenges in the treatment of skeletal disorders. Thus, targeted delivery systems are urgently needed to achieve higher drug delivery efficiency, improve therapeutic efficacy in the targeted cells/tissues, and minimize toxicities in non-targeted cells/tissues. In this review, we summarize recent progress in the application of different targeting moieties and nanoparticles for targeted drug delivery in skeletal disorders, and also discuss the advantages, challenges and perspectives in their clinical translation.", "author" : [ { "dropping-particle" : "", "family" : "Dang", "given" : "Lei", "non-dropping-particle" : "", "parse-names" : false, "suffix" : "" }, { "dropping-particle" : "", "family" : "Liu", "given" : "Jin", "non-dropping-particle" : "", "parse-names" : false, "suffix" : "" }, { "dropping-particle" : "", "family" : "Li", "given" : "Fangfei", "non-dropping-particle" : "", "parse-names" : false, "suffix" : "" }, { "dropping-particle" : "", "family" : "Wang", "given" : "Luyao", "non-dropping-particle" : "", "parse-names" : false, "suffix" : "" }, { "dropping-particle" : "", "family" : "Li", "given" : "Defang", "non-dropping-particle" : "", "parse-names" : false, "suffix" : "" }, { "dropping-particle" : "", "family" : "Guo", "given" : "Baosheng", "non-dropping-particle" : "", "parse-names" : false, "suffix" : "" }, { "dropping-particle" : "", "family" : "He", "given" : "Xiaojuan", "non-dropping-particle" : "", "parse-names" : false, "suffix" : "" }, { "dropping-particle" : "", "family" : "Jiang", "given" : "Feng", "non-dropping-particle" : "", "parse-names" : false, "suffix" : "" }, { "dropping-particle" : "", "family" : "Liang", "given" : "Chao", "non-dropping-particle" : "", "parse-names" : false, "suffix" : "" }, { "dropping-particle" : "", "family" : "Liu", "given" : "Biao", "non-dropping-particle" : "", "parse-names" : false, "suffix" : "" }, { "dropping-particle" : "", "family" : "Badshah", "given" : "Shaikh", "non-dropping-particle" : "", "parse-names" : false, "suffix" : "" }, { "dropping-particle" : "", "family" : "He", "given" : "Bing", "non-dropping-particle" : "", "parse-names" : false, "suffix" : "" }, { "dropping-particle" : "", "family" : "Lu", "given" : "Jun", "non-dropping-particle" : "", "parse-names" : false, "suffix" : "" }, { "dropping-particle" : "", "family" : "Lu", "given" : "Cheng", "non-dropping-particle" : "", "parse-names" : false, "suffix" : "" }, { "dropping-particle" : "", "family" : "Lu", "given" : "Aiping", "non-dropping-particle" : "", "parse-names" : false, "suffix" : "" }, { "dropping-particle" : "", "family" : "Zhang", "given" : "Ge", "non-dropping-particle" : "", "parse-names" : false, "suffix" : "" } ], "container-title" : "International Journal of Molecular Sciences", "id" : "ITEM-3", "issue" : "3", "issued" : { "date-parts" : [ [ "2016" ] ] }, "page" : "428", "title" : "Targeted Delivery Systems for Molecular Therapy in Skeletal Disorders", "type" : "article-journal", "volume" : "17" }, "uris" : [ "http://www.mendeley.com/documents/?uuid=6113e1b9-587f-41ef-be25-11142b4487a9", "http://www.mendeley.com/documents/?uuid=f4e4c1b4-58da-4e32-a1dc-49604f2cd293" ] } ], "mendeley" : { "formattedCitation" : "[16\u201318]", "plainTextFormattedCitation" : "[16\u201318]", "previouslyFormattedCitation" : "[16\u201318]" }, "properties" : { "noteIndex" : 0 }, "schema" : "https://github.com/citation-style-language/schema/raw/master/csl-citation.json" }</w:instrText>
      </w:r>
      <w:r w:rsidR="00AA5247" w:rsidRPr="007721FB">
        <w:rPr>
          <w:rFonts w:ascii="Times New Roman" w:hAnsi="Times New Roman" w:cs="Times New Roman"/>
          <w:sz w:val="24"/>
          <w:szCs w:val="24"/>
        </w:rPr>
        <w:fldChar w:fldCharType="separate"/>
      </w:r>
      <w:r w:rsidR="00496BD7" w:rsidRPr="007721FB">
        <w:rPr>
          <w:rFonts w:ascii="Times New Roman" w:hAnsi="Times New Roman" w:cs="Times New Roman"/>
          <w:noProof/>
          <w:sz w:val="24"/>
          <w:szCs w:val="24"/>
        </w:rPr>
        <w:t>[16–18]</w:t>
      </w:r>
      <w:r w:rsidR="00AA5247" w:rsidRPr="007721FB">
        <w:rPr>
          <w:rFonts w:ascii="Times New Roman" w:hAnsi="Times New Roman" w:cs="Times New Roman"/>
          <w:sz w:val="24"/>
          <w:szCs w:val="24"/>
        </w:rPr>
        <w:fldChar w:fldCharType="end"/>
      </w:r>
      <w:r w:rsidR="000760CD" w:rsidRPr="007721FB">
        <w:rPr>
          <w:rFonts w:ascii="Times New Roman" w:hAnsi="Times New Roman" w:cs="Times New Roman"/>
          <w:sz w:val="24"/>
          <w:szCs w:val="24"/>
        </w:rPr>
        <w:t>.</w:t>
      </w:r>
      <w:r w:rsidR="00AA5247" w:rsidRPr="007721FB">
        <w:rPr>
          <w:rFonts w:ascii="Times New Roman" w:hAnsi="Times New Roman" w:cs="Times New Roman"/>
          <w:sz w:val="24"/>
          <w:szCs w:val="24"/>
        </w:rPr>
        <w:t xml:space="preserve"> Interestingly, some of these peptides are capable of minimizing</w:t>
      </w:r>
      <w:r w:rsidR="0035595A" w:rsidRPr="007721FB">
        <w:rPr>
          <w:rFonts w:ascii="Times New Roman" w:hAnsi="Times New Roman" w:cs="Times New Roman"/>
          <w:sz w:val="24"/>
          <w:szCs w:val="24"/>
        </w:rPr>
        <w:t xml:space="preserve"> particle</w:t>
      </w:r>
      <w:r w:rsidR="00AA5247" w:rsidRPr="007721FB">
        <w:rPr>
          <w:rFonts w:ascii="Times New Roman" w:hAnsi="Times New Roman" w:cs="Times New Roman"/>
          <w:sz w:val="24"/>
          <w:szCs w:val="24"/>
        </w:rPr>
        <w:t xml:space="preserve"> aggregation in biological media</w:t>
      </w:r>
      <w:r w:rsidR="00DB7FDB" w:rsidRPr="007721FB">
        <w:rPr>
          <w:rFonts w:ascii="Times New Roman" w:hAnsi="Times New Roman" w:cs="Times New Roman"/>
          <w:sz w:val="24"/>
          <w:szCs w:val="24"/>
        </w:rPr>
        <w:t>, while other</w:t>
      </w:r>
      <w:r w:rsidRPr="007721FB">
        <w:rPr>
          <w:rFonts w:ascii="Times New Roman" w:hAnsi="Times New Roman" w:cs="Times New Roman"/>
          <w:sz w:val="24"/>
          <w:szCs w:val="24"/>
        </w:rPr>
        <w:t>s</w:t>
      </w:r>
      <w:r w:rsidR="00DB7FDB" w:rsidRPr="007721FB">
        <w:rPr>
          <w:rFonts w:ascii="Times New Roman" w:hAnsi="Times New Roman" w:cs="Times New Roman"/>
          <w:sz w:val="24"/>
          <w:szCs w:val="24"/>
        </w:rPr>
        <w:t xml:space="preserve"> possess inherent osteogenic properties</w:t>
      </w:r>
      <w:r w:rsidR="000760CD" w:rsidRPr="007721FB">
        <w:rPr>
          <w:rFonts w:ascii="Times New Roman" w:hAnsi="Times New Roman" w:cs="Times New Roman"/>
          <w:sz w:val="24"/>
          <w:szCs w:val="24"/>
        </w:rPr>
        <w:t xml:space="preserve"> </w:t>
      </w:r>
      <w:r w:rsidR="00AA5247" w:rsidRPr="007721FB">
        <w:rPr>
          <w:rFonts w:ascii="Times New Roman" w:hAnsi="Times New Roman" w:cs="Times New Roman"/>
          <w:sz w:val="24"/>
          <w:szCs w:val="24"/>
        </w:rPr>
        <w:fldChar w:fldCharType="begin" w:fldLock="1"/>
      </w:r>
      <w:r w:rsidR="00496BD7" w:rsidRPr="007721FB">
        <w:rPr>
          <w:rFonts w:ascii="Times New Roman" w:hAnsi="Times New Roman" w:cs="Times New Roman"/>
          <w:sz w:val="24"/>
          <w:szCs w:val="24"/>
        </w:rPr>
        <w:instrText>ADDIN CSL_CITATION { "citationItems" : [ { "id" : "ITEM-1", "itemData" : { "DOI" : "10.1021/la404980g", "ISBN" : "0743-7463", "ISSN" : "07437463", "PMID" : "24483727", "abstract" : "Introduction into the human body makes most nanoparticle systems susceptible to aggregation via nonspecific protein binding. Here, we developed a peptide-capped gold nanoparticle platform that withstands aggregation in undiluted human serum at 37 \u00b0C for 24 h. This biocompatible and natural system is based on mimicking human proteins which are enriched in negatively charged glutamic acid and positively charged lysine residues on their surface. The multifunctional EKEKEKE-PPPPC-Am peptide sequence consists of a stealth glutamic acid/lysine portion combined with a surface anchoring linker containing four prolines and a cysteine. Particle stability was measured via optical spectroscopy and dynamic light scattering in single protein, high salt, and undiluted human serum solutions. In vitro cell experiments demonstrate EKEKEKE-PPPPC-Am capped gold nanoparticles effectively minimize nonspecific cell uptake by nonphagocytic bovine aortic endothelial cells and phagocytic murine macrophage RAW 264.7 cells. Cytotoxicity studies show that peptide-capped gold nanoparticles do not affect cell viability. Finally, the peptide EKEKEKE-PPPPC-Am was extended with cyclic RGD to demonstrate specific cell targeting and stealth without using poly(ethylene glycol). Adding the functional peptide via peptide sequence extension avoids complex conjugation chemistries that are used for connection to synthetic materials. Inductively coupled plasma mass spectroscopy results indicate high aortic bovine endothelial cell uptake of c[RGDfE(SGG-KEKEKE-PPPPC-Am)] capped gold nanoparticles and low uptake of the control scrambled sequence c[RDGfE(SGG-KEKEKE-PPPPC-Am)] capped gold nanoparticles.", "author" : [ { "dropping-particle" : "", "family" : "Nowinski", "given" : "Ann K.", "non-dropping-particle" : "", "parse-names" : false, "suffix" : "" }, { "dropping-particle" : "", "family" : "White", "given" : "Andrew D.", "non-dropping-particle" : "", "parse-names" : false, "suffix" : "" }, { "dropping-particle" : "", "family" : "Keefe", "given" : "Andrew J.", "non-dropping-particle" : "", "parse-names" : false, "suffix" : "" }, { "dropping-particle" : "", "family" : "Jiang", "given" : "Shaoyi", "non-dropping-particle" : "", "parse-names" : false, "suffix" : "" } ], "container-title" : "Langmuir", "id" : "ITEM-1", "issue" : "7", "issued" : { "date-parts" : [ [ "2014" ] ] }, "page" : "1864-1870", "title" : "Biologically inspired stealth peptide-capped gold nanoparticles", "type" : "article-journal", "volume" : "30" }, "uris" : [ "http://www.mendeley.com/documents/?uuid=be90cdf8-0290-406a-907c-9d67d20e2da1", "http://www.mendeley.com/documents/?uuid=9901110a-11f8-4a56-beb9-e3510af0b842" ] }, { "id" : "ITEM-2", "itemData" : { "DOI" : "10.1016/j.addr.2012.05.017", "ISBN" : "0169-409X\\r1872-8294", "ISSN" : "0169409X", "PMID" : "22709649", "abstract" : "Peptides are attractive as novel therapeutic reagents, since they are flexible in adopting and mimicking the local structural features of proteins. Versatile capabilities to perform organic synthetic manipulations are another unique feature of peptides compared to protein-based medicines, such as antibodies. On the other hand, a disadvantage of using a peptide for a therapeutic purpose is its low stability and/or high level of aggregation. During the past two decades, numerous peptides were developed for the treatment of bone diseases, and some peptides have already been used for local applications to repair bone defects in the clinic. However, very few peptides have the ability to form bone themselves. We herein summarize the effects of the therapeutic peptides on bone loss and/or local bone defects, including the results from basic studies. We also herein describe some possible methods for overcoming the obstacles associated with using therapeutic peptide candidates. ?? 2012 Elsevier B.V.", "author" : [ { "dropping-particle" : "", "family" : "Aoki", "given" : "Kazuhiro", "non-dropping-particle" : "", "parse-names" : false, "suffix" : "" }, { "dropping-particle" : "", "family" : "Alles", "given" : "Neil", "non-dropping-particle" : "", "parse-names" : false, "suffix" : "" }, { "dropping-particle" : "", "family" : "Soysa", "given" : "Niroshani", "non-dropping-particle" : "", "parse-names" : false, "suffix" : "" }, { "dropping-particle" : "", "family" : "Ohya", "given" : "Keiichi", "non-dropping-particle" : "", "parse-names" : false, "suffix" : "" } ], "container-title" : "Advanced Drug Delivery Reviews", "id" : "ITEM-2", "issue" : "12", "issued" : { "date-parts" : [ [ "2012" ] ] }, "page" : "1220-1238", "publisher" : "Elsevier B.V.", "title" : "Peptide-based delivery to bone", "type" : "article-journal", "volume" : "64" }, "uris" : [ "http://www.mendeley.com/documents/?uuid=e3524794-ff9e-4b42-883d-cb82a269c9ec", "http://www.mendeley.com/documents/?uuid=7cfb4af9-cc3e-46f2-88e2-8e76731887ca" ] } ], "mendeley" : { "formattedCitation" : "[17,19]", "plainTextFormattedCitation" : "[17,19]", "previouslyFormattedCitation" : "[17,19]" }, "properties" : { "noteIndex" : 0 }, "schema" : "https://github.com/citation-style-language/schema/raw/master/csl-citation.json" }</w:instrText>
      </w:r>
      <w:r w:rsidR="00AA5247" w:rsidRPr="007721FB">
        <w:rPr>
          <w:rFonts w:ascii="Times New Roman" w:hAnsi="Times New Roman" w:cs="Times New Roman"/>
          <w:sz w:val="24"/>
          <w:szCs w:val="24"/>
        </w:rPr>
        <w:fldChar w:fldCharType="separate"/>
      </w:r>
      <w:r w:rsidR="00496BD7" w:rsidRPr="007721FB">
        <w:rPr>
          <w:rFonts w:ascii="Times New Roman" w:hAnsi="Times New Roman" w:cs="Times New Roman"/>
          <w:noProof/>
          <w:sz w:val="24"/>
          <w:szCs w:val="24"/>
        </w:rPr>
        <w:t>[17,19]</w:t>
      </w:r>
      <w:r w:rsidR="00AA5247" w:rsidRPr="007721FB">
        <w:rPr>
          <w:rFonts w:ascii="Times New Roman" w:hAnsi="Times New Roman" w:cs="Times New Roman"/>
          <w:sz w:val="24"/>
          <w:szCs w:val="24"/>
        </w:rPr>
        <w:fldChar w:fldCharType="end"/>
      </w:r>
      <w:r w:rsidR="000760CD" w:rsidRPr="007721FB">
        <w:rPr>
          <w:rFonts w:ascii="Times New Roman" w:hAnsi="Times New Roman" w:cs="Times New Roman"/>
          <w:sz w:val="24"/>
          <w:szCs w:val="24"/>
        </w:rPr>
        <w:t>.</w:t>
      </w:r>
      <w:r w:rsidR="00AA5247" w:rsidRPr="007721FB">
        <w:rPr>
          <w:rFonts w:ascii="Times New Roman" w:hAnsi="Times New Roman" w:cs="Times New Roman"/>
          <w:sz w:val="24"/>
          <w:szCs w:val="24"/>
        </w:rPr>
        <w:t xml:space="preserve"> </w:t>
      </w:r>
      <w:r w:rsidR="00DB7FDB" w:rsidRPr="007721FB">
        <w:rPr>
          <w:rFonts w:ascii="Times New Roman" w:hAnsi="Times New Roman" w:cs="Times New Roman"/>
          <w:sz w:val="24"/>
          <w:szCs w:val="24"/>
        </w:rPr>
        <w:t xml:space="preserve">The latter could be interesting </w:t>
      </w:r>
      <w:r w:rsidR="00A34A40" w:rsidRPr="007721FB">
        <w:rPr>
          <w:rFonts w:ascii="Times New Roman" w:hAnsi="Times New Roman" w:cs="Times New Roman"/>
          <w:sz w:val="24"/>
          <w:szCs w:val="24"/>
        </w:rPr>
        <w:t>to</w:t>
      </w:r>
      <w:r w:rsidR="00DB7FDB" w:rsidRPr="007721FB">
        <w:rPr>
          <w:rFonts w:ascii="Times New Roman" w:hAnsi="Times New Roman" w:cs="Times New Roman"/>
          <w:sz w:val="24"/>
          <w:szCs w:val="24"/>
        </w:rPr>
        <w:t xml:space="preserve"> </w:t>
      </w:r>
      <w:r w:rsidR="00A34A40" w:rsidRPr="007721FB">
        <w:rPr>
          <w:rFonts w:ascii="Times New Roman" w:hAnsi="Times New Roman" w:cs="Times New Roman"/>
          <w:sz w:val="24"/>
          <w:szCs w:val="24"/>
        </w:rPr>
        <w:t>formulate</w:t>
      </w:r>
      <w:r w:rsidR="009E1EB4" w:rsidRPr="007721FB">
        <w:rPr>
          <w:rFonts w:ascii="Times New Roman" w:hAnsi="Times New Roman" w:cs="Times New Roman"/>
          <w:sz w:val="24"/>
          <w:szCs w:val="24"/>
        </w:rPr>
        <w:t xml:space="preserve"> </w:t>
      </w:r>
      <w:r w:rsidR="00DB7FDB" w:rsidRPr="007721FB">
        <w:rPr>
          <w:rFonts w:ascii="Times New Roman" w:hAnsi="Times New Roman" w:cs="Times New Roman"/>
          <w:sz w:val="24"/>
          <w:szCs w:val="24"/>
        </w:rPr>
        <w:t>bone nanotherapeutics</w:t>
      </w:r>
      <w:r w:rsidR="00A34A40" w:rsidRPr="007721FB">
        <w:rPr>
          <w:rFonts w:ascii="Times New Roman" w:hAnsi="Times New Roman" w:cs="Times New Roman"/>
          <w:sz w:val="24"/>
          <w:szCs w:val="24"/>
        </w:rPr>
        <w:t xml:space="preserve"> that take advantage of</w:t>
      </w:r>
      <w:r w:rsidR="009E1EB4" w:rsidRPr="007721FB">
        <w:rPr>
          <w:rFonts w:ascii="Times New Roman" w:hAnsi="Times New Roman" w:cs="Times New Roman"/>
          <w:sz w:val="24"/>
          <w:szCs w:val="24"/>
        </w:rPr>
        <w:t xml:space="preserve"> </w:t>
      </w:r>
      <w:r w:rsidR="00E11B56" w:rsidRPr="007721FB">
        <w:rPr>
          <w:rFonts w:ascii="Times New Roman" w:hAnsi="Times New Roman" w:cs="Times New Roman"/>
          <w:sz w:val="24"/>
          <w:szCs w:val="24"/>
        </w:rPr>
        <w:t xml:space="preserve">drug-peptide combination therapies </w:t>
      </w:r>
      <w:r w:rsidR="00C045E9" w:rsidRPr="007721FB">
        <w:rPr>
          <w:rFonts w:ascii="Times New Roman" w:hAnsi="Times New Roman" w:cs="Times New Roman"/>
          <w:sz w:val="24"/>
          <w:szCs w:val="24"/>
        </w:rPr>
        <w:t>as means to</w:t>
      </w:r>
      <w:r w:rsidR="006F6FA4" w:rsidRPr="007721FB">
        <w:rPr>
          <w:rFonts w:ascii="Times New Roman" w:hAnsi="Times New Roman" w:cs="Times New Roman"/>
          <w:sz w:val="24"/>
          <w:szCs w:val="24"/>
        </w:rPr>
        <w:t xml:space="preserve"> achieve a synergistic osteo-regenerative effect</w:t>
      </w:r>
      <w:r w:rsidR="00DB7FDB" w:rsidRPr="007721FB">
        <w:rPr>
          <w:rFonts w:ascii="Times New Roman" w:hAnsi="Times New Roman" w:cs="Times New Roman"/>
          <w:sz w:val="24"/>
          <w:szCs w:val="24"/>
        </w:rPr>
        <w:t>.</w:t>
      </w:r>
    </w:p>
    <w:p w14:paraId="4C99114D" w14:textId="4C8EBB7D" w:rsidR="00DB7FDB" w:rsidRPr="007721FB" w:rsidRDefault="00340699" w:rsidP="00FA44FB">
      <w:pPr>
        <w:spacing w:after="0" w:line="240" w:lineRule="auto"/>
        <w:jc w:val="both"/>
        <w:rPr>
          <w:rFonts w:ascii="Times New Roman" w:hAnsi="Times New Roman" w:cs="Times New Roman"/>
          <w:sz w:val="24"/>
          <w:szCs w:val="24"/>
        </w:rPr>
      </w:pPr>
      <w:r w:rsidRPr="007721FB">
        <w:rPr>
          <w:rFonts w:ascii="Times New Roman" w:hAnsi="Times New Roman" w:cs="Times New Roman"/>
          <w:sz w:val="24"/>
          <w:szCs w:val="24"/>
        </w:rPr>
        <w:t xml:space="preserve">   </w:t>
      </w:r>
      <w:r w:rsidR="00314E8B" w:rsidRPr="007721FB">
        <w:rPr>
          <w:rFonts w:ascii="Times New Roman" w:hAnsi="Times New Roman" w:cs="Times New Roman"/>
          <w:sz w:val="24"/>
          <w:szCs w:val="24"/>
        </w:rPr>
        <w:t xml:space="preserve">Apart from the </w:t>
      </w:r>
      <w:r w:rsidR="007A0079" w:rsidRPr="007721FB">
        <w:rPr>
          <w:rFonts w:ascii="Times New Roman" w:hAnsi="Times New Roman" w:cs="Times New Roman"/>
          <w:sz w:val="24"/>
          <w:szCs w:val="24"/>
        </w:rPr>
        <w:t xml:space="preserve">desirable </w:t>
      </w:r>
      <w:r w:rsidR="00314E8B" w:rsidRPr="007721FB">
        <w:rPr>
          <w:rFonts w:ascii="Times New Roman" w:hAnsi="Times New Roman" w:cs="Times New Roman"/>
          <w:sz w:val="24"/>
          <w:szCs w:val="24"/>
        </w:rPr>
        <w:t>increase in nanomedicines bone selectivity</w:t>
      </w:r>
      <w:r w:rsidR="00E64B54" w:rsidRPr="007721FB">
        <w:rPr>
          <w:rFonts w:ascii="Times New Roman" w:hAnsi="Times New Roman" w:cs="Times New Roman"/>
          <w:sz w:val="24"/>
          <w:szCs w:val="24"/>
        </w:rPr>
        <w:t>,</w:t>
      </w:r>
      <w:r w:rsidR="00314E8B" w:rsidRPr="007721FB">
        <w:rPr>
          <w:rFonts w:ascii="Times New Roman" w:hAnsi="Times New Roman" w:cs="Times New Roman"/>
          <w:sz w:val="24"/>
          <w:szCs w:val="24"/>
        </w:rPr>
        <w:t xml:space="preserve"> the controlled release of therapeutics is</w:t>
      </w:r>
      <w:r w:rsidR="00A34A40" w:rsidRPr="007721FB">
        <w:rPr>
          <w:rFonts w:ascii="Times New Roman" w:hAnsi="Times New Roman" w:cs="Times New Roman"/>
          <w:sz w:val="24"/>
          <w:szCs w:val="24"/>
        </w:rPr>
        <w:t xml:space="preserve"> also</w:t>
      </w:r>
      <w:r w:rsidR="00314E8B" w:rsidRPr="007721FB">
        <w:rPr>
          <w:rFonts w:ascii="Times New Roman" w:hAnsi="Times New Roman" w:cs="Times New Roman"/>
          <w:sz w:val="24"/>
          <w:szCs w:val="24"/>
        </w:rPr>
        <w:t xml:space="preserve"> a major aspect that is yet to be fully </w:t>
      </w:r>
      <w:r w:rsidR="00FA44FB" w:rsidRPr="007721FB">
        <w:rPr>
          <w:rFonts w:ascii="Times New Roman" w:hAnsi="Times New Roman" w:cs="Times New Roman"/>
          <w:sz w:val="24"/>
          <w:szCs w:val="24"/>
        </w:rPr>
        <w:t xml:space="preserve">controlled </w:t>
      </w:r>
      <w:r w:rsidR="00314E8B" w:rsidRPr="007721FB">
        <w:rPr>
          <w:rFonts w:ascii="Times New Roman" w:hAnsi="Times New Roman" w:cs="Times New Roman"/>
          <w:i/>
          <w:sz w:val="24"/>
          <w:szCs w:val="24"/>
        </w:rPr>
        <w:t>in vivo</w:t>
      </w:r>
      <w:r w:rsidR="00314E8B" w:rsidRPr="007721FB">
        <w:rPr>
          <w:rFonts w:ascii="Times New Roman" w:hAnsi="Times New Roman" w:cs="Times New Roman"/>
          <w:sz w:val="24"/>
          <w:szCs w:val="24"/>
        </w:rPr>
        <w:t>.</w:t>
      </w:r>
    </w:p>
    <w:p w14:paraId="6351186D" w14:textId="3569C5FA" w:rsidR="00AA5247" w:rsidRPr="007721FB" w:rsidRDefault="00340699" w:rsidP="00EE0E61">
      <w:pPr>
        <w:spacing w:after="0" w:line="240" w:lineRule="auto"/>
        <w:jc w:val="both"/>
        <w:rPr>
          <w:rFonts w:ascii="Times New Roman" w:hAnsi="Times New Roman" w:cs="Times New Roman"/>
          <w:sz w:val="24"/>
          <w:szCs w:val="24"/>
        </w:rPr>
      </w:pPr>
      <w:r w:rsidRPr="007721FB">
        <w:rPr>
          <w:rFonts w:ascii="Times New Roman" w:hAnsi="Times New Roman" w:cs="Times New Roman"/>
          <w:sz w:val="24"/>
          <w:szCs w:val="24"/>
        </w:rPr>
        <w:t xml:space="preserve">   </w:t>
      </w:r>
      <w:r w:rsidR="00C045E9" w:rsidRPr="007721FB">
        <w:rPr>
          <w:rFonts w:ascii="Times New Roman" w:hAnsi="Times New Roman" w:cs="Times New Roman"/>
          <w:sz w:val="24"/>
          <w:szCs w:val="24"/>
        </w:rPr>
        <w:t>S</w:t>
      </w:r>
      <w:r w:rsidR="008D04C7" w:rsidRPr="007721FB">
        <w:rPr>
          <w:rFonts w:ascii="Times New Roman" w:hAnsi="Times New Roman" w:cs="Times New Roman"/>
          <w:sz w:val="24"/>
          <w:szCs w:val="24"/>
        </w:rPr>
        <w:t>timuli</w:t>
      </w:r>
      <w:r w:rsidR="00B02D2F" w:rsidRPr="007721FB">
        <w:rPr>
          <w:rFonts w:ascii="Times New Roman" w:hAnsi="Times New Roman" w:cs="Times New Roman"/>
          <w:sz w:val="24"/>
          <w:szCs w:val="24"/>
        </w:rPr>
        <w:t>-</w:t>
      </w:r>
      <w:r w:rsidR="008D04C7" w:rsidRPr="007721FB">
        <w:rPr>
          <w:rFonts w:ascii="Times New Roman" w:hAnsi="Times New Roman" w:cs="Times New Roman"/>
          <w:sz w:val="24"/>
          <w:szCs w:val="24"/>
        </w:rPr>
        <w:t xml:space="preserve">responsive nanocarriers have been investigated in the last years as an approach to </w:t>
      </w:r>
      <w:r w:rsidR="00C045E9" w:rsidRPr="007721FB">
        <w:rPr>
          <w:rFonts w:ascii="Times New Roman" w:hAnsi="Times New Roman" w:cs="Times New Roman"/>
          <w:sz w:val="24"/>
          <w:szCs w:val="24"/>
        </w:rPr>
        <w:t>circumvent</w:t>
      </w:r>
      <w:r w:rsidR="008D04C7" w:rsidRPr="007721FB">
        <w:rPr>
          <w:rFonts w:ascii="Times New Roman" w:hAnsi="Times New Roman" w:cs="Times New Roman"/>
          <w:sz w:val="24"/>
          <w:szCs w:val="24"/>
        </w:rPr>
        <w:t xml:space="preserve"> the characteristic burst-type release profile of</w:t>
      </w:r>
      <w:r w:rsidR="00ED14ED" w:rsidRPr="007721FB">
        <w:rPr>
          <w:rFonts w:ascii="Times New Roman" w:hAnsi="Times New Roman" w:cs="Times New Roman"/>
          <w:sz w:val="24"/>
          <w:szCs w:val="24"/>
        </w:rPr>
        <w:t xml:space="preserve"> nano-formulated therapeutics</w:t>
      </w:r>
      <w:r w:rsidR="00C045E9" w:rsidRPr="007721FB">
        <w:rPr>
          <w:rFonts w:ascii="Times New Roman" w:hAnsi="Times New Roman" w:cs="Times New Roman"/>
          <w:sz w:val="24"/>
          <w:szCs w:val="24"/>
        </w:rPr>
        <w:t xml:space="preserve"> or</w:t>
      </w:r>
      <w:r w:rsidR="00043067" w:rsidRPr="007721FB">
        <w:rPr>
          <w:rFonts w:ascii="Times New Roman" w:hAnsi="Times New Roman" w:cs="Times New Roman"/>
          <w:sz w:val="24"/>
          <w:szCs w:val="24"/>
        </w:rPr>
        <w:t xml:space="preserve"> the residual release during parenteral administration</w:t>
      </w:r>
      <w:r w:rsidR="008D04C7" w:rsidRPr="007721FB">
        <w:rPr>
          <w:rFonts w:ascii="Times New Roman" w:hAnsi="Times New Roman" w:cs="Times New Roman"/>
          <w:sz w:val="24"/>
          <w:szCs w:val="24"/>
        </w:rPr>
        <w:t>.</w:t>
      </w:r>
      <w:r w:rsidR="00ED14ED" w:rsidRPr="007721FB">
        <w:rPr>
          <w:rFonts w:ascii="Times New Roman" w:hAnsi="Times New Roman" w:cs="Times New Roman"/>
          <w:sz w:val="24"/>
          <w:szCs w:val="24"/>
        </w:rPr>
        <w:t xml:space="preserve"> </w:t>
      </w:r>
      <w:r w:rsidR="00A34A40" w:rsidRPr="007721FB">
        <w:rPr>
          <w:rFonts w:ascii="Times New Roman" w:hAnsi="Times New Roman" w:cs="Times New Roman"/>
          <w:sz w:val="24"/>
          <w:szCs w:val="24"/>
        </w:rPr>
        <w:t>To achieve this control, these</w:t>
      </w:r>
      <w:r w:rsidR="00ED14ED" w:rsidRPr="007721FB">
        <w:rPr>
          <w:rFonts w:ascii="Times New Roman" w:hAnsi="Times New Roman" w:cs="Times New Roman"/>
          <w:sz w:val="24"/>
          <w:szCs w:val="24"/>
        </w:rPr>
        <w:t xml:space="preserve"> so-termed smart</w:t>
      </w:r>
      <w:r w:rsidR="00AA5247" w:rsidRPr="007721FB">
        <w:rPr>
          <w:rFonts w:ascii="Times New Roman" w:hAnsi="Times New Roman" w:cs="Times New Roman"/>
          <w:sz w:val="24"/>
          <w:szCs w:val="24"/>
        </w:rPr>
        <w:t xml:space="preserve"> </w:t>
      </w:r>
      <w:r w:rsidR="00ED14ED" w:rsidRPr="007721FB">
        <w:rPr>
          <w:rFonts w:ascii="Times New Roman" w:hAnsi="Times New Roman" w:cs="Times New Roman"/>
          <w:sz w:val="24"/>
          <w:szCs w:val="24"/>
        </w:rPr>
        <w:t>delivery systems</w:t>
      </w:r>
      <w:r w:rsidR="00A34A40" w:rsidRPr="007721FB">
        <w:rPr>
          <w:rFonts w:ascii="Times New Roman" w:hAnsi="Times New Roman" w:cs="Times New Roman"/>
          <w:sz w:val="24"/>
          <w:szCs w:val="24"/>
        </w:rPr>
        <w:t>,</w:t>
      </w:r>
      <w:r w:rsidR="00ED14ED" w:rsidRPr="007721FB">
        <w:rPr>
          <w:rFonts w:ascii="Times New Roman" w:hAnsi="Times New Roman" w:cs="Times New Roman"/>
          <w:sz w:val="24"/>
          <w:szCs w:val="24"/>
        </w:rPr>
        <w:t xml:space="preserve"> </w:t>
      </w:r>
      <w:r w:rsidR="00333E5C" w:rsidRPr="007721FB">
        <w:rPr>
          <w:rFonts w:ascii="Times New Roman" w:hAnsi="Times New Roman" w:cs="Times New Roman"/>
          <w:sz w:val="24"/>
          <w:szCs w:val="24"/>
        </w:rPr>
        <w:t>can be</w:t>
      </w:r>
      <w:r w:rsidR="00E64B54" w:rsidRPr="007721FB">
        <w:rPr>
          <w:rFonts w:ascii="Times New Roman" w:hAnsi="Times New Roman" w:cs="Times New Roman"/>
          <w:sz w:val="24"/>
          <w:szCs w:val="24"/>
        </w:rPr>
        <w:t xml:space="preserve"> </w:t>
      </w:r>
      <w:r w:rsidR="00AA5247" w:rsidRPr="007721FB">
        <w:rPr>
          <w:rFonts w:ascii="Times New Roman" w:hAnsi="Times New Roman" w:cs="Times New Roman"/>
          <w:sz w:val="24"/>
          <w:szCs w:val="24"/>
        </w:rPr>
        <w:t>precisely tailored to respond to internal</w:t>
      </w:r>
      <w:r w:rsidR="00ED14ED" w:rsidRPr="007721FB">
        <w:rPr>
          <w:rFonts w:ascii="Times New Roman" w:hAnsi="Times New Roman" w:cs="Times New Roman"/>
          <w:sz w:val="24"/>
          <w:szCs w:val="24"/>
        </w:rPr>
        <w:t>,</w:t>
      </w:r>
      <w:r w:rsidR="00AA5247" w:rsidRPr="007721FB">
        <w:rPr>
          <w:rFonts w:ascii="Times New Roman" w:hAnsi="Times New Roman" w:cs="Times New Roman"/>
          <w:sz w:val="24"/>
          <w:szCs w:val="24"/>
        </w:rPr>
        <w:t xml:space="preserve"> external</w:t>
      </w:r>
      <w:r w:rsidR="00A34A40" w:rsidRPr="007721FB">
        <w:rPr>
          <w:rFonts w:ascii="Times New Roman" w:hAnsi="Times New Roman" w:cs="Times New Roman"/>
          <w:sz w:val="24"/>
          <w:szCs w:val="24"/>
        </w:rPr>
        <w:t>,</w:t>
      </w:r>
      <w:r w:rsidR="00ED14ED" w:rsidRPr="007721FB">
        <w:rPr>
          <w:rFonts w:ascii="Times New Roman" w:hAnsi="Times New Roman" w:cs="Times New Roman"/>
          <w:sz w:val="24"/>
          <w:szCs w:val="24"/>
        </w:rPr>
        <w:t xml:space="preserve"> or physiological</w:t>
      </w:r>
      <w:r w:rsidR="00AA5247" w:rsidRPr="007721FB">
        <w:rPr>
          <w:rFonts w:ascii="Times New Roman" w:hAnsi="Times New Roman" w:cs="Times New Roman"/>
          <w:sz w:val="24"/>
          <w:szCs w:val="24"/>
        </w:rPr>
        <w:t xml:space="preserve"> trigger</w:t>
      </w:r>
      <w:r w:rsidR="00333E5C" w:rsidRPr="007721FB">
        <w:rPr>
          <w:rFonts w:ascii="Times New Roman" w:hAnsi="Times New Roman" w:cs="Times New Roman"/>
          <w:sz w:val="24"/>
          <w:szCs w:val="24"/>
        </w:rPr>
        <w:t>ing conditions</w:t>
      </w:r>
      <w:r w:rsidR="00A34A40" w:rsidRPr="007721FB">
        <w:rPr>
          <w:rFonts w:ascii="Times New Roman" w:hAnsi="Times New Roman" w:cs="Times New Roman"/>
          <w:sz w:val="24"/>
          <w:szCs w:val="24"/>
        </w:rPr>
        <w:t xml:space="preserve"> as means to</w:t>
      </w:r>
      <w:r w:rsidR="00AA5247" w:rsidRPr="007721FB">
        <w:rPr>
          <w:rFonts w:ascii="Times New Roman" w:hAnsi="Times New Roman" w:cs="Times New Roman"/>
          <w:sz w:val="24"/>
          <w:szCs w:val="24"/>
        </w:rPr>
        <w:t xml:space="preserve"> promote a fine tuning of bioactive molecules release</w:t>
      </w:r>
      <w:r w:rsidR="000760CD" w:rsidRPr="007721FB">
        <w:rPr>
          <w:rFonts w:ascii="Times New Roman" w:hAnsi="Times New Roman" w:cs="Times New Roman"/>
          <w:sz w:val="24"/>
          <w:szCs w:val="24"/>
        </w:rPr>
        <w:t xml:space="preserve"> </w:t>
      </w:r>
      <w:r w:rsidR="00AA5247" w:rsidRPr="007721FB">
        <w:rPr>
          <w:rFonts w:ascii="Times New Roman" w:hAnsi="Times New Roman" w:cs="Times New Roman"/>
          <w:sz w:val="24"/>
          <w:szCs w:val="24"/>
        </w:rPr>
        <w:fldChar w:fldCharType="begin" w:fldLock="1"/>
      </w:r>
      <w:r w:rsidR="00496BD7" w:rsidRPr="007721FB">
        <w:rPr>
          <w:rFonts w:ascii="Times New Roman" w:hAnsi="Times New Roman" w:cs="Times New Roman"/>
          <w:sz w:val="24"/>
          <w:szCs w:val="24"/>
        </w:rPr>
        <w:instrText>ADDIN CSL_CITATION { "citationItems" : [ { "id" : "ITEM-1", "itemData" : { "DOI" : "10.1038/NMAT3776", "ISBN" : "1476-1122 (Print)\\r1476-1122 (Linking)", "ISSN" : "1476-1122", "PMID" : "24150417", "abstract" : "Spurred by recent progress in materials chemistry and drug delivery, stimuli-responsive devices that deliver a drug in spatial-, temporal-and dosage-controlled fashions have become possible. Implementation of such devices requires the use of biocompatible materials that are susceptible to a specific physical incitement or that, in response to a specific stimulus, undergo a protonation, a hydrolytic cleavage or a (supra) molecular conformational change. In this Review, we discuss recent advances in the design of nanoscale stimuli-responsive systems that are able to control drug biodistribution in response to specific stimuli, either exogenous (variations in temperature, magnetic field, ultrasound intensity, light or electric pulses) or endogenous (changes in pH, enzyme concentration or redox gradients).", "author" : [ { "dropping-particle" : "", "family" : "Mura", "given" : "Simona", "non-dropping-particle" : "", "parse-names" : false, "suffix" : "" }, { "dropping-particle" : "", "family" : "Nicolas", "given" : "Julien", "non-dropping-particle" : "", "parse-names" : false, "suffix" : "" }, { "dropping-particle" : "", "family" : "Couvreur", "given" : "Patrick", "non-dropping-particle" : "", "parse-names" : false, "suffix" : "" } ], "container-title" : "Nature Materials", "id" : "ITEM-1", "issue" : "11", "issued" : { "date-parts" : [ [ "2013" ] ] }, "page" : "991-1003", "publisher" : "Nature Publishing Group", "title" : "Stimuli-responsive nanocarriers for drug delivery", "type" : "article-journal", "volume" : "12" }, "uris" : [ "http://www.mendeley.com/documents/?uuid=89a4a394-f260-4f82-b443-d41d8cdf09ef", "http://www.mendeley.com/documents/?uuid=ed9334db-2ea4-434c-a81e-73d3c218823f" ] } ], "mendeley" : { "formattedCitation" : "[20]", "plainTextFormattedCitation" : "[20]", "previouslyFormattedCitation" : "[20]" }, "properties" : { "noteIndex" : 0 }, "schema" : "https://github.com/citation-style-language/schema/raw/master/csl-citation.json" }</w:instrText>
      </w:r>
      <w:r w:rsidR="00AA5247" w:rsidRPr="007721FB">
        <w:rPr>
          <w:rFonts w:ascii="Times New Roman" w:hAnsi="Times New Roman" w:cs="Times New Roman"/>
          <w:sz w:val="24"/>
          <w:szCs w:val="24"/>
        </w:rPr>
        <w:fldChar w:fldCharType="separate"/>
      </w:r>
      <w:r w:rsidR="00496BD7" w:rsidRPr="007721FB">
        <w:rPr>
          <w:rFonts w:ascii="Times New Roman" w:hAnsi="Times New Roman" w:cs="Times New Roman"/>
          <w:noProof/>
          <w:sz w:val="24"/>
          <w:szCs w:val="24"/>
        </w:rPr>
        <w:t>[20]</w:t>
      </w:r>
      <w:r w:rsidR="00AA5247" w:rsidRPr="007721FB">
        <w:rPr>
          <w:rFonts w:ascii="Times New Roman" w:hAnsi="Times New Roman" w:cs="Times New Roman"/>
          <w:sz w:val="24"/>
          <w:szCs w:val="24"/>
        </w:rPr>
        <w:fldChar w:fldCharType="end"/>
      </w:r>
      <w:r w:rsidR="000760CD" w:rsidRPr="007721FB">
        <w:rPr>
          <w:rFonts w:ascii="Times New Roman" w:hAnsi="Times New Roman" w:cs="Times New Roman"/>
          <w:sz w:val="24"/>
          <w:szCs w:val="24"/>
        </w:rPr>
        <w:t>.</w:t>
      </w:r>
      <w:r w:rsidR="00AA5247" w:rsidRPr="007721FB">
        <w:rPr>
          <w:rFonts w:ascii="Times New Roman" w:hAnsi="Times New Roman" w:cs="Times New Roman"/>
          <w:sz w:val="24"/>
          <w:szCs w:val="24"/>
        </w:rPr>
        <w:t xml:space="preserve"> </w:t>
      </w:r>
      <w:r w:rsidR="00C045E9" w:rsidRPr="007721FB">
        <w:rPr>
          <w:rFonts w:ascii="Times New Roman" w:hAnsi="Times New Roman" w:cs="Times New Roman"/>
          <w:sz w:val="24"/>
          <w:szCs w:val="24"/>
        </w:rPr>
        <w:t>Specifically</w:t>
      </w:r>
      <w:r w:rsidR="00AA5247" w:rsidRPr="007721FB">
        <w:rPr>
          <w:rFonts w:ascii="Times New Roman" w:hAnsi="Times New Roman" w:cs="Times New Roman"/>
          <w:sz w:val="24"/>
          <w:szCs w:val="24"/>
        </w:rPr>
        <w:t xml:space="preserve">, stimuli-responsive </w:t>
      </w:r>
      <w:r w:rsidR="00043067" w:rsidRPr="007721FB">
        <w:rPr>
          <w:rFonts w:ascii="Times New Roman" w:hAnsi="Times New Roman" w:cs="Times New Roman"/>
          <w:sz w:val="24"/>
          <w:szCs w:val="24"/>
        </w:rPr>
        <w:t xml:space="preserve">nanocarriers </w:t>
      </w:r>
      <w:r w:rsidR="00AA5247" w:rsidRPr="007721FB">
        <w:rPr>
          <w:rFonts w:ascii="Times New Roman" w:hAnsi="Times New Roman" w:cs="Times New Roman"/>
          <w:sz w:val="24"/>
          <w:szCs w:val="24"/>
        </w:rPr>
        <w:t xml:space="preserve">have been engineered to respond </w:t>
      </w:r>
      <w:r w:rsidR="004D6ED7" w:rsidRPr="007721FB">
        <w:rPr>
          <w:rFonts w:ascii="Times New Roman" w:hAnsi="Times New Roman" w:cs="Times New Roman"/>
          <w:sz w:val="24"/>
          <w:szCs w:val="24"/>
        </w:rPr>
        <w:t xml:space="preserve">to </w:t>
      </w:r>
      <w:r w:rsidR="008D04C7" w:rsidRPr="007721FB">
        <w:rPr>
          <w:rFonts w:ascii="Times New Roman" w:hAnsi="Times New Roman" w:cs="Times New Roman"/>
          <w:sz w:val="24"/>
          <w:szCs w:val="24"/>
        </w:rPr>
        <w:t>triggers</w:t>
      </w:r>
      <w:r w:rsidR="00AA5247" w:rsidRPr="007721FB">
        <w:rPr>
          <w:rFonts w:ascii="Times New Roman" w:hAnsi="Times New Roman" w:cs="Times New Roman"/>
          <w:sz w:val="24"/>
          <w:szCs w:val="24"/>
        </w:rPr>
        <w:t xml:space="preserve"> </w:t>
      </w:r>
      <w:r w:rsidR="00C045E9" w:rsidRPr="007721FB">
        <w:rPr>
          <w:rFonts w:ascii="Times New Roman" w:hAnsi="Times New Roman" w:cs="Times New Roman"/>
          <w:sz w:val="24"/>
          <w:szCs w:val="24"/>
        </w:rPr>
        <w:t>such as</w:t>
      </w:r>
      <w:r w:rsidR="00AA5247" w:rsidRPr="007721FB">
        <w:rPr>
          <w:rFonts w:ascii="Times New Roman" w:hAnsi="Times New Roman" w:cs="Times New Roman"/>
          <w:sz w:val="24"/>
          <w:szCs w:val="24"/>
        </w:rPr>
        <w:t xml:space="preserve">: (i) pH gradients, (ii) redox conditions; (iii) light; (iv) ultrasound (v) magnetic fields; (vi) temperature </w:t>
      </w:r>
      <w:r w:rsidR="008D04C7" w:rsidRPr="007721FB">
        <w:rPr>
          <w:rFonts w:ascii="Times New Roman" w:hAnsi="Times New Roman" w:cs="Times New Roman"/>
          <w:sz w:val="24"/>
          <w:szCs w:val="24"/>
        </w:rPr>
        <w:t>or</w:t>
      </w:r>
      <w:r w:rsidR="00AA5247" w:rsidRPr="007721FB">
        <w:rPr>
          <w:rFonts w:ascii="Times New Roman" w:hAnsi="Times New Roman" w:cs="Times New Roman"/>
          <w:sz w:val="24"/>
          <w:szCs w:val="24"/>
        </w:rPr>
        <w:t xml:space="preserve"> (vii) enzymes</w:t>
      </w:r>
      <w:r w:rsidR="000760CD" w:rsidRPr="007721FB">
        <w:rPr>
          <w:rFonts w:ascii="Times New Roman" w:hAnsi="Times New Roman" w:cs="Times New Roman"/>
          <w:sz w:val="24"/>
          <w:szCs w:val="24"/>
        </w:rPr>
        <w:t xml:space="preserve"> </w:t>
      </w:r>
      <w:r w:rsidR="00AA5247" w:rsidRPr="007721FB">
        <w:rPr>
          <w:rFonts w:ascii="Times New Roman" w:hAnsi="Times New Roman" w:cs="Times New Roman"/>
          <w:sz w:val="24"/>
          <w:szCs w:val="24"/>
        </w:rPr>
        <w:fldChar w:fldCharType="begin" w:fldLock="1"/>
      </w:r>
      <w:r w:rsidR="00496BD7" w:rsidRPr="007721FB">
        <w:rPr>
          <w:rFonts w:ascii="Times New Roman" w:hAnsi="Times New Roman" w:cs="Times New Roman"/>
          <w:sz w:val="24"/>
          <w:szCs w:val="24"/>
        </w:rPr>
        <w:instrText>ADDIN CSL_CITATION { "citationItems" : [ { "id" : "ITEM-1", "itemData" : { "DOI" : "10.1038/NMAT3776", "ISBN" : "1476-1122 (Print)\\r1476-1122 (Linking)", "ISSN" : "1476-1122", "PMID" : "24150417", "abstract" : "Spurred by recent progress in materials chemistry and drug delivery, stimuli-responsive devices that deliver a drug in spatial-, temporal-and dosage-controlled fashions have become possible. Implementation of such devices requires the use of biocompatible materials that are susceptible to a specific physical incitement or that, in response to a specific stimulus, undergo a protonation, a hydrolytic cleavage or a (supra) molecular conformational change. In this Review, we discuss recent advances in the design of nanoscale stimuli-responsive systems that are able to control drug biodistribution in response to specific stimuli, either exogenous (variations in temperature, magnetic field, ultrasound intensity, light or electric pulses) or endogenous (changes in pH, enzyme concentration or redox gradients).", "author" : [ { "dropping-particle" : "", "family" : "Mura", "given" : "Simona", "non-dropping-particle" : "", "parse-names" : false, "suffix" : "" }, { "dropping-particle" : "", "family" : "Nicolas", "given" : "Julien", "non-dropping-particle" : "", "parse-names" : false, "suffix" : "" }, { "dropping-particle" : "", "family" : "Couvreur", "given" : "Patrick", "non-dropping-particle" : "", "parse-names" : false, "suffix" : "" } ], "container-title" : "Nature Materials", "id" : "ITEM-1", "issue" : "11", "issued" : { "date-parts" : [ [ "2013" ] ] }, "page" : "991-1003", "publisher" : "Nature Publishing Group", "title" : "Stimuli-responsive nanocarriers for drug delivery", "type" : "article-journal", "volume" : "12" }, "uris" : [ "http://www.mendeley.com/documents/?uuid=ed9334db-2ea4-434c-a81e-73d3c218823f", "http://www.mendeley.com/documents/?uuid=89a4a394-f260-4f82-b443-d41d8cdf09ef" ] } ], "mendeley" : { "formattedCitation" : "[20]", "plainTextFormattedCitation" : "[20]", "previouslyFormattedCitation" : "[20]" }, "properties" : { "noteIndex" : 0 }, "schema" : "https://github.com/citation-style-language/schema/raw/master/csl-citation.json" }</w:instrText>
      </w:r>
      <w:r w:rsidR="00AA5247" w:rsidRPr="007721FB">
        <w:rPr>
          <w:rFonts w:ascii="Times New Roman" w:hAnsi="Times New Roman" w:cs="Times New Roman"/>
          <w:sz w:val="24"/>
          <w:szCs w:val="24"/>
        </w:rPr>
        <w:fldChar w:fldCharType="separate"/>
      </w:r>
      <w:r w:rsidR="00496BD7" w:rsidRPr="007721FB">
        <w:rPr>
          <w:rFonts w:ascii="Times New Roman" w:hAnsi="Times New Roman" w:cs="Times New Roman"/>
          <w:noProof/>
          <w:sz w:val="24"/>
          <w:szCs w:val="24"/>
        </w:rPr>
        <w:t>[20]</w:t>
      </w:r>
      <w:r w:rsidR="00AA5247" w:rsidRPr="007721FB">
        <w:rPr>
          <w:rFonts w:ascii="Times New Roman" w:hAnsi="Times New Roman" w:cs="Times New Roman"/>
          <w:sz w:val="24"/>
          <w:szCs w:val="24"/>
        </w:rPr>
        <w:fldChar w:fldCharType="end"/>
      </w:r>
      <w:r w:rsidR="000760CD" w:rsidRPr="007721FB">
        <w:rPr>
          <w:rFonts w:ascii="Times New Roman" w:hAnsi="Times New Roman" w:cs="Times New Roman"/>
          <w:sz w:val="24"/>
          <w:szCs w:val="24"/>
        </w:rPr>
        <w:t>.</w:t>
      </w:r>
      <w:r w:rsidR="00AA5247" w:rsidRPr="007721FB">
        <w:rPr>
          <w:rFonts w:ascii="Times New Roman" w:hAnsi="Times New Roman" w:cs="Times New Roman"/>
          <w:sz w:val="24"/>
          <w:szCs w:val="24"/>
        </w:rPr>
        <w:t xml:space="preserve"> </w:t>
      </w:r>
      <w:r w:rsidR="007A0079" w:rsidRPr="007721FB">
        <w:rPr>
          <w:rFonts w:ascii="Times New Roman" w:hAnsi="Times New Roman" w:cs="Times New Roman"/>
          <w:sz w:val="24"/>
          <w:szCs w:val="24"/>
        </w:rPr>
        <w:t>The majority of these have significant potential to be used in</w:t>
      </w:r>
      <w:r w:rsidR="004D6ED7" w:rsidRPr="007721FB">
        <w:rPr>
          <w:rFonts w:ascii="Times New Roman" w:hAnsi="Times New Roman" w:cs="Times New Roman"/>
          <w:sz w:val="24"/>
          <w:szCs w:val="24"/>
        </w:rPr>
        <w:t xml:space="preserve"> the context of</w:t>
      </w:r>
      <w:r w:rsidR="007A0079" w:rsidRPr="007721FB">
        <w:rPr>
          <w:rFonts w:ascii="Times New Roman" w:hAnsi="Times New Roman" w:cs="Times New Roman"/>
          <w:sz w:val="24"/>
          <w:szCs w:val="24"/>
        </w:rPr>
        <w:t xml:space="preserve"> bone</w:t>
      </w:r>
      <w:r w:rsidR="00C045E9" w:rsidRPr="007721FB">
        <w:rPr>
          <w:rFonts w:ascii="Times New Roman" w:hAnsi="Times New Roman" w:cs="Times New Roman"/>
          <w:sz w:val="24"/>
          <w:szCs w:val="24"/>
        </w:rPr>
        <w:t xml:space="preserve"> regeneration or skeletal diseases</w:t>
      </w:r>
      <w:r w:rsidR="007A0079" w:rsidRPr="007721FB">
        <w:rPr>
          <w:rFonts w:ascii="Times New Roman" w:hAnsi="Times New Roman" w:cs="Times New Roman"/>
          <w:sz w:val="24"/>
          <w:szCs w:val="24"/>
        </w:rPr>
        <w:t>. In fact, t</w:t>
      </w:r>
      <w:r w:rsidR="007A29B4" w:rsidRPr="007721FB">
        <w:rPr>
          <w:rFonts w:ascii="Times New Roman" w:hAnsi="Times New Roman" w:cs="Times New Roman"/>
          <w:sz w:val="24"/>
          <w:szCs w:val="24"/>
        </w:rPr>
        <w:t>he</w:t>
      </w:r>
      <w:r w:rsidR="00AA5247" w:rsidRPr="007721FB">
        <w:rPr>
          <w:rFonts w:ascii="Times New Roman" w:hAnsi="Times New Roman" w:cs="Times New Roman"/>
          <w:sz w:val="24"/>
          <w:szCs w:val="24"/>
        </w:rPr>
        <w:t xml:space="preserve"> progression of some chronic bone disorders </w:t>
      </w:r>
      <w:r w:rsidR="007A0079" w:rsidRPr="007721FB">
        <w:rPr>
          <w:rFonts w:ascii="Times New Roman" w:hAnsi="Times New Roman" w:cs="Times New Roman"/>
          <w:sz w:val="24"/>
          <w:szCs w:val="24"/>
        </w:rPr>
        <w:t>is</w:t>
      </w:r>
      <w:r w:rsidR="00AA5247" w:rsidRPr="007721FB">
        <w:rPr>
          <w:rFonts w:ascii="Times New Roman" w:hAnsi="Times New Roman" w:cs="Times New Roman"/>
          <w:sz w:val="24"/>
          <w:szCs w:val="24"/>
        </w:rPr>
        <w:t xml:space="preserve"> characterized by changes in the </w:t>
      </w:r>
      <w:r w:rsidR="00C045E9" w:rsidRPr="007721FB">
        <w:rPr>
          <w:rFonts w:ascii="Times New Roman" w:hAnsi="Times New Roman" w:cs="Times New Roman"/>
          <w:sz w:val="24"/>
          <w:szCs w:val="24"/>
        </w:rPr>
        <w:t>biological</w:t>
      </w:r>
      <w:r w:rsidR="00AA5247" w:rsidRPr="007721FB">
        <w:rPr>
          <w:rFonts w:ascii="Times New Roman" w:hAnsi="Times New Roman" w:cs="Times New Roman"/>
          <w:sz w:val="24"/>
          <w:szCs w:val="24"/>
        </w:rPr>
        <w:t xml:space="preserve"> microenvironment, resulting in pathophysiological</w:t>
      </w:r>
      <w:r w:rsidR="00B02D2F" w:rsidRPr="007721FB">
        <w:rPr>
          <w:rFonts w:ascii="Times New Roman" w:hAnsi="Times New Roman" w:cs="Times New Roman"/>
          <w:sz w:val="24"/>
          <w:szCs w:val="24"/>
        </w:rPr>
        <w:t>-</w:t>
      </w:r>
      <w:r w:rsidR="004D6ED7" w:rsidRPr="007721FB">
        <w:rPr>
          <w:rFonts w:ascii="Times New Roman" w:hAnsi="Times New Roman" w:cs="Times New Roman"/>
          <w:sz w:val="24"/>
          <w:szCs w:val="24"/>
        </w:rPr>
        <w:t xml:space="preserve">induced </w:t>
      </w:r>
      <w:r w:rsidR="00AA5247" w:rsidRPr="007721FB">
        <w:rPr>
          <w:rFonts w:ascii="Times New Roman" w:hAnsi="Times New Roman" w:cs="Times New Roman"/>
          <w:sz w:val="24"/>
          <w:szCs w:val="24"/>
        </w:rPr>
        <w:t>shifts</w:t>
      </w:r>
      <w:r w:rsidR="004D6ED7" w:rsidRPr="007721FB">
        <w:rPr>
          <w:rFonts w:ascii="Times New Roman" w:hAnsi="Times New Roman" w:cs="Times New Roman"/>
          <w:sz w:val="24"/>
          <w:szCs w:val="24"/>
        </w:rPr>
        <w:t xml:space="preserve"> (e.g., pH, enzymes, temperature) that can activate nanotherapeutics release</w:t>
      </w:r>
      <w:r w:rsidR="007A0079" w:rsidRPr="007721FB">
        <w:rPr>
          <w:rFonts w:ascii="Times New Roman" w:hAnsi="Times New Roman" w:cs="Times New Roman"/>
          <w:sz w:val="24"/>
          <w:szCs w:val="24"/>
        </w:rPr>
        <w:t xml:space="preserve">. </w:t>
      </w:r>
    </w:p>
    <w:p w14:paraId="3922FAD8" w14:textId="3D844297" w:rsidR="00AA5247" w:rsidRPr="007721FB" w:rsidRDefault="00C045E9" w:rsidP="00F42607">
      <w:pPr>
        <w:spacing w:after="0" w:line="240" w:lineRule="auto"/>
        <w:ind w:firstLine="284"/>
        <w:jc w:val="both"/>
        <w:rPr>
          <w:rFonts w:ascii="Times New Roman" w:hAnsi="Times New Roman" w:cs="Times New Roman"/>
          <w:sz w:val="24"/>
          <w:szCs w:val="24"/>
        </w:rPr>
      </w:pPr>
      <w:r w:rsidRPr="007721FB">
        <w:rPr>
          <w:rFonts w:ascii="Times New Roman" w:hAnsi="Times New Roman" w:cs="Times New Roman"/>
          <w:sz w:val="24"/>
          <w:szCs w:val="24"/>
        </w:rPr>
        <w:t>From this standpoint</w:t>
      </w:r>
      <w:r w:rsidR="00AA5247" w:rsidRPr="007721FB">
        <w:rPr>
          <w:rFonts w:ascii="Times New Roman" w:hAnsi="Times New Roman" w:cs="Times New Roman"/>
          <w:sz w:val="24"/>
          <w:szCs w:val="24"/>
        </w:rPr>
        <w:t xml:space="preserve">, this review aims to showcase </w:t>
      </w:r>
      <w:r w:rsidR="005275F3" w:rsidRPr="007721FB">
        <w:rPr>
          <w:rFonts w:ascii="Times New Roman" w:hAnsi="Times New Roman" w:cs="Times New Roman"/>
          <w:sz w:val="24"/>
          <w:szCs w:val="24"/>
        </w:rPr>
        <w:t xml:space="preserve">state-of-the-art </w:t>
      </w:r>
      <w:r w:rsidR="00AA5247" w:rsidRPr="007721FB">
        <w:rPr>
          <w:rFonts w:ascii="Times New Roman" w:hAnsi="Times New Roman" w:cs="Times New Roman"/>
          <w:sz w:val="24"/>
          <w:szCs w:val="24"/>
        </w:rPr>
        <w:t>stimuli-responsive nanocarriers applied in bone</w:t>
      </w:r>
      <w:r w:rsidR="003F197A" w:rsidRPr="007721FB">
        <w:rPr>
          <w:rFonts w:ascii="Times New Roman" w:hAnsi="Times New Roman" w:cs="Times New Roman"/>
          <w:sz w:val="24"/>
          <w:szCs w:val="24"/>
        </w:rPr>
        <w:t>-related</w:t>
      </w:r>
      <w:r w:rsidR="00AA5247" w:rsidRPr="007721FB">
        <w:rPr>
          <w:rFonts w:ascii="Times New Roman" w:hAnsi="Times New Roman" w:cs="Times New Roman"/>
          <w:sz w:val="24"/>
          <w:szCs w:val="24"/>
        </w:rPr>
        <w:t xml:space="preserve"> therapies</w:t>
      </w:r>
      <w:r w:rsidR="00FD05B6" w:rsidRPr="007721FB">
        <w:rPr>
          <w:rFonts w:ascii="Times New Roman" w:hAnsi="Times New Roman" w:cs="Times New Roman"/>
          <w:sz w:val="24"/>
          <w:szCs w:val="24"/>
        </w:rPr>
        <w:t>, as well as</w:t>
      </w:r>
      <w:r w:rsidR="00AA5247" w:rsidRPr="007721FB">
        <w:rPr>
          <w:rFonts w:ascii="Times New Roman" w:hAnsi="Times New Roman" w:cs="Times New Roman"/>
          <w:sz w:val="24"/>
          <w:szCs w:val="24"/>
        </w:rPr>
        <w:t xml:space="preserve"> their </w:t>
      </w:r>
      <w:r w:rsidR="004D6ED7" w:rsidRPr="007721FB">
        <w:rPr>
          <w:rFonts w:ascii="Times New Roman" w:hAnsi="Times New Roman" w:cs="Times New Roman"/>
          <w:sz w:val="24"/>
          <w:szCs w:val="24"/>
        </w:rPr>
        <w:t xml:space="preserve">unique </w:t>
      </w:r>
      <w:r w:rsidR="00AA5247" w:rsidRPr="007721FB">
        <w:rPr>
          <w:rFonts w:ascii="Times New Roman" w:hAnsi="Times New Roman" w:cs="Times New Roman"/>
          <w:sz w:val="24"/>
          <w:szCs w:val="24"/>
        </w:rPr>
        <w:t>design</w:t>
      </w:r>
      <w:r w:rsidR="004D6ED7" w:rsidRPr="007721FB">
        <w:rPr>
          <w:rFonts w:ascii="Times New Roman" w:hAnsi="Times New Roman" w:cs="Times New Roman"/>
          <w:sz w:val="24"/>
          <w:szCs w:val="24"/>
        </w:rPr>
        <w:t>s</w:t>
      </w:r>
      <w:r w:rsidR="00FD05B6" w:rsidRPr="007721FB">
        <w:rPr>
          <w:rFonts w:ascii="Times New Roman" w:hAnsi="Times New Roman" w:cs="Times New Roman"/>
          <w:sz w:val="24"/>
          <w:szCs w:val="24"/>
        </w:rPr>
        <w:t xml:space="preserve"> and </w:t>
      </w:r>
      <w:r w:rsidR="004D6ED7" w:rsidRPr="007721FB">
        <w:rPr>
          <w:rFonts w:ascii="Times New Roman" w:hAnsi="Times New Roman" w:cs="Times New Roman"/>
          <w:sz w:val="24"/>
          <w:szCs w:val="24"/>
        </w:rPr>
        <w:t>properties</w:t>
      </w:r>
      <w:r w:rsidR="00AA5247" w:rsidRPr="007721FB">
        <w:rPr>
          <w:rFonts w:ascii="Times New Roman" w:hAnsi="Times New Roman" w:cs="Times New Roman"/>
          <w:sz w:val="24"/>
          <w:szCs w:val="24"/>
        </w:rPr>
        <w:t>.</w:t>
      </w:r>
      <w:r w:rsidR="004D6ED7" w:rsidRPr="007721FB">
        <w:rPr>
          <w:rFonts w:ascii="Times New Roman" w:hAnsi="Times New Roman" w:cs="Times New Roman"/>
          <w:sz w:val="24"/>
          <w:szCs w:val="24"/>
        </w:rPr>
        <w:t xml:space="preserve"> The different biological barriers encountered during </w:t>
      </w:r>
      <w:r w:rsidR="00CB143D" w:rsidRPr="007721FB">
        <w:rPr>
          <w:rFonts w:ascii="Times New Roman" w:hAnsi="Times New Roman" w:cs="Times New Roman"/>
          <w:sz w:val="24"/>
          <w:szCs w:val="24"/>
        </w:rPr>
        <w:t>nanosized particles</w:t>
      </w:r>
      <w:r w:rsidR="004D6ED7" w:rsidRPr="007721FB">
        <w:rPr>
          <w:rFonts w:ascii="Times New Roman" w:hAnsi="Times New Roman" w:cs="Times New Roman"/>
          <w:sz w:val="24"/>
          <w:szCs w:val="24"/>
        </w:rPr>
        <w:t xml:space="preserve"> systemic delivery is also addressed in a disease-specific mode as this </w:t>
      </w:r>
      <w:r w:rsidR="005275F3" w:rsidRPr="007721FB">
        <w:rPr>
          <w:rFonts w:ascii="Times New Roman" w:hAnsi="Times New Roman" w:cs="Times New Roman"/>
          <w:sz w:val="24"/>
          <w:szCs w:val="24"/>
        </w:rPr>
        <w:t>should</w:t>
      </w:r>
      <w:r w:rsidR="004D6ED7" w:rsidRPr="007721FB">
        <w:rPr>
          <w:rFonts w:ascii="Times New Roman" w:hAnsi="Times New Roman" w:cs="Times New Roman"/>
          <w:sz w:val="24"/>
          <w:szCs w:val="24"/>
        </w:rPr>
        <w:t xml:space="preserve"> be a determinant factor during pre-clinical</w:t>
      </w:r>
      <w:r w:rsidR="00CB143D" w:rsidRPr="007721FB">
        <w:rPr>
          <w:rFonts w:ascii="Times New Roman" w:hAnsi="Times New Roman" w:cs="Times New Roman"/>
          <w:sz w:val="24"/>
          <w:szCs w:val="24"/>
        </w:rPr>
        <w:t xml:space="preserve"> </w:t>
      </w:r>
      <w:r w:rsidR="004D6ED7" w:rsidRPr="007721FB">
        <w:rPr>
          <w:rFonts w:ascii="Times New Roman" w:hAnsi="Times New Roman" w:cs="Times New Roman"/>
          <w:sz w:val="24"/>
          <w:szCs w:val="24"/>
        </w:rPr>
        <w:t>design and testing stages.</w:t>
      </w:r>
      <w:r w:rsidR="00AA5247" w:rsidRPr="007721FB">
        <w:rPr>
          <w:rFonts w:ascii="Times New Roman" w:hAnsi="Times New Roman" w:cs="Times New Roman"/>
          <w:sz w:val="24"/>
          <w:szCs w:val="24"/>
        </w:rPr>
        <w:t xml:space="preserve"> </w:t>
      </w:r>
      <w:r w:rsidR="00FD05B6" w:rsidRPr="007721FB">
        <w:rPr>
          <w:rFonts w:ascii="Times New Roman" w:hAnsi="Times New Roman" w:cs="Times New Roman"/>
          <w:sz w:val="24"/>
          <w:szCs w:val="24"/>
        </w:rPr>
        <w:t>As a</w:t>
      </w:r>
      <w:r w:rsidR="00340699" w:rsidRPr="007721FB">
        <w:rPr>
          <w:rFonts w:ascii="Times New Roman" w:hAnsi="Times New Roman" w:cs="Times New Roman"/>
          <w:sz w:val="24"/>
          <w:szCs w:val="24"/>
        </w:rPr>
        <w:t>n overarching</w:t>
      </w:r>
      <w:r w:rsidR="00FD05B6" w:rsidRPr="007721FB">
        <w:rPr>
          <w:rFonts w:ascii="Times New Roman" w:hAnsi="Times New Roman" w:cs="Times New Roman"/>
          <w:sz w:val="24"/>
          <w:szCs w:val="24"/>
        </w:rPr>
        <w:t xml:space="preserve"> concept</w:t>
      </w:r>
      <w:r w:rsidR="00340699" w:rsidRPr="007721FB">
        <w:rPr>
          <w:rFonts w:ascii="Times New Roman" w:hAnsi="Times New Roman" w:cs="Times New Roman"/>
          <w:sz w:val="24"/>
          <w:szCs w:val="24"/>
        </w:rPr>
        <w:t xml:space="preserve"> </w:t>
      </w:r>
      <w:r w:rsidR="00FD05B6" w:rsidRPr="007721FB">
        <w:rPr>
          <w:rFonts w:ascii="Times New Roman" w:hAnsi="Times New Roman" w:cs="Times New Roman"/>
          <w:sz w:val="24"/>
          <w:szCs w:val="24"/>
        </w:rPr>
        <w:t>the l</w:t>
      </w:r>
      <w:r w:rsidR="00AA5247" w:rsidRPr="007721FB">
        <w:rPr>
          <w:rFonts w:ascii="Times New Roman" w:hAnsi="Times New Roman" w:cs="Times New Roman"/>
          <w:sz w:val="24"/>
          <w:szCs w:val="24"/>
        </w:rPr>
        <w:t>oading of osteo-regenerative/resorptive drugs or</w:t>
      </w:r>
      <w:r w:rsidR="00FD05B6" w:rsidRPr="007721FB">
        <w:rPr>
          <w:rFonts w:ascii="Times New Roman" w:hAnsi="Times New Roman" w:cs="Times New Roman"/>
          <w:sz w:val="24"/>
          <w:szCs w:val="24"/>
        </w:rPr>
        <w:t xml:space="preserve"> bone</w:t>
      </w:r>
      <w:r w:rsidR="00AA5247" w:rsidRPr="007721FB">
        <w:rPr>
          <w:rFonts w:ascii="Times New Roman" w:hAnsi="Times New Roman" w:cs="Times New Roman"/>
          <w:sz w:val="24"/>
          <w:szCs w:val="24"/>
        </w:rPr>
        <w:t xml:space="preserve"> chemotherapeutic</w:t>
      </w:r>
      <w:r w:rsidR="005275F3" w:rsidRPr="007721FB">
        <w:rPr>
          <w:rFonts w:ascii="Times New Roman" w:hAnsi="Times New Roman" w:cs="Times New Roman"/>
          <w:sz w:val="24"/>
          <w:szCs w:val="24"/>
        </w:rPr>
        <w:t>s</w:t>
      </w:r>
      <w:r w:rsidR="00AA5247" w:rsidRPr="007721FB">
        <w:rPr>
          <w:rFonts w:ascii="Times New Roman" w:hAnsi="Times New Roman" w:cs="Times New Roman"/>
          <w:sz w:val="24"/>
          <w:szCs w:val="24"/>
        </w:rPr>
        <w:t xml:space="preserve"> within nanocarriers, combined </w:t>
      </w:r>
      <w:r w:rsidR="00FD05B6" w:rsidRPr="007721FB">
        <w:rPr>
          <w:rFonts w:ascii="Times New Roman" w:hAnsi="Times New Roman" w:cs="Times New Roman"/>
          <w:sz w:val="24"/>
          <w:szCs w:val="24"/>
        </w:rPr>
        <w:t>with</w:t>
      </w:r>
      <w:r w:rsidR="00DB228D" w:rsidRPr="007721FB">
        <w:rPr>
          <w:rFonts w:ascii="Times New Roman" w:hAnsi="Times New Roman" w:cs="Times New Roman"/>
          <w:sz w:val="24"/>
          <w:szCs w:val="24"/>
        </w:rPr>
        <w:t xml:space="preserve"> the inclusion of</w:t>
      </w:r>
      <w:r w:rsidR="00FD05B6" w:rsidRPr="007721FB">
        <w:rPr>
          <w:rFonts w:ascii="Times New Roman" w:hAnsi="Times New Roman" w:cs="Times New Roman"/>
          <w:sz w:val="24"/>
          <w:szCs w:val="24"/>
        </w:rPr>
        <w:t xml:space="preserve"> </w:t>
      </w:r>
      <w:r w:rsidR="00DB228D" w:rsidRPr="007721FB">
        <w:rPr>
          <w:rFonts w:ascii="Times New Roman" w:hAnsi="Times New Roman" w:cs="Times New Roman"/>
          <w:sz w:val="24"/>
          <w:szCs w:val="24"/>
        </w:rPr>
        <w:t>sensitive</w:t>
      </w:r>
      <w:r w:rsidR="00AA5247" w:rsidRPr="007721FB">
        <w:rPr>
          <w:rFonts w:ascii="Times New Roman" w:hAnsi="Times New Roman" w:cs="Times New Roman"/>
          <w:sz w:val="24"/>
          <w:szCs w:val="24"/>
        </w:rPr>
        <w:t xml:space="preserve"> stimuli-responsive </w:t>
      </w:r>
      <w:r w:rsidR="00FD05B6" w:rsidRPr="007721FB">
        <w:rPr>
          <w:rFonts w:ascii="Times New Roman" w:hAnsi="Times New Roman" w:cs="Times New Roman"/>
          <w:sz w:val="24"/>
          <w:szCs w:val="24"/>
        </w:rPr>
        <w:t>linkages</w:t>
      </w:r>
      <w:r w:rsidR="00AA5247" w:rsidRPr="007721FB">
        <w:rPr>
          <w:rFonts w:ascii="Times New Roman" w:hAnsi="Times New Roman" w:cs="Times New Roman"/>
          <w:sz w:val="24"/>
          <w:szCs w:val="24"/>
        </w:rPr>
        <w:t xml:space="preserve"> should enhance their efficacy while minimizing off-target cytotoxic effects</w:t>
      </w:r>
      <w:r w:rsidR="00FD05B6" w:rsidRPr="007721FB">
        <w:rPr>
          <w:rFonts w:ascii="Times New Roman" w:hAnsi="Times New Roman" w:cs="Times New Roman"/>
          <w:sz w:val="24"/>
          <w:szCs w:val="24"/>
        </w:rPr>
        <w:t>.</w:t>
      </w:r>
    </w:p>
    <w:p w14:paraId="4938D85E" w14:textId="77777777" w:rsidR="00211215" w:rsidRPr="007721FB" w:rsidRDefault="00211215" w:rsidP="00F42607">
      <w:pPr>
        <w:spacing w:after="0" w:line="240" w:lineRule="auto"/>
        <w:ind w:firstLine="709"/>
        <w:jc w:val="both"/>
        <w:rPr>
          <w:rFonts w:ascii="Times New Roman" w:hAnsi="Times New Roman" w:cs="Times New Roman"/>
          <w:sz w:val="24"/>
          <w:szCs w:val="24"/>
        </w:rPr>
      </w:pPr>
    </w:p>
    <w:p w14:paraId="6343D0F5" w14:textId="1E97FA0E" w:rsidR="00723111" w:rsidRPr="007721FB" w:rsidRDefault="00723111" w:rsidP="00F42607">
      <w:pPr>
        <w:pStyle w:val="Cabealho2"/>
        <w:keepNext w:val="0"/>
        <w:keepLines w:val="0"/>
        <w:spacing w:before="0" w:after="120" w:line="240" w:lineRule="auto"/>
        <w:jc w:val="both"/>
        <w:rPr>
          <w:rFonts w:ascii="Times New Roman" w:hAnsi="Times New Roman" w:cs="Times New Roman"/>
          <w:b/>
          <w:color w:val="auto"/>
          <w:sz w:val="28"/>
          <w:szCs w:val="28"/>
        </w:rPr>
      </w:pPr>
      <w:bookmarkStart w:id="4" w:name="_Toc471752559"/>
      <w:bookmarkStart w:id="5" w:name="_Toc471829463"/>
      <w:r w:rsidRPr="007721FB">
        <w:rPr>
          <w:rFonts w:ascii="Times New Roman" w:hAnsi="Times New Roman" w:cs="Times New Roman"/>
          <w:b/>
          <w:color w:val="auto"/>
          <w:sz w:val="28"/>
          <w:szCs w:val="28"/>
        </w:rPr>
        <w:t xml:space="preserve">2. Biological barriers </w:t>
      </w:r>
      <w:r w:rsidR="00F42607" w:rsidRPr="007721FB">
        <w:rPr>
          <w:rFonts w:ascii="Times New Roman" w:hAnsi="Times New Roman" w:cs="Times New Roman"/>
          <w:b/>
          <w:color w:val="auto"/>
          <w:sz w:val="28"/>
          <w:szCs w:val="28"/>
        </w:rPr>
        <w:t>to</w:t>
      </w:r>
      <w:r w:rsidRPr="007721FB">
        <w:rPr>
          <w:rFonts w:ascii="Times New Roman" w:hAnsi="Times New Roman" w:cs="Times New Roman"/>
          <w:b/>
          <w:color w:val="auto"/>
          <w:sz w:val="28"/>
          <w:szCs w:val="28"/>
        </w:rPr>
        <w:t xml:space="preserve"> </w:t>
      </w:r>
      <w:r w:rsidR="00F42607" w:rsidRPr="007721FB">
        <w:rPr>
          <w:rFonts w:ascii="Times New Roman" w:hAnsi="Times New Roman" w:cs="Times New Roman"/>
          <w:b/>
          <w:color w:val="auto"/>
          <w:sz w:val="28"/>
          <w:szCs w:val="28"/>
        </w:rPr>
        <w:t>n</w:t>
      </w:r>
      <w:r w:rsidRPr="007721FB">
        <w:rPr>
          <w:rFonts w:ascii="Times New Roman" w:hAnsi="Times New Roman" w:cs="Times New Roman"/>
          <w:b/>
          <w:color w:val="auto"/>
          <w:sz w:val="28"/>
          <w:szCs w:val="28"/>
        </w:rPr>
        <w:t xml:space="preserve">anocarrier-mediated </w:t>
      </w:r>
      <w:bookmarkEnd w:id="4"/>
      <w:bookmarkEnd w:id="5"/>
      <w:r w:rsidR="00F42607" w:rsidRPr="007721FB">
        <w:rPr>
          <w:rFonts w:ascii="Times New Roman" w:hAnsi="Times New Roman" w:cs="Times New Roman"/>
          <w:b/>
          <w:color w:val="auto"/>
          <w:sz w:val="28"/>
          <w:szCs w:val="28"/>
        </w:rPr>
        <w:t>d</w:t>
      </w:r>
      <w:r w:rsidR="005F4F0C" w:rsidRPr="007721FB">
        <w:rPr>
          <w:rFonts w:ascii="Times New Roman" w:hAnsi="Times New Roman" w:cs="Times New Roman"/>
          <w:b/>
          <w:color w:val="auto"/>
          <w:sz w:val="28"/>
          <w:szCs w:val="28"/>
        </w:rPr>
        <w:t xml:space="preserve">elivery of </w:t>
      </w:r>
      <w:r w:rsidR="00F42607" w:rsidRPr="007721FB">
        <w:rPr>
          <w:rFonts w:ascii="Times New Roman" w:hAnsi="Times New Roman" w:cs="Times New Roman"/>
          <w:b/>
          <w:color w:val="auto"/>
          <w:sz w:val="28"/>
          <w:szCs w:val="28"/>
        </w:rPr>
        <w:t>b</w:t>
      </w:r>
      <w:r w:rsidR="005F4F0C" w:rsidRPr="007721FB">
        <w:rPr>
          <w:rFonts w:ascii="Times New Roman" w:hAnsi="Times New Roman" w:cs="Times New Roman"/>
          <w:b/>
          <w:color w:val="auto"/>
          <w:sz w:val="28"/>
          <w:szCs w:val="28"/>
        </w:rPr>
        <w:t>one therapeutics</w:t>
      </w:r>
    </w:p>
    <w:p w14:paraId="091E2116" w14:textId="35DCE5C8" w:rsidR="0060747E" w:rsidRPr="007721FB" w:rsidRDefault="006F1E33" w:rsidP="00EE0E61">
      <w:pPr>
        <w:spacing w:after="0" w:line="240" w:lineRule="auto"/>
        <w:jc w:val="both"/>
        <w:rPr>
          <w:rFonts w:ascii="Times New Roman" w:hAnsi="Times New Roman" w:cs="Times New Roman"/>
          <w:sz w:val="24"/>
        </w:rPr>
      </w:pPr>
      <w:r w:rsidRPr="007721FB">
        <w:rPr>
          <w:rFonts w:ascii="Times New Roman" w:hAnsi="Times New Roman" w:cs="Times New Roman"/>
          <w:sz w:val="24"/>
          <w:szCs w:val="24"/>
        </w:rPr>
        <w:t xml:space="preserve">   </w:t>
      </w:r>
      <w:r w:rsidR="005275F3" w:rsidRPr="007721FB">
        <w:rPr>
          <w:rFonts w:ascii="Times New Roman" w:hAnsi="Times New Roman" w:cs="Times New Roman"/>
          <w:sz w:val="24"/>
          <w:szCs w:val="24"/>
        </w:rPr>
        <w:t>Upon parenteral administration, t</w:t>
      </w:r>
      <w:r w:rsidR="000D50B7" w:rsidRPr="007721FB">
        <w:rPr>
          <w:rFonts w:ascii="Times New Roman" w:hAnsi="Times New Roman" w:cs="Times New Roman"/>
          <w:sz w:val="24"/>
          <w:szCs w:val="24"/>
        </w:rPr>
        <w:t>he accumulation of pristine or</w:t>
      </w:r>
      <w:r w:rsidR="005275F3" w:rsidRPr="007721FB">
        <w:rPr>
          <w:rFonts w:ascii="Times New Roman" w:hAnsi="Times New Roman" w:cs="Times New Roman"/>
          <w:sz w:val="24"/>
          <w:szCs w:val="24"/>
        </w:rPr>
        <w:t xml:space="preserve"> targeted</w:t>
      </w:r>
      <w:r w:rsidR="000D50B7" w:rsidRPr="007721FB">
        <w:rPr>
          <w:rFonts w:ascii="Times New Roman" w:hAnsi="Times New Roman" w:cs="Times New Roman"/>
          <w:sz w:val="24"/>
          <w:szCs w:val="24"/>
        </w:rPr>
        <w:t xml:space="preserve"> stimuli-responsive delivery systems</w:t>
      </w:r>
      <w:r w:rsidR="007C119D" w:rsidRPr="007721FB">
        <w:rPr>
          <w:rFonts w:ascii="Times New Roman" w:hAnsi="Times New Roman" w:cs="Times New Roman"/>
          <w:sz w:val="24"/>
          <w:szCs w:val="24"/>
        </w:rPr>
        <w:t xml:space="preserve"> in bone </w:t>
      </w:r>
      <w:r w:rsidR="0060747E" w:rsidRPr="007721FB">
        <w:rPr>
          <w:rFonts w:ascii="Times New Roman" w:hAnsi="Times New Roman" w:cs="Times New Roman"/>
          <w:sz w:val="24"/>
          <w:szCs w:val="24"/>
        </w:rPr>
        <w:t xml:space="preserve">is </w:t>
      </w:r>
      <w:r w:rsidR="007C119D" w:rsidRPr="007721FB">
        <w:rPr>
          <w:rFonts w:ascii="Times New Roman" w:hAnsi="Times New Roman" w:cs="Times New Roman"/>
          <w:sz w:val="24"/>
          <w:szCs w:val="24"/>
        </w:rPr>
        <w:t>hindered by</w:t>
      </w:r>
      <w:r w:rsidR="004A09B7" w:rsidRPr="007721FB">
        <w:rPr>
          <w:rFonts w:ascii="Times New Roman" w:hAnsi="Times New Roman" w:cs="Times New Roman"/>
          <w:sz w:val="24"/>
          <w:szCs w:val="24"/>
        </w:rPr>
        <w:t xml:space="preserve"> </w:t>
      </w:r>
      <w:r w:rsidR="005275F3" w:rsidRPr="007721FB">
        <w:rPr>
          <w:rFonts w:ascii="Times New Roman" w:hAnsi="Times New Roman" w:cs="Times New Roman"/>
          <w:sz w:val="24"/>
          <w:szCs w:val="24"/>
        </w:rPr>
        <w:t>its</w:t>
      </w:r>
      <w:r w:rsidR="004A09B7" w:rsidRPr="007721FB">
        <w:rPr>
          <w:rFonts w:ascii="Times New Roman" w:hAnsi="Times New Roman" w:cs="Times New Roman"/>
          <w:sz w:val="24"/>
          <w:szCs w:val="24"/>
        </w:rPr>
        <w:t xml:space="preserve"> </w:t>
      </w:r>
      <w:r w:rsidR="007A29B4" w:rsidRPr="007721FB">
        <w:rPr>
          <w:rFonts w:ascii="Times New Roman" w:hAnsi="Times New Roman" w:cs="Times New Roman"/>
          <w:sz w:val="24"/>
          <w:szCs w:val="24"/>
        </w:rPr>
        <w:t>unique</w:t>
      </w:r>
      <w:r w:rsidR="004A09B7" w:rsidRPr="007721FB">
        <w:rPr>
          <w:rFonts w:ascii="Times New Roman" w:hAnsi="Times New Roman" w:cs="Times New Roman"/>
          <w:sz w:val="24"/>
          <w:szCs w:val="24"/>
        </w:rPr>
        <w:t xml:space="preserve"> </w:t>
      </w:r>
      <w:r w:rsidR="0060747E" w:rsidRPr="007721FB">
        <w:rPr>
          <w:rFonts w:ascii="Times New Roman" w:hAnsi="Times New Roman" w:cs="Times New Roman"/>
          <w:sz w:val="24"/>
          <w:szCs w:val="24"/>
        </w:rPr>
        <w:t xml:space="preserve">anatomic </w:t>
      </w:r>
      <w:r w:rsidR="007A29B4" w:rsidRPr="007721FB">
        <w:rPr>
          <w:rFonts w:ascii="Times New Roman" w:hAnsi="Times New Roman" w:cs="Times New Roman"/>
          <w:sz w:val="24"/>
          <w:szCs w:val="24"/>
        </w:rPr>
        <w:t>structure</w:t>
      </w:r>
      <w:r w:rsidR="007C119D" w:rsidRPr="007721FB">
        <w:rPr>
          <w:rFonts w:ascii="Times New Roman" w:hAnsi="Times New Roman" w:cs="Times New Roman"/>
          <w:sz w:val="24"/>
          <w:szCs w:val="24"/>
        </w:rPr>
        <w:t xml:space="preserve">. </w:t>
      </w:r>
      <w:r w:rsidR="0060747E" w:rsidRPr="007721FB">
        <w:rPr>
          <w:rFonts w:ascii="Times New Roman" w:hAnsi="Times New Roman" w:cs="Times New Roman"/>
          <w:sz w:val="24"/>
          <w:szCs w:val="24"/>
        </w:rPr>
        <w:t>In essence,</w:t>
      </w:r>
      <w:r w:rsidR="00957931" w:rsidRPr="007721FB">
        <w:rPr>
          <w:rFonts w:ascii="Times New Roman" w:hAnsi="Times New Roman" w:cs="Times New Roman"/>
          <w:sz w:val="24"/>
          <w:szCs w:val="24"/>
        </w:rPr>
        <w:t xml:space="preserve"> mature</w:t>
      </w:r>
      <w:r w:rsidR="0060747E" w:rsidRPr="007721FB">
        <w:rPr>
          <w:rFonts w:ascii="Times New Roman" w:hAnsi="Times New Roman" w:cs="Times New Roman"/>
          <w:sz w:val="24"/>
        </w:rPr>
        <w:t xml:space="preserve"> bone is a complex calcified tissue primarily composed of</w:t>
      </w:r>
      <w:r w:rsidR="00DE7DC5" w:rsidRPr="007721FB">
        <w:rPr>
          <w:rFonts w:ascii="Times New Roman" w:hAnsi="Times New Roman" w:cs="Times New Roman"/>
          <w:sz w:val="24"/>
        </w:rPr>
        <w:t>:</w:t>
      </w:r>
      <w:r w:rsidR="0060747E" w:rsidRPr="007721FB">
        <w:rPr>
          <w:rFonts w:ascii="Times New Roman" w:hAnsi="Times New Roman" w:cs="Times New Roman"/>
          <w:sz w:val="24"/>
        </w:rPr>
        <w:t xml:space="preserve"> 50-70 % mineral hydroxyapatite (HA), 20</w:t>
      </w:r>
      <w:r w:rsidR="00AB16E2" w:rsidRPr="007721FB">
        <w:rPr>
          <w:rFonts w:ascii="Times New Roman" w:hAnsi="Times New Roman" w:cs="Times New Roman"/>
          <w:sz w:val="24"/>
        </w:rPr>
        <w:t xml:space="preserve"> </w:t>
      </w:r>
      <w:r w:rsidR="0060747E" w:rsidRPr="007721FB">
        <w:rPr>
          <w:rFonts w:ascii="Times New Roman" w:hAnsi="Times New Roman" w:cs="Times New Roman"/>
          <w:sz w:val="24"/>
        </w:rPr>
        <w:t>-</w:t>
      </w:r>
      <w:r w:rsidR="00AB16E2" w:rsidRPr="007721FB">
        <w:rPr>
          <w:rFonts w:ascii="Times New Roman" w:hAnsi="Times New Roman" w:cs="Times New Roman"/>
          <w:sz w:val="24"/>
        </w:rPr>
        <w:t xml:space="preserve"> </w:t>
      </w:r>
      <w:r w:rsidR="0060747E" w:rsidRPr="007721FB">
        <w:rPr>
          <w:rFonts w:ascii="Times New Roman" w:hAnsi="Times New Roman" w:cs="Times New Roman"/>
          <w:sz w:val="24"/>
        </w:rPr>
        <w:t>40</w:t>
      </w:r>
      <w:r w:rsidR="00AA5F02" w:rsidRPr="007721FB">
        <w:rPr>
          <w:rFonts w:ascii="Times New Roman" w:hAnsi="Times New Roman" w:cs="Times New Roman"/>
          <w:sz w:val="24"/>
        </w:rPr>
        <w:t xml:space="preserve"> </w:t>
      </w:r>
      <w:r w:rsidR="0060747E" w:rsidRPr="007721FB">
        <w:rPr>
          <w:rFonts w:ascii="Times New Roman" w:hAnsi="Times New Roman" w:cs="Times New Roman"/>
          <w:sz w:val="24"/>
        </w:rPr>
        <w:t>% collagen matrix, 5-10</w:t>
      </w:r>
      <w:r w:rsidR="00AA5F02" w:rsidRPr="007721FB">
        <w:rPr>
          <w:rFonts w:ascii="Times New Roman" w:hAnsi="Times New Roman" w:cs="Times New Roman"/>
          <w:sz w:val="24"/>
        </w:rPr>
        <w:t xml:space="preserve"> </w:t>
      </w:r>
      <w:r w:rsidR="0060747E" w:rsidRPr="007721FB">
        <w:rPr>
          <w:rFonts w:ascii="Times New Roman" w:hAnsi="Times New Roman" w:cs="Times New Roman"/>
          <w:sz w:val="24"/>
        </w:rPr>
        <w:t>% water and 1-5</w:t>
      </w:r>
      <w:r w:rsidR="00AA5F02" w:rsidRPr="007721FB">
        <w:rPr>
          <w:rFonts w:ascii="Times New Roman" w:hAnsi="Times New Roman" w:cs="Times New Roman"/>
          <w:sz w:val="24"/>
        </w:rPr>
        <w:t xml:space="preserve"> </w:t>
      </w:r>
      <w:r w:rsidR="0060747E" w:rsidRPr="007721FB">
        <w:rPr>
          <w:rFonts w:ascii="Times New Roman" w:hAnsi="Times New Roman" w:cs="Times New Roman"/>
          <w:sz w:val="24"/>
        </w:rPr>
        <w:t>% lipid</w:t>
      </w:r>
      <w:r w:rsidR="00DE7DC5" w:rsidRPr="007721FB">
        <w:rPr>
          <w:rFonts w:ascii="Times New Roman" w:hAnsi="Times New Roman" w:cs="Times New Roman"/>
          <w:sz w:val="24"/>
        </w:rPr>
        <w:t>ic contents</w:t>
      </w:r>
      <w:r w:rsidR="000760CD" w:rsidRPr="007721FB">
        <w:rPr>
          <w:rFonts w:ascii="Times New Roman" w:hAnsi="Times New Roman" w:cs="Times New Roman"/>
          <w:sz w:val="24"/>
        </w:rPr>
        <w:t xml:space="preserve"> </w:t>
      </w:r>
      <w:r w:rsidR="0060747E" w:rsidRPr="007721FB">
        <w:rPr>
          <w:rFonts w:ascii="Times New Roman" w:hAnsi="Times New Roman" w:cs="Times New Roman"/>
          <w:sz w:val="24"/>
        </w:rPr>
        <w:fldChar w:fldCharType="begin" w:fldLock="1"/>
      </w:r>
      <w:r w:rsidR="00496BD7" w:rsidRPr="007721FB">
        <w:rPr>
          <w:rFonts w:ascii="Times New Roman" w:hAnsi="Times New Roman" w:cs="Times New Roman"/>
          <w:sz w:val="24"/>
        </w:rPr>
        <w:instrText>ADDIN CSL_CITATION { "citationItems" : [ { "id" : "ITEM-1", "itemData" : { "DOI" : "10.22203/eCM.v031a23", "ISSN" : "14732262", "author" : [ { "dropping-particle" : "", "family" : "Alencastre", "given" : "I. S.", "non-dropping-particle" : "", "parse-names" : false, "suffix" : "" }, { "dropping-particle" : "", "family" : "Sousa", "given" : "D. M.", "non-dropping-particle" : "", "parse-names" : false, "suffix" : "" }, { "dropping-particle" : "", "family" : "Alves", "given" : "C. J.", "non-dropping-particle" : "", "parse-names" : false, "suffix" : "" }, { "dropping-particle" : "", "family" : "Leit\u00e3o", "given" : "L.", "non-dropping-particle" : "", "parse-names" : false, "suffix" : "" }, { "dropping-particle" : "", "family" : "Neto", "given" : "E.", "non-dropping-particle" : "", "parse-names" : false, "suffix" : "" }, { "dropping-particle" : "", "family" : "Aguiar", "given" : "P.", "non-dropping-particle" : "", "parse-names" : false, "suffix" : "" }, { "dropping-particle" : "", "family" : "Lamghari", "given" : "Meriem", "non-dropping-particle" : "", "parse-names" : false, "suffix" : "" } ], "container-title" : "European Cells and Materials", "id" : "ITEM-1", "issued" : { "date-parts" : [ [ "2016" ] ] }, "page" : "355-381", "title" : "Delivery of pharmaceutics to bone: Nanotechnologies, high-throughput processing and in silico mathematical models", "type" : "article-journal", "volume" : "31" }, "uris" : [ "http://www.mendeley.com/documents/?uuid=aab045be-86a8-4cab-8b84-a83e297ee4a3", "http://www.mendeley.com/documents/?uuid=2a4122c7-da52-4c62-9b0b-487e5b6fe31a" ] } ], "mendeley" : { "formattedCitation" : "[14]", "plainTextFormattedCitation" : "[14]", "previouslyFormattedCitation" : "[14]" }, "properties" : { "noteIndex" : 0 }, "schema" : "https://github.com/citation-style-language/schema/raw/master/csl-citation.json" }</w:instrText>
      </w:r>
      <w:r w:rsidR="0060747E" w:rsidRPr="007721FB">
        <w:rPr>
          <w:rFonts w:ascii="Times New Roman" w:hAnsi="Times New Roman" w:cs="Times New Roman"/>
          <w:sz w:val="24"/>
        </w:rPr>
        <w:fldChar w:fldCharType="separate"/>
      </w:r>
      <w:r w:rsidR="00496BD7" w:rsidRPr="007721FB">
        <w:rPr>
          <w:rFonts w:ascii="Times New Roman" w:hAnsi="Times New Roman" w:cs="Times New Roman"/>
          <w:noProof/>
          <w:sz w:val="24"/>
        </w:rPr>
        <w:t>[14]</w:t>
      </w:r>
      <w:r w:rsidR="0060747E" w:rsidRPr="007721FB">
        <w:rPr>
          <w:rFonts w:ascii="Times New Roman" w:hAnsi="Times New Roman" w:cs="Times New Roman"/>
          <w:sz w:val="24"/>
        </w:rPr>
        <w:fldChar w:fldCharType="end"/>
      </w:r>
      <w:r w:rsidR="000760CD" w:rsidRPr="007721FB">
        <w:rPr>
          <w:rFonts w:ascii="Times New Roman" w:hAnsi="Times New Roman" w:cs="Times New Roman"/>
          <w:sz w:val="24"/>
        </w:rPr>
        <w:t>.</w:t>
      </w:r>
      <w:r w:rsidR="0060747E" w:rsidRPr="007721FB">
        <w:rPr>
          <w:rFonts w:ascii="Times New Roman" w:hAnsi="Times New Roman" w:cs="Times New Roman"/>
          <w:sz w:val="24"/>
        </w:rPr>
        <w:t xml:space="preserve"> Hierarchically, </w:t>
      </w:r>
      <w:r w:rsidR="00B026D4" w:rsidRPr="007721FB">
        <w:rPr>
          <w:rFonts w:ascii="Times New Roman" w:hAnsi="Times New Roman" w:cs="Times New Roman"/>
          <w:sz w:val="24"/>
        </w:rPr>
        <w:t xml:space="preserve">it </w:t>
      </w:r>
      <w:r w:rsidR="0060747E" w:rsidRPr="007721FB">
        <w:rPr>
          <w:rFonts w:ascii="Times New Roman" w:hAnsi="Times New Roman" w:cs="Times New Roman"/>
          <w:sz w:val="24"/>
        </w:rPr>
        <w:t xml:space="preserve">consists </w:t>
      </w:r>
      <w:r w:rsidR="00F42607" w:rsidRPr="007721FB">
        <w:rPr>
          <w:rFonts w:ascii="Times New Roman" w:hAnsi="Times New Roman" w:cs="Times New Roman"/>
          <w:sz w:val="24"/>
        </w:rPr>
        <w:t>of</w:t>
      </w:r>
      <w:r w:rsidR="00867E90" w:rsidRPr="007721FB">
        <w:rPr>
          <w:rFonts w:ascii="Times New Roman" w:hAnsi="Times New Roman" w:cs="Times New Roman"/>
          <w:sz w:val="24"/>
        </w:rPr>
        <w:t>: (</w:t>
      </w:r>
      <w:r w:rsidRPr="007721FB">
        <w:rPr>
          <w:rFonts w:ascii="Times New Roman" w:hAnsi="Times New Roman" w:cs="Times New Roman"/>
          <w:sz w:val="24"/>
        </w:rPr>
        <w:t>i)</w:t>
      </w:r>
      <w:r w:rsidR="0060747E" w:rsidRPr="007721FB">
        <w:rPr>
          <w:rFonts w:ascii="Times New Roman" w:hAnsi="Times New Roman" w:cs="Times New Roman"/>
          <w:sz w:val="24"/>
        </w:rPr>
        <w:t xml:space="preserve"> cortical bone</w:t>
      </w:r>
      <w:r w:rsidR="00DE7DC5" w:rsidRPr="007721FB">
        <w:rPr>
          <w:rFonts w:ascii="Times New Roman" w:hAnsi="Times New Roman" w:cs="Times New Roman"/>
          <w:sz w:val="24"/>
        </w:rPr>
        <w:t>, a compact shell</w:t>
      </w:r>
      <w:r w:rsidR="005275F3" w:rsidRPr="007721FB">
        <w:rPr>
          <w:rFonts w:ascii="Times New Roman" w:hAnsi="Times New Roman" w:cs="Times New Roman"/>
          <w:sz w:val="24"/>
        </w:rPr>
        <w:t xml:space="preserve"> with rapid tissue turnover</w:t>
      </w:r>
      <w:r w:rsidR="00DE7DC5" w:rsidRPr="007721FB">
        <w:rPr>
          <w:rFonts w:ascii="Times New Roman" w:hAnsi="Times New Roman" w:cs="Times New Roman"/>
          <w:sz w:val="24"/>
        </w:rPr>
        <w:t xml:space="preserve"> that</w:t>
      </w:r>
      <w:r w:rsidR="00F42607" w:rsidRPr="007721FB">
        <w:rPr>
          <w:rFonts w:ascii="Times New Roman" w:hAnsi="Times New Roman" w:cs="Times New Roman"/>
          <w:sz w:val="24"/>
        </w:rPr>
        <w:t xml:space="preserve"> is</w:t>
      </w:r>
      <w:r w:rsidR="0060747E" w:rsidRPr="007721FB">
        <w:rPr>
          <w:rFonts w:ascii="Times New Roman" w:hAnsi="Times New Roman" w:cs="Times New Roman"/>
          <w:sz w:val="24"/>
        </w:rPr>
        <w:t xml:space="preserve"> comprised of well</w:t>
      </w:r>
      <w:r w:rsidR="00B02D2F" w:rsidRPr="007721FB">
        <w:rPr>
          <w:rFonts w:ascii="Times New Roman" w:hAnsi="Times New Roman" w:cs="Times New Roman"/>
          <w:sz w:val="24"/>
        </w:rPr>
        <w:t>-</w:t>
      </w:r>
      <w:r w:rsidR="0060747E" w:rsidRPr="007721FB">
        <w:rPr>
          <w:rFonts w:ascii="Times New Roman" w:hAnsi="Times New Roman" w:cs="Times New Roman"/>
          <w:sz w:val="24"/>
        </w:rPr>
        <w:t>aligned Haversian systems</w:t>
      </w:r>
      <w:r w:rsidR="005275F3" w:rsidRPr="007721FB">
        <w:rPr>
          <w:rFonts w:ascii="Times New Roman" w:hAnsi="Times New Roman" w:cs="Times New Roman"/>
          <w:sz w:val="24"/>
        </w:rPr>
        <w:t xml:space="preserve">, also termed </w:t>
      </w:r>
      <w:r w:rsidR="00EA68D1" w:rsidRPr="007721FB">
        <w:rPr>
          <w:rFonts w:ascii="Times New Roman" w:hAnsi="Times New Roman" w:cs="Times New Roman"/>
          <w:sz w:val="24"/>
        </w:rPr>
        <w:t>Osteons</w:t>
      </w:r>
      <w:r w:rsidR="005275F3" w:rsidRPr="007721FB">
        <w:rPr>
          <w:rFonts w:ascii="Times New Roman" w:hAnsi="Times New Roman" w:cs="Times New Roman"/>
          <w:sz w:val="24"/>
        </w:rPr>
        <w:t>,</w:t>
      </w:r>
      <w:r w:rsidR="0060747E" w:rsidRPr="007721FB">
        <w:rPr>
          <w:rFonts w:ascii="Times New Roman" w:hAnsi="Times New Roman" w:cs="Times New Roman"/>
          <w:sz w:val="24"/>
        </w:rPr>
        <w:t xml:space="preserve"> </w:t>
      </w:r>
      <w:r w:rsidR="00DE7DC5" w:rsidRPr="007721FB">
        <w:rPr>
          <w:rFonts w:ascii="Times New Roman" w:hAnsi="Times New Roman" w:cs="Times New Roman"/>
          <w:sz w:val="24"/>
        </w:rPr>
        <w:t xml:space="preserve">which </w:t>
      </w:r>
      <w:r w:rsidR="0060747E" w:rsidRPr="007721FB">
        <w:rPr>
          <w:rFonts w:ascii="Times New Roman" w:hAnsi="Times New Roman" w:cs="Times New Roman"/>
          <w:sz w:val="24"/>
        </w:rPr>
        <w:t xml:space="preserve">run </w:t>
      </w:r>
      <w:r w:rsidR="00867E90" w:rsidRPr="007721FB">
        <w:rPr>
          <w:rFonts w:ascii="Times New Roman" w:hAnsi="Times New Roman" w:cs="Times New Roman"/>
          <w:sz w:val="24"/>
        </w:rPr>
        <w:t>in parallel</w:t>
      </w:r>
      <w:r w:rsidR="00B026D4" w:rsidRPr="007721FB">
        <w:rPr>
          <w:rFonts w:ascii="Times New Roman" w:hAnsi="Times New Roman" w:cs="Times New Roman"/>
          <w:sz w:val="24"/>
        </w:rPr>
        <w:t xml:space="preserve"> along the structure</w:t>
      </w:r>
      <w:r w:rsidR="0060747E" w:rsidRPr="007721FB">
        <w:rPr>
          <w:rFonts w:ascii="Times New Roman" w:hAnsi="Times New Roman" w:cs="Times New Roman"/>
          <w:sz w:val="24"/>
        </w:rPr>
        <w:t>, and</w:t>
      </w:r>
      <w:r w:rsidR="00867E90" w:rsidRPr="007721FB">
        <w:rPr>
          <w:rFonts w:ascii="Times New Roman" w:hAnsi="Times New Roman" w:cs="Times New Roman"/>
          <w:sz w:val="24"/>
        </w:rPr>
        <w:t xml:space="preserve"> (ii)</w:t>
      </w:r>
      <w:r w:rsidR="0060747E" w:rsidRPr="007721FB">
        <w:rPr>
          <w:rFonts w:ascii="Times New Roman" w:hAnsi="Times New Roman" w:cs="Times New Roman"/>
          <w:sz w:val="24"/>
        </w:rPr>
        <w:t xml:space="preserve"> cancellous </w:t>
      </w:r>
      <w:r w:rsidR="00EA68D1" w:rsidRPr="007721FB">
        <w:rPr>
          <w:rFonts w:ascii="Times New Roman" w:hAnsi="Times New Roman" w:cs="Times New Roman"/>
          <w:sz w:val="24"/>
        </w:rPr>
        <w:t xml:space="preserve">(trabecular) </w:t>
      </w:r>
      <w:r w:rsidR="0060747E" w:rsidRPr="007721FB">
        <w:rPr>
          <w:rFonts w:ascii="Times New Roman" w:hAnsi="Times New Roman" w:cs="Times New Roman"/>
          <w:sz w:val="24"/>
        </w:rPr>
        <w:t>bone</w:t>
      </w:r>
      <w:r w:rsidR="00867E90" w:rsidRPr="007721FB">
        <w:rPr>
          <w:rFonts w:ascii="Times New Roman" w:hAnsi="Times New Roman" w:cs="Times New Roman"/>
          <w:sz w:val="24"/>
        </w:rPr>
        <w:t>,</w:t>
      </w:r>
      <w:r w:rsidR="00DE7DC5" w:rsidRPr="007721FB">
        <w:rPr>
          <w:rFonts w:ascii="Times New Roman" w:hAnsi="Times New Roman" w:cs="Times New Roman"/>
          <w:sz w:val="24"/>
        </w:rPr>
        <w:t xml:space="preserve"> a</w:t>
      </w:r>
      <w:r w:rsidR="00EA68D1" w:rsidRPr="007721FB">
        <w:rPr>
          <w:rFonts w:ascii="Times New Roman" w:hAnsi="Times New Roman" w:cs="Times New Roman"/>
          <w:sz w:val="24"/>
        </w:rPr>
        <w:t xml:space="preserve"> highly</w:t>
      </w:r>
      <w:r w:rsidR="00DE7DC5" w:rsidRPr="007721FB">
        <w:rPr>
          <w:rFonts w:ascii="Times New Roman" w:hAnsi="Times New Roman" w:cs="Times New Roman"/>
          <w:sz w:val="24"/>
        </w:rPr>
        <w:t xml:space="preserve"> porous core</w:t>
      </w:r>
      <w:r w:rsidR="0060747E" w:rsidRPr="007721FB">
        <w:rPr>
          <w:rFonts w:ascii="Times New Roman" w:hAnsi="Times New Roman" w:cs="Times New Roman"/>
          <w:sz w:val="24"/>
        </w:rPr>
        <w:t xml:space="preserve"> </w:t>
      </w:r>
      <w:r w:rsidR="00867E90" w:rsidRPr="007721FB">
        <w:rPr>
          <w:rFonts w:ascii="Times New Roman" w:hAnsi="Times New Roman" w:cs="Times New Roman"/>
          <w:sz w:val="24"/>
        </w:rPr>
        <w:t xml:space="preserve">that consists </w:t>
      </w:r>
      <w:r w:rsidR="0060747E" w:rsidRPr="007721FB">
        <w:rPr>
          <w:rFonts w:ascii="Times New Roman" w:hAnsi="Times New Roman" w:cs="Times New Roman"/>
          <w:sz w:val="24"/>
        </w:rPr>
        <w:t>of an intertwined microarchitecture with bone marrow-filled free spaces</w:t>
      </w:r>
      <w:r w:rsidR="00867E90" w:rsidRPr="007721FB">
        <w:rPr>
          <w:rFonts w:ascii="Times New Roman" w:hAnsi="Times New Roman" w:cs="Times New Roman"/>
          <w:sz w:val="24"/>
        </w:rPr>
        <w:t xml:space="preserve">. </w:t>
      </w:r>
      <w:r w:rsidR="00DE7DC5" w:rsidRPr="007721FB">
        <w:rPr>
          <w:rFonts w:ascii="Times New Roman" w:hAnsi="Times New Roman" w:cs="Times New Roman"/>
          <w:sz w:val="24"/>
        </w:rPr>
        <w:t>Both t</w:t>
      </w:r>
      <w:r w:rsidR="00867E90" w:rsidRPr="007721FB">
        <w:rPr>
          <w:rFonts w:ascii="Times New Roman" w:hAnsi="Times New Roman" w:cs="Times New Roman"/>
          <w:sz w:val="24"/>
        </w:rPr>
        <w:t>hese</w:t>
      </w:r>
      <w:r w:rsidR="0060747E" w:rsidRPr="007721FB">
        <w:rPr>
          <w:rFonts w:ascii="Times New Roman" w:hAnsi="Times New Roman" w:cs="Times New Roman"/>
          <w:sz w:val="24"/>
        </w:rPr>
        <w:t xml:space="preserve"> </w:t>
      </w:r>
      <w:r w:rsidR="00F42607" w:rsidRPr="007721FB">
        <w:rPr>
          <w:rFonts w:ascii="Times New Roman" w:hAnsi="Times New Roman" w:cs="Times New Roman"/>
          <w:sz w:val="24"/>
        </w:rPr>
        <w:t xml:space="preserve">structures represent </w:t>
      </w:r>
      <w:r w:rsidR="0060747E" w:rsidRPr="007721FB">
        <w:rPr>
          <w:rFonts w:ascii="Times New Roman" w:hAnsi="Times New Roman" w:cs="Times New Roman"/>
          <w:sz w:val="24"/>
        </w:rPr>
        <w:t>80</w:t>
      </w:r>
      <w:r w:rsidR="000F5FC2" w:rsidRPr="007721FB">
        <w:rPr>
          <w:rFonts w:ascii="Times New Roman" w:hAnsi="Times New Roman" w:cs="Times New Roman"/>
          <w:sz w:val="24"/>
        </w:rPr>
        <w:t xml:space="preserve"> </w:t>
      </w:r>
      <w:r w:rsidR="0060747E" w:rsidRPr="007721FB">
        <w:rPr>
          <w:rFonts w:ascii="Times New Roman" w:hAnsi="Times New Roman" w:cs="Times New Roman"/>
          <w:sz w:val="24"/>
        </w:rPr>
        <w:t>% and 2</w:t>
      </w:r>
      <w:r w:rsidR="00340699" w:rsidRPr="007721FB">
        <w:rPr>
          <w:rFonts w:ascii="Times New Roman" w:hAnsi="Times New Roman" w:cs="Times New Roman"/>
          <w:sz w:val="24"/>
        </w:rPr>
        <w:t>0</w:t>
      </w:r>
      <w:r w:rsidR="000F5FC2" w:rsidRPr="007721FB">
        <w:rPr>
          <w:rFonts w:ascii="Times New Roman" w:hAnsi="Times New Roman" w:cs="Times New Roman"/>
          <w:sz w:val="24"/>
        </w:rPr>
        <w:t xml:space="preserve"> </w:t>
      </w:r>
      <w:r w:rsidR="0060747E" w:rsidRPr="007721FB">
        <w:rPr>
          <w:rFonts w:ascii="Times New Roman" w:hAnsi="Times New Roman" w:cs="Times New Roman"/>
          <w:sz w:val="24"/>
        </w:rPr>
        <w:t>% of total bone mass, respectively</w:t>
      </w:r>
      <w:r w:rsidR="000760CD" w:rsidRPr="007721FB">
        <w:rPr>
          <w:rFonts w:ascii="Times New Roman" w:hAnsi="Times New Roman" w:cs="Times New Roman"/>
          <w:sz w:val="24"/>
        </w:rPr>
        <w:t xml:space="preserve"> </w:t>
      </w:r>
      <w:r w:rsidR="0060747E" w:rsidRPr="007721FB">
        <w:rPr>
          <w:rFonts w:ascii="Times New Roman" w:hAnsi="Times New Roman" w:cs="Times New Roman"/>
          <w:sz w:val="24"/>
        </w:rPr>
        <w:fldChar w:fldCharType="begin" w:fldLock="1"/>
      </w:r>
      <w:r w:rsidR="00B31E12" w:rsidRPr="007721FB">
        <w:rPr>
          <w:rFonts w:ascii="Times New Roman" w:hAnsi="Times New Roman" w:cs="Times New Roman"/>
          <w:sz w:val="24"/>
        </w:rPr>
        <w:instrText>ADDIN CSL_CITATION { "citationItems" : [ { "id" : "ITEM-1", "itemData" : { "DOI" : "10.1038/boneres.2016.50", "ISSN" : "2095-4700", "PMID" : "28018707", "abstract" : "Biomedical applications of nanomaterials are exponentially increasing every year due to analogy to various cell receptors, ligands, structural proteins, and genetic materials (that is, DNA). In bone tissue, nanoscale materials can provide scaffold for excellent tissue repair via mechanical stimulation, releasing of various loaded drugs and mediators, 3D scaffold for cell growth and differentiation of bone marrow stem cells to osteocytes. This review will therefore highlight recent advancements on tissue and nanoscale materials interaction.", "author" : [ { "dropping-particle" : "", "family" : "Yi", "given" : "Huan", "non-dropping-particle" : "", "parse-names" : false, "suffix" : "" }, { "dropping-particle" : "", "family" : "Ur Rehman", "given" : "Fawad", "non-dropping-particle" : "", "parse-names" : false, "suffix" : "" }, { "dropping-particle" : "", "family" : "Zhao", "given" : "Chunqiu", "non-dropping-particle" : "", "parse-names" : false, "suffix" : "" }, { "dropping-particle" : "", "family" : "Liu", "given" : "Bin", "non-dropping-particle" : "", "parse-names" : false, "suffix" : "" }, { "dropping-particle" : "", "family" : "He", "given" : "Nongyue", "non-dropping-particle" : "", "parse-names" : false, "suffix" : "" } ], "container-title" : "Bone Research", "id" : "ITEM-1", "issue" : "September", "issued" : { "date-parts" : [ [ "2016" ] ] }, "page" : "16050", "publisher" : "Nature Publishing Group", "title" : "Recent advances in nano scaffolds for bone repair", "type" : "article-journal", "volume" : "4" }, "uris" : [ "http://www.mendeley.com/documents/?uuid=febd317d-8249-4f0d-a0b3-78aad76ecb5b", "http://www.mendeley.com/documents/?uuid=84ebf0b7-ddb5-4aca-a357-22d908e7bd4d" ] }, { "id" : "ITEM-2", "itemData" : { "DOI" : "https://doi.org/10.1016/j.biotechadv.2013.12.012", "ISSN" : "0734-9750", "author" : [ { "dropping-particle" : "", "family" : "Cheng", "given" : "Christina W", "non-dropping-particle" : "", "parse-names" : false, "suffix" : "" }, { "dropping-particle" : "", "family" : "Solorio", "given" : "Loran D", "non-dropping-particle" : "", "parse-names" : false, "suffix" : "" }, { "dropping-particle" : "", "family" : "Alsberg", "given" : "Eben", "non-dropping-particle" : "", "parse-names" : false, "suffix" : "" } ], "container-title" : "Biotechnology Advances", "id" : "ITEM-2", "issue" : "2", "issued" : { "date-parts" : [ [ "2014" ] ] }, "page" : "462-484", "title" : "Decellularized tissue and cell-derived extracellular matrices as scaffolds for orthopaedic tissue engineering", "type" : "article-journal", "volume" : "32" }, "uris" : [ "http://www.mendeley.com/documents/?uuid=7be767d8-3ccf-4c1c-a660-45937d37d5af" ] }, { "id" : "ITEM-3", "itemData" : { "DOI" : "10.2215/CJN.04151206", "ISSN" : "1555-9041", "abstract" : "This review describes normal bone anatomy and physiology as an introduction to the subsequent articles in this section that discuss clinical applications of iliac crest bone biopsy. The normal anatomy and functions of the skeleton are reviewed first, followed by a general description of the processes of bone modeling and remodeling. The bone remodeling process regulates the gain and loss of bone mineral density in the adult skeleton and directly influences bone strength. Thorough understanding of the bone remodeling process is critical to appreciation of the value of and interpretation of the results of iliac crest bone histomorphometry. Osteoclast recruitment, activation, and bone resorption is discussed in some detail, followed by a review of osteoblast recruitment and the process of new bone formation. Next, the collagenous and noncollagenous protein components and function of bone extracellular matrix are summarized, followed by a description of the process of mineralization of newly formed bone matrix. The actions of biomechanical forces on bone are sensed by the osteocyte syncytium within bone via the canalicular network and intercellular gap junctions. Finally, concepts regarding bone remodeling, osteoclast and osteoblast function, extracellular matrix, matrix mineralization, and osteocyte function are synthesized in a summary of the currently understood functional determinants of bone strength. This information lays the groundwork for understanding the utility and clinical applications of iliac crest bone biopsy. ", "author" : [ { "dropping-particle" : "", "family" : "Clarke", "given" : "Bart", "non-dropping-particle" : "", "parse-names" : false, "suffix" : "" } ], "container-title" : "Clinical Journal of the American Society of Nephrology : CJASN", "id" : "ITEM-3", "issue" : "Suppl 3", "issued" : { "date-parts" : [ [ "2008", "11" ] ] }, "page" : "S131-S139", "publisher" : "American Society of Nephrology", "title" : "Normal Bone Anatomy and Physiology", "type" : "article-journal", "volume" : "3" }, "uris" : [ "http://www.mendeley.com/documents/?uuid=7e92b50e-bdec-450e-8855-58f2dbfc1f8c" ] } ], "mendeley" : { "formattedCitation" : "[21\u201323]", "plainTextFormattedCitation" : "[21\u201323]", "previouslyFormattedCitation" : "[21\u201323]" }, "properties" : { "noteIndex" : 0 }, "schema" : "https://github.com/citation-style-language/schema/raw/master/csl-citation.json" }</w:instrText>
      </w:r>
      <w:r w:rsidR="0060747E" w:rsidRPr="007721FB">
        <w:rPr>
          <w:rFonts w:ascii="Times New Roman" w:hAnsi="Times New Roman" w:cs="Times New Roman"/>
          <w:sz w:val="24"/>
        </w:rPr>
        <w:fldChar w:fldCharType="separate"/>
      </w:r>
      <w:r w:rsidR="00B31E12" w:rsidRPr="007721FB">
        <w:rPr>
          <w:rFonts w:ascii="Times New Roman" w:hAnsi="Times New Roman" w:cs="Times New Roman"/>
          <w:noProof/>
          <w:sz w:val="24"/>
        </w:rPr>
        <w:t>[21–23]</w:t>
      </w:r>
      <w:r w:rsidR="0060747E" w:rsidRPr="007721FB">
        <w:rPr>
          <w:rFonts w:ascii="Times New Roman" w:hAnsi="Times New Roman" w:cs="Times New Roman"/>
          <w:sz w:val="24"/>
        </w:rPr>
        <w:fldChar w:fldCharType="end"/>
      </w:r>
      <w:r w:rsidR="000760CD" w:rsidRPr="007721FB">
        <w:rPr>
          <w:rFonts w:ascii="Times New Roman" w:hAnsi="Times New Roman" w:cs="Times New Roman"/>
          <w:sz w:val="24"/>
        </w:rPr>
        <w:t>.</w:t>
      </w:r>
      <w:r w:rsidR="0060747E" w:rsidRPr="007721FB">
        <w:rPr>
          <w:rFonts w:ascii="Times New Roman" w:hAnsi="Times New Roman" w:cs="Times New Roman"/>
          <w:sz w:val="24"/>
        </w:rPr>
        <w:t xml:space="preserve"> The</w:t>
      </w:r>
      <w:r w:rsidR="00EA68D1" w:rsidRPr="007721FB">
        <w:rPr>
          <w:rFonts w:ascii="Times New Roman" w:hAnsi="Times New Roman" w:cs="Times New Roman"/>
          <w:sz w:val="24"/>
        </w:rPr>
        <w:t xml:space="preserve"> Osteon </w:t>
      </w:r>
      <w:r w:rsidR="00F42607" w:rsidRPr="007721FB">
        <w:rPr>
          <w:rFonts w:ascii="Times New Roman" w:hAnsi="Times New Roman" w:cs="Times New Roman"/>
          <w:sz w:val="24"/>
        </w:rPr>
        <w:t>is particularly interesting as it</w:t>
      </w:r>
      <w:r w:rsidR="0060747E" w:rsidRPr="007721FB">
        <w:rPr>
          <w:rFonts w:ascii="Times New Roman" w:hAnsi="Times New Roman" w:cs="Times New Roman"/>
          <w:sz w:val="24"/>
        </w:rPr>
        <w:t xml:space="preserve"> harbors</w:t>
      </w:r>
      <w:r w:rsidR="00B026D4" w:rsidRPr="007721FB">
        <w:rPr>
          <w:rFonts w:ascii="Times New Roman" w:hAnsi="Times New Roman" w:cs="Times New Roman"/>
          <w:sz w:val="24"/>
        </w:rPr>
        <w:t xml:space="preserve"> nerves</w:t>
      </w:r>
      <w:r w:rsidR="007E0C04" w:rsidRPr="007721FB">
        <w:rPr>
          <w:rFonts w:ascii="Times New Roman" w:hAnsi="Times New Roman" w:cs="Times New Roman"/>
          <w:sz w:val="24"/>
        </w:rPr>
        <w:t xml:space="preserve"> and</w:t>
      </w:r>
      <w:r w:rsidR="0060747E" w:rsidRPr="007721FB">
        <w:rPr>
          <w:rFonts w:ascii="Times New Roman" w:hAnsi="Times New Roman" w:cs="Times New Roman"/>
          <w:sz w:val="24"/>
        </w:rPr>
        <w:t xml:space="preserve"> </w:t>
      </w:r>
      <w:r w:rsidR="007E0C04" w:rsidRPr="007721FB">
        <w:rPr>
          <w:rFonts w:ascii="Times New Roman" w:hAnsi="Times New Roman" w:cs="Times New Roman"/>
          <w:sz w:val="24"/>
        </w:rPr>
        <w:t xml:space="preserve">arterial/venous </w:t>
      </w:r>
      <w:r w:rsidR="0060747E" w:rsidRPr="007721FB">
        <w:rPr>
          <w:rFonts w:ascii="Times New Roman" w:hAnsi="Times New Roman" w:cs="Times New Roman"/>
          <w:sz w:val="24"/>
        </w:rPr>
        <w:t>blood vessels</w:t>
      </w:r>
      <w:r w:rsidR="007E0C04" w:rsidRPr="007721FB">
        <w:rPr>
          <w:rFonts w:ascii="Times New Roman" w:hAnsi="Times New Roman" w:cs="Times New Roman"/>
          <w:sz w:val="24"/>
        </w:rPr>
        <w:t>. In this system, Haversian canals run longitudinally and Volkmann canals branch out radially, endowing the entire osteon with an intricate vascular network</w:t>
      </w:r>
      <w:r w:rsidR="000760CD" w:rsidRPr="007721FB">
        <w:rPr>
          <w:rFonts w:ascii="Times New Roman" w:hAnsi="Times New Roman" w:cs="Times New Roman"/>
          <w:sz w:val="24"/>
        </w:rPr>
        <w:t xml:space="preserve"> </w:t>
      </w:r>
      <w:r w:rsidR="007E0C04" w:rsidRPr="007721FB">
        <w:rPr>
          <w:rFonts w:ascii="Times New Roman" w:hAnsi="Times New Roman" w:cs="Times New Roman"/>
          <w:sz w:val="24"/>
        </w:rPr>
        <w:fldChar w:fldCharType="begin" w:fldLock="1"/>
      </w:r>
      <w:r w:rsidR="00B31E12" w:rsidRPr="007721FB">
        <w:rPr>
          <w:rFonts w:ascii="Times New Roman" w:hAnsi="Times New Roman" w:cs="Times New Roman"/>
          <w:sz w:val="24"/>
        </w:rPr>
        <w:instrText>ADDIN CSL_CITATION { "citationItems" : [ { "id" : "ITEM-1", "itemData" : { "DOI" : "10.1016/j.jbiomech.2014.12.013", "ISBN" : "0324141122", "ISSN" : "18732380", "PMID" : "25666410", "abstract" : "There are two main types of fluid in bone tissue, blood and interstitial fluid. The chemical composition of these fluids varies with time and location in bone. Blood arrives through the arterial system containing oxygen and other nutrients and the blood components depart via the venous system containing less oxygen and reduced nutrition. Within the bone, as within other tissues, substances pass from the blood through the arterial walls into the interstitial fluid. The movement of the interstitial fluid carries these substances to the cells within the bone and, at the same time, carries off the waste materials from the cells. Bone tissue would not live without these fluid movements. The development of a model for poroelastic materials with hierarchical pore space architecture for the description of blood flow and interstitial fluid flow in living bone tissue is reviewed. The model is applied to the problem of determining the exchange of pore fluid between the vascular porosity and the lacunar-canalicular porosity in bone tissue due to cyclic mechanical loading and blood pressure. These results are basic to the understanding of interstitial flow in bone tissue that, in turn, is basic to understanding of nutrient transport from the vasculature to the bone cells buried in the bone tissue and to the process of mechanotransduction by these cells.", "author" : [ { "dropping-particle" : "", "family" : "Cowin", "given" : "Stephen C.", "non-dropping-particle" : "", "parse-names" : false, "suffix" : "" }, { "dropping-particle" : "", "family" : "Cardoso", "given" : "Luis", "non-dropping-particle" : "", "parse-names" : false, "suffix" : "" } ], "container-title" : "Journal of Biomechanics", "id" : "ITEM-1", "issue" : "5", "issued" : { "date-parts" : [ [ "2015" ] ] }, "page" : "842-854", "publisher" : "Elsevier", "title" : "Blood and interstitial flow in the hierarchical pore space architecture of bone tissue", "type" : "article-journal", "volume" : "48" }, "uris" : [ "http://www.mendeley.com/documents/?uuid=99fc37b5-edb5-443b-ba27-366bbc3cc484", "http://www.mendeley.com/documents/?uuid=206560dd-71bd-4ab5-b9f9-86bba83ac340" ] } ], "mendeley" : { "formattedCitation" : "[24]", "plainTextFormattedCitation" : "[24]", "previouslyFormattedCitation" : "[24]" }, "properties" : { "noteIndex" : 0 }, "schema" : "https://github.com/citation-style-language/schema/raw/master/csl-citation.json" }</w:instrText>
      </w:r>
      <w:r w:rsidR="007E0C04" w:rsidRPr="007721FB">
        <w:rPr>
          <w:rFonts w:ascii="Times New Roman" w:hAnsi="Times New Roman" w:cs="Times New Roman"/>
          <w:sz w:val="24"/>
        </w:rPr>
        <w:fldChar w:fldCharType="separate"/>
      </w:r>
      <w:r w:rsidR="00B31E12" w:rsidRPr="007721FB">
        <w:rPr>
          <w:rFonts w:ascii="Times New Roman" w:hAnsi="Times New Roman" w:cs="Times New Roman"/>
          <w:noProof/>
          <w:sz w:val="24"/>
        </w:rPr>
        <w:t>[24]</w:t>
      </w:r>
      <w:r w:rsidR="007E0C04" w:rsidRPr="007721FB">
        <w:rPr>
          <w:rFonts w:ascii="Times New Roman" w:hAnsi="Times New Roman" w:cs="Times New Roman"/>
          <w:sz w:val="24"/>
        </w:rPr>
        <w:fldChar w:fldCharType="end"/>
      </w:r>
      <w:r w:rsidR="000760CD" w:rsidRPr="007721FB">
        <w:rPr>
          <w:rFonts w:ascii="Times New Roman" w:hAnsi="Times New Roman" w:cs="Times New Roman"/>
          <w:sz w:val="24"/>
        </w:rPr>
        <w:t>.</w:t>
      </w:r>
      <w:r w:rsidR="00032807" w:rsidRPr="007721FB">
        <w:rPr>
          <w:rFonts w:ascii="Times New Roman" w:hAnsi="Times New Roman" w:cs="Times New Roman"/>
          <w:sz w:val="24"/>
        </w:rPr>
        <w:t xml:space="preserve"> </w:t>
      </w:r>
      <w:r w:rsidR="007E0C04" w:rsidRPr="007721FB">
        <w:rPr>
          <w:rFonts w:ascii="Times New Roman" w:hAnsi="Times New Roman" w:cs="Times New Roman"/>
          <w:sz w:val="24"/>
        </w:rPr>
        <w:t>The osteon is also comprised by</w:t>
      </w:r>
      <w:r w:rsidR="0060747E" w:rsidRPr="007721FB">
        <w:rPr>
          <w:rFonts w:ascii="Times New Roman" w:hAnsi="Times New Roman" w:cs="Times New Roman"/>
          <w:sz w:val="24"/>
        </w:rPr>
        <w:t xml:space="preserve"> concentric lamellae with embedded osteocytes, interconnected through canaliculi channels with approximately 100</w:t>
      </w:r>
      <w:r w:rsidR="000F5FC2" w:rsidRPr="007721FB">
        <w:rPr>
          <w:rFonts w:ascii="Times New Roman" w:hAnsi="Times New Roman" w:cs="Times New Roman"/>
          <w:sz w:val="24"/>
        </w:rPr>
        <w:t xml:space="preserve"> </w:t>
      </w:r>
      <w:r w:rsidR="0060747E" w:rsidRPr="007721FB">
        <w:rPr>
          <w:rFonts w:ascii="Times New Roman" w:hAnsi="Times New Roman" w:cs="Times New Roman"/>
          <w:sz w:val="24"/>
        </w:rPr>
        <w:t>-</w:t>
      </w:r>
      <w:r w:rsidR="000F5FC2" w:rsidRPr="007721FB">
        <w:rPr>
          <w:rFonts w:ascii="Times New Roman" w:hAnsi="Times New Roman" w:cs="Times New Roman"/>
          <w:sz w:val="24"/>
        </w:rPr>
        <w:t xml:space="preserve"> </w:t>
      </w:r>
      <w:r w:rsidR="0060747E" w:rsidRPr="007721FB">
        <w:rPr>
          <w:rFonts w:ascii="Times New Roman" w:hAnsi="Times New Roman" w:cs="Times New Roman"/>
          <w:sz w:val="24"/>
        </w:rPr>
        <w:t>300 nm</w:t>
      </w:r>
      <w:r w:rsidR="00867E90" w:rsidRPr="007721FB">
        <w:rPr>
          <w:rFonts w:ascii="Times New Roman" w:hAnsi="Times New Roman" w:cs="Times New Roman"/>
          <w:sz w:val="24"/>
        </w:rPr>
        <w:t xml:space="preserve"> in</w:t>
      </w:r>
      <w:r w:rsidR="0060747E" w:rsidRPr="007721FB">
        <w:rPr>
          <w:rFonts w:ascii="Times New Roman" w:hAnsi="Times New Roman" w:cs="Times New Roman"/>
          <w:sz w:val="24"/>
        </w:rPr>
        <w:t xml:space="preserve"> diameter</w:t>
      </w:r>
      <w:r w:rsidR="000760CD" w:rsidRPr="007721FB">
        <w:rPr>
          <w:rFonts w:ascii="Times New Roman" w:hAnsi="Times New Roman" w:cs="Times New Roman"/>
          <w:sz w:val="24"/>
        </w:rPr>
        <w:t xml:space="preserve"> </w:t>
      </w:r>
      <w:r w:rsidR="0060747E" w:rsidRPr="007721FB">
        <w:rPr>
          <w:rFonts w:ascii="Times New Roman" w:hAnsi="Times New Roman" w:cs="Times New Roman"/>
          <w:sz w:val="24"/>
        </w:rPr>
        <w:lastRenderedPageBreak/>
        <w:fldChar w:fldCharType="begin" w:fldLock="1"/>
      </w:r>
      <w:r w:rsidR="00B31E12" w:rsidRPr="007721FB">
        <w:rPr>
          <w:rFonts w:ascii="Times New Roman" w:hAnsi="Times New Roman" w:cs="Times New Roman"/>
          <w:sz w:val="24"/>
        </w:rPr>
        <w:instrText>ADDIN CSL_CITATION { "citationItems" : [ { "id" : "ITEM-1", "itemData" : { "DOI" : "10.2106/JBJS.F.00890", "ISBN" : "0021-9355", "ISSN" : "0021-9355", "PMID" : "17079361", "abstract" : "INTRODUCTION Bone circulation plays an important role in bone physiology, but has been relatively poorly studied, because most techniques of circulatory research are difficult to apply to bone. This article summarizes briefly some of the important aspects of the physiology of bone blood flow most relevant to orthopaedics. METHODS The gold standard for experimental measurement of bone blood flow is the radioactive microsphere technique, though advances are being made in other techniques, such as positron emission tomography, laser and ultra-sound Doppler velocimetry, and near infrared spectroscopy, that may provide useful clinical measurement in the future. RESULTS Multiple vascular pathways contribute to an adaptive response to traumatic disruption of bone circulation. The microcirculation is not merely a passive conduit for blood flow, but plays an active role in controlling bone processes such as osteochondral ossification. DISCUSSION The pathophysiology of bone circulation has been associated with osteonecrosis, but more and more evidence is pointing to the importance of bone circulation in fracture repair and osteoporosis, both of which are potentially very exciting areas for future studies.", "author" : [ { "dropping-particle" : "", "family" : "McCarthy", "given" : "Ian", "non-dropping-particle" : "", "parse-names" : false, "suffix" : "" } ], "container-title" : "The Journal of bone and joint surgery. American volume", "id" : "ITEM-1", "issue" : "3", "issued" : { "date-parts" : [ [ "2006" ] ] }, "page" : "4-9", "title" : "The physiology of bone blood flow: a review.", "type" : "article-journal", "volume" : "88-A" }, "uris" : [ "http://www.mendeley.com/documents/?uuid=a0e902a6-d63f-4938-80db-4595ccad8103", "http://www.mendeley.com/documents/?uuid=3dbec4eb-006d-42ba-9c25-e9313b64447c" ] }, { "id" : "ITEM-2", "itemData" : { "DOI" : "10.1098/rsta.2009.0099", "ISBN" : "1364-503X (Print)", "ISSN" : "1364-503X", "PMID" : "19657006", "abstract" : "The governing equations for the theory of poroelastic materials with hierarchical pore space architecture and compressible constituents undergoing small deformations are developed. These equations are applied to the problem of determining the exchange of pore fluid between the vascular porosity (PV) and the lacunar-canalicular porosity (PLC) in bone tissue due to cyclic mechanical loading and blood pressure oscillations. The result is basic to the understanding of interstitial flow in bone tissue that, in turn, is basic to understanding of nutrient transport from the vasculature to the bone cells buried in the bone tissue and to the process of mechanotransduction by these cells. A formula for the volume of fluid that moves between the PLC and PV in a cyclic loading is obtained as a function of the cyclic mechanical loading and blood pressure oscillations. Formulas for the oscillating fluid pore pressure in both the PLC and the PV are obtained as functions of the two driving forces, the cyclic mechanical straining and the blood pressure, both with specified amplitude and frequency. The results of this study also suggest a PV permeability greater than 10(-9) m(2) and perhaps a little lower than 10(-8) m(2). Previous estimates of this permeability have been as small as 10(-14) m(2).", "author" : [ { "dropping-particle" : "", "family" : "Cowin", "given" : "Stephen C", "non-dropping-particle" : "", "parse-names" : false, "suffix" : "" }, { "dropping-particle" : "", "family" : "Gailani", "given" : "Gaffar", "non-dropping-particle" : "", "parse-names" : false, "suffix" : "" }, { "dropping-particle" : "", "family" : "Benalla", "given" : "Mohammed", "non-dropping-particle" : "", "parse-names" : false, "suffix" : "" } ], "container-title" : "Philosophical transactions. Series A, Mathematical, physical, and engineering sciences", "id" : "ITEM-2", "issue" : "1902", "issued" : { "date-parts" : [ [ "2009" ] ] }, "page" : "3401-44", "title" : "Hierarchical poroelasticity: movement of interstitial fluid between porosity levels in bones.", "type" : "article-journal", "volume" : "367" }, "uris" : [ "http://www.mendeley.com/documents/?uuid=e22a06cb-a629-433f-b198-23f396dd61b2", "http://www.mendeley.com/documents/?uuid=d1b59a1e-a9a4-43f9-9f37-1819dcdcdcac" ] } ], "mendeley" : { "formattedCitation" : "[25,26]", "plainTextFormattedCitation" : "[25,26]", "previouslyFormattedCitation" : "[25,26]" }, "properties" : { "noteIndex" : 0 }, "schema" : "https://github.com/citation-style-language/schema/raw/master/csl-citation.json" }</w:instrText>
      </w:r>
      <w:r w:rsidR="0060747E" w:rsidRPr="007721FB">
        <w:rPr>
          <w:rFonts w:ascii="Times New Roman" w:hAnsi="Times New Roman" w:cs="Times New Roman"/>
          <w:sz w:val="24"/>
        </w:rPr>
        <w:fldChar w:fldCharType="separate"/>
      </w:r>
      <w:r w:rsidR="00B31E12" w:rsidRPr="007721FB">
        <w:rPr>
          <w:rFonts w:ascii="Times New Roman" w:hAnsi="Times New Roman" w:cs="Times New Roman"/>
          <w:noProof/>
          <w:sz w:val="24"/>
        </w:rPr>
        <w:t>[25,26]</w:t>
      </w:r>
      <w:r w:rsidR="0060747E" w:rsidRPr="007721FB">
        <w:rPr>
          <w:rFonts w:ascii="Times New Roman" w:hAnsi="Times New Roman" w:cs="Times New Roman"/>
          <w:sz w:val="24"/>
        </w:rPr>
        <w:fldChar w:fldCharType="end"/>
      </w:r>
      <w:r w:rsidR="000760CD" w:rsidRPr="007721FB">
        <w:rPr>
          <w:rFonts w:ascii="Times New Roman" w:hAnsi="Times New Roman" w:cs="Times New Roman"/>
          <w:sz w:val="24"/>
        </w:rPr>
        <w:t>.</w:t>
      </w:r>
      <w:r w:rsidR="0060747E" w:rsidRPr="007721FB">
        <w:rPr>
          <w:rFonts w:ascii="Times New Roman" w:hAnsi="Times New Roman" w:cs="Times New Roman"/>
          <w:sz w:val="24"/>
        </w:rPr>
        <w:t xml:space="preserve"> </w:t>
      </w:r>
      <w:r w:rsidR="00F42607" w:rsidRPr="007721FB">
        <w:rPr>
          <w:rFonts w:ascii="Times New Roman" w:hAnsi="Times New Roman" w:cs="Times New Roman"/>
          <w:sz w:val="24"/>
        </w:rPr>
        <w:t xml:space="preserve">From </w:t>
      </w:r>
      <w:r w:rsidR="00E20B08" w:rsidRPr="007721FB">
        <w:rPr>
          <w:rFonts w:ascii="Times New Roman" w:hAnsi="Times New Roman" w:cs="Times New Roman"/>
          <w:sz w:val="24"/>
        </w:rPr>
        <w:t>a therapeutic perspective</w:t>
      </w:r>
      <w:r w:rsidR="00B02D2F" w:rsidRPr="007721FB">
        <w:rPr>
          <w:rFonts w:ascii="Times New Roman" w:hAnsi="Times New Roman" w:cs="Times New Roman"/>
          <w:sz w:val="24"/>
        </w:rPr>
        <w:t>,</w:t>
      </w:r>
      <w:r w:rsidR="00844CA1" w:rsidRPr="007721FB">
        <w:rPr>
          <w:rFonts w:ascii="Times New Roman" w:hAnsi="Times New Roman" w:cs="Times New Roman"/>
          <w:sz w:val="24"/>
        </w:rPr>
        <w:t xml:space="preserve"> such may be</w:t>
      </w:r>
      <w:r w:rsidR="00F42607" w:rsidRPr="007721FB">
        <w:rPr>
          <w:rFonts w:ascii="Times New Roman" w:hAnsi="Times New Roman" w:cs="Times New Roman"/>
          <w:sz w:val="24"/>
        </w:rPr>
        <w:t xml:space="preserve"> </w:t>
      </w:r>
      <w:r w:rsidR="0060747E" w:rsidRPr="007721FB">
        <w:rPr>
          <w:rFonts w:ascii="Times New Roman" w:hAnsi="Times New Roman" w:cs="Times New Roman"/>
          <w:sz w:val="24"/>
        </w:rPr>
        <w:t xml:space="preserve">an important size </w:t>
      </w:r>
      <w:r w:rsidR="00F42607" w:rsidRPr="007721FB">
        <w:rPr>
          <w:rFonts w:ascii="Times New Roman" w:hAnsi="Times New Roman" w:cs="Times New Roman"/>
          <w:sz w:val="24"/>
        </w:rPr>
        <w:t xml:space="preserve">threshold </w:t>
      </w:r>
      <w:r w:rsidR="0060747E" w:rsidRPr="007721FB">
        <w:rPr>
          <w:rFonts w:ascii="Times New Roman" w:hAnsi="Times New Roman" w:cs="Times New Roman"/>
          <w:sz w:val="24"/>
        </w:rPr>
        <w:t xml:space="preserve">for </w:t>
      </w:r>
      <w:r w:rsidR="00F42607" w:rsidRPr="007721FB">
        <w:rPr>
          <w:rFonts w:ascii="Times New Roman" w:hAnsi="Times New Roman" w:cs="Times New Roman"/>
          <w:sz w:val="24"/>
        </w:rPr>
        <w:t xml:space="preserve">successful </w:t>
      </w:r>
      <w:r w:rsidR="0060747E" w:rsidRPr="007721FB">
        <w:rPr>
          <w:rFonts w:ascii="Times New Roman" w:hAnsi="Times New Roman" w:cs="Times New Roman"/>
          <w:sz w:val="24"/>
        </w:rPr>
        <w:t>deliver</w:t>
      </w:r>
      <w:r w:rsidR="00F42607" w:rsidRPr="007721FB">
        <w:rPr>
          <w:rFonts w:ascii="Times New Roman" w:hAnsi="Times New Roman" w:cs="Times New Roman"/>
          <w:sz w:val="24"/>
        </w:rPr>
        <w:t xml:space="preserve">y of </w:t>
      </w:r>
      <w:r w:rsidR="00867E90" w:rsidRPr="007721FB">
        <w:rPr>
          <w:rFonts w:ascii="Times New Roman" w:hAnsi="Times New Roman" w:cs="Times New Roman"/>
          <w:sz w:val="24"/>
        </w:rPr>
        <w:t>nanomedicines</w:t>
      </w:r>
      <w:r w:rsidR="0060747E" w:rsidRPr="007721FB">
        <w:rPr>
          <w:rFonts w:ascii="Times New Roman" w:hAnsi="Times New Roman" w:cs="Times New Roman"/>
          <w:sz w:val="24"/>
        </w:rPr>
        <w:t xml:space="preserve"> to osteocyte cells</w:t>
      </w:r>
      <w:r w:rsidR="007E0C04" w:rsidRPr="007721FB">
        <w:rPr>
          <w:rFonts w:ascii="Times New Roman" w:hAnsi="Times New Roman" w:cs="Times New Roman"/>
          <w:sz w:val="24"/>
        </w:rPr>
        <w:t xml:space="preserve"> in different disease scenarios</w:t>
      </w:r>
      <w:r w:rsidR="0060747E" w:rsidRPr="007721FB">
        <w:rPr>
          <w:rFonts w:ascii="Times New Roman" w:hAnsi="Times New Roman" w:cs="Times New Roman"/>
          <w:sz w:val="24"/>
        </w:rPr>
        <w:t xml:space="preserve">. </w:t>
      </w:r>
    </w:p>
    <w:p w14:paraId="5878314F" w14:textId="7667FAF3" w:rsidR="007E0C04" w:rsidRPr="007721FB" w:rsidRDefault="004F22BE" w:rsidP="004717AB">
      <w:pPr>
        <w:spacing w:after="0" w:line="240" w:lineRule="auto"/>
        <w:jc w:val="both"/>
        <w:rPr>
          <w:rFonts w:ascii="Times New Roman" w:hAnsi="Times New Roman" w:cs="Times New Roman"/>
          <w:sz w:val="24"/>
          <w:szCs w:val="24"/>
        </w:rPr>
      </w:pPr>
      <w:r w:rsidRPr="007721FB">
        <w:rPr>
          <w:rFonts w:ascii="Times New Roman" w:hAnsi="Times New Roman" w:cs="Times New Roman"/>
          <w:sz w:val="24"/>
          <w:szCs w:val="24"/>
        </w:rPr>
        <w:t xml:space="preserve">   </w:t>
      </w:r>
      <w:r w:rsidR="001278DE" w:rsidRPr="007721FB">
        <w:rPr>
          <w:rFonts w:ascii="Times New Roman" w:hAnsi="Times New Roman" w:cs="Times New Roman"/>
          <w:sz w:val="24"/>
          <w:szCs w:val="24"/>
        </w:rPr>
        <w:t xml:space="preserve">Since bone is </w:t>
      </w:r>
      <w:r w:rsidR="00696BAA" w:rsidRPr="007721FB">
        <w:rPr>
          <w:rFonts w:ascii="Times New Roman" w:hAnsi="Times New Roman" w:cs="Times New Roman"/>
          <w:sz w:val="24"/>
          <w:szCs w:val="24"/>
        </w:rPr>
        <w:t>a highly complex</w:t>
      </w:r>
      <w:r w:rsidR="001278DE" w:rsidRPr="007721FB">
        <w:rPr>
          <w:rFonts w:ascii="Times New Roman" w:hAnsi="Times New Roman" w:cs="Times New Roman"/>
          <w:sz w:val="24"/>
          <w:szCs w:val="24"/>
        </w:rPr>
        <w:t xml:space="preserve"> and dynamic</w:t>
      </w:r>
      <w:r w:rsidR="00696BAA" w:rsidRPr="007721FB">
        <w:rPr>
          <w:rFonts w:ascii="Times New Roman" w:hAnsi="Times New Roman" w:cs="Times New Roman"/>
          <w:sz w:val="24"/>
          <w:szCs w:val="24"/>
        </w:rPr>
        <w:t xml:space="preserve"> tissue</w:t>
      </w:r>
      <w:r w:rsidR="00E71000" w:rsidRPr="007721FB">
        <w:rPr>
          <w:rFonts w:ascii="Times New Roman" w:hAnsi="Times New Roman" w:cs="Times New Roman"/>
          <w:sz w:val="24"/>
          <w:szCs w:val="24"/>
        </w:rPr>
        <w:t xml:space="preserve"> from both an</w:t>
      </w:r>
      <w:r w:rsidR="000B75CA" w:rsidRPr="007721FB">
        <w:rPr>
          <w:rFonts w:ascii="Times New Roman" w:hAnsi="Times New Roman" w:cs="Times New Roman"/>
          <w:sz w:val="24"/>
          <w:szCs w:val="24"/>
        </w:rPr>
        <w:t xml:space="preserve"> anatomical and physiological</w:t>
      </w:r>
      <w:r w:rsidR="00E71000" w:rsidRPr="007721FB">
        <w:rPr>
          <w:rFonts w:ascii="Times New Roman" w:hAnsi="Times New Roman" w:cs="Times New Roman"/>
          <w:sz w:val="24"/>
          <w:szCs w:val="24"/>
        </w:rPr>
        <w:t xml:space="preserve"> level</w:t>
      </w:r>
      <w:r w:rsidR="00696BAA" w:rsidRPr="007721FB">
        <w:rPr>
          <w:rFonts w:ascii="Times New Roman" w:hAnsi="Times New Roman" w:cs="Times New Roman"/>
          <w:sz w:val="24"/>
          <w:szCs w:val="24"/>
        </w:rPr>
        <w:t>, the question arises as how are nanoparticles capable of accumulating within</w:t>
      </w:r>
      <w:r w:rsidR="001278DE" w:rsidRPr="007721FB">
        <w:rPr>
          <w:rFonts w:ascii="Times New Roman" w:hAnsi="Times New Roman" w:cs="Times New Roman"/>
          <w:sz w:val="24"/>
          <w:szCs w:val="24"/>
        </w:rPr>
        <w:t xml:space="preserve"> the</w:t>
      </w:r>
      <w:r w:rsidR="00696BAA" w:rsidRPr="007721FB">
        <w:rPr>
          <w:rFonts w:ascii="Times New Roman" w:hAnsi="Times New Roman" w:cs="Times New Roman"/>
          <w:sz w:val="24"/>
          <w:szCs w:val="24"/>
        </w:rPr>
        <w:t xml:space="preserve"> bone matrix</w:t>
      </w:r>
      <w:r w:rsidR="001278DE" w:rsidRPr="007721FB">
        <w:rPr>
          <w:rFonts w:ascii="Times New Roman" w:hAnsi="Times New Roman" w:cs="Times New Roman"/>
          <w:sz w:val="24"/>
          <w:szCs w:val="24"/>
        </w:rPr>
        <w:t xml:space="preserve"> and be</w:t>
      </w:r>
      <w:r w:rsidR="0031358D" w:rsidRPr="007721FB">
        <w:rPr>
          <w:rFonts w:ascii="Times New Roman" w:hAnsi="Times New Roman" w:cs="Times New Roman"/>
          <w:sz w:val="24"/>
          <w:szCs w:val="24"/>
        </w:rPr>
        <w:t xml:space="preserve"> internalized in </w:t>
      </w:r>
      <w:r w:rsidR="00E71000" w:rsidRPr="007721FB">
        <w:rPr>
          <w:rFonts w:ascii="Times New Roman" w:hAnsi="Times New Roman" w:cs="Times New Roman"/>
          <w:sz w:val="24"/>
          <w:szCs w:val="24"/>
        </w:rPr>
        <w:t>de</w:t>
      </w:r>
      <w:r w:rsidR="008004D3" w:rsidRPr="007721FB">
        <w:rPr>
          <w:rFonts w:ascii="Times New Roman" w:hAnsi="Times New Roman" w:cs="Times New Roman"/>
          <w:sz w:val="24"/>
          <w:szCs w:val="24"/>
        </w:rPr>
        <w:t>regulated</w:t>
      </w:r>
      <w:r w:rsidR="0031358D" w:rsidRPr="007721FB">
        <w:rPr>
          <w:rFonts w:ascii="Times New Roman" w:hAnsi="Times New Roman" w:cs="Times New Roman"/>
          <w:sz w:val="24"/>
          <w:szCs w:val="24"/>
        </w:rPr>
        <w:t xml:space="preserve"> bone cells</w:t>
      </w:r>
      <w:r w:rsidR="00696BAA" w:rsidRPr="007721FB">
        <w:rPr>
          <w:rFonts w:ascii="Times New Roman" w:hAnsi="Times New Roman" w:cs="Times New Roman"/>
          <w:sz w:val="24"/>
          <w:szCs w:val="24"/>
        </w:rPr>
        <w:t>.</w:t>
      </w:r>
    </w:p>
    <w:p w14:paraId="1C104FE8" w14:textId="2672D14C" w:rsidR="00A85098" w:rsidRPr="007721FB" w:rsidRDefault="004F22BE" w:rsidP="004717AB">
      <w:pPr>
        <w:spacing w:after="0" w:line="240" w:lineRule="auto"/>
        <w:jc w:val="both"/>
        <w:rPr>
          <w:rFonts w:ascii="Times New Roman" w:hAnsi="Times New Roman" w:cs="Times New Roman"/>
          <w:sz w:val="24"/>
          <w:szCs w:val="24"/>
        </w:rPr>
      </w:pPr>
      <w:r w:rsidRPr="007721FB">
        <w:rPr>
          <w:rFonts w:ascii="Times New Roman" w:hAnsi="Times New Roman" w:cs="Times New Roman"/>
          <w:sz w:val="24"/>
          <w:szCs w:val="24"/>
        </w:rPr>
        <w:t xml:space="preserve">  </w:t>
      </w:r>
      <w:r w:rsidR="00696BAA" w:rsidRPr="007721FB">
        <w:rPr>
          <w:rFonts w:ascii="Times New Roman" w:hAnsi="Times New Roman" w:cs="Times New Roman"/>
          <w:sz w:val="24"/>
          <w:szCs w:val="24"/>
        </w:rPr>
        <w:t xml:space="preserve"> Recently, several reports</w:t>
      </w:r>
      <w:r w:rsidR="008004D3" w:rsidRPr="007721FB">
        <w:rPr>
          <w:rFonts w:ascii="Times New Roman" w:hAnsi="Times New Roman" w:cs="Times New Roman"/>
          <w:sz w:val="24"/>
          <w:szCs w:val="24"/>
        </w:rPr>
        <w:t xml:space="preserve"> have been</w:t>
      </w:r>
      <w:r w:rsidR="00696BAA" w:rsidRPr="007721FB">
        <w:rPr>
          <w:rFonts w:ascii="Times New Roman" w:hAnsi="Times New Roman" w:cs="Times New Roman"/>
          <w:sz w:val="24"/>
          <w:szCs w:val="24"/>
        </w:rPr>
        <w:t xml:space="preserve"> detailing nanocarrier</w:t>
      </w:r>
      <w:r w:rsidR="00867E90" w:rsidRPr="007721FB">
        <w:rPr>
          <w:rFonts w:ascii="Times New Roman" w:hAnsi="Times New Roman" w:cs="Times New Roman"/>
          <w:sz w:val="24"/>
          <w:szCs w:val="24"/>
        </w:rPr>
        <w:t>s</w:t>
      </w:r>
      <w:r w:rsidR="00696BAA" w:rsidRPr="007721FB">
        <w:rPr>
          <w:rFonts w:ascii="Times New Roman" w:hAnsi="Times New Roman" w:cs="Times New Roman"/>
          <w:sz w:val="24"/>
          <w:szCs w:val="24"/>
        </w:rPr>
        <w:t xml:space="preserve"> </w:t>
      </w:r>
      <w:r w:rsidR="00696BAA" w:rsidRPr="007721FB">
        <w:rPr>
          <w:rFonts w:ascii="Times New Roman" w:hAnsi="Times New Roman" w:cs="Times New Roman"/>
          <w:i/>
          <w:sz w:val="24"/>
          <w:szCs w:val="24"/>
        </w:rPr>
        <w:t>in vivo</w:t>
      </w:r>
      <w:r w:rsidR="00696BAA" w:rsidRPr="007721FB">
        <w:rPr>
          <w:rFonts w:ascii="Times New Roman" w:hAnsi="Times New Roman" w:cs="Times New Roman"/>
          <w:sz w:val="24"/>
          <w:szCs w:val="24"/>
        </w:rPr>
        <w:t xml:space="preserve"> </w:t>
      </w:r>
      <w:r w:rsidR="00867E90" w:rsidRPr="007721FB">
        <w:rPr>
          <w:rFonts w:ascii="Times New Roman" w:hAnsi="Times New Roman" w:cs="Times New Roman"/>
          <w:sz w:val="24"/>
          <w:szCs w:val="24"/>
        </w:rPr>
        <w:t>fate</w:t>
      </w:r>
      <w:r w:rsidR="00A70CE3" w:rsidRPr="007721FB">
        <w:rPr>
          <w:rFonts w:ascii="Times New Roman" w:hAnsi="Times New Roman" w:cs="Times New Roman"/>
          <w:sz w:val="24"/>
          <w:szCs w:val="24"/>
        </w:rPr>
        <w:t xml:space="preserve"> and focusing on</w:t>
      </w:r>
      <w:r w:rsidR="00696BAA" w:rsidRPr="007721FB">
        <w:rPr>
          <w:rFonts w:ascii="Times New Roman" w:hAnsi="Times New Roman" w:cs="Times New Roman"/>
          <w:sz w:val="24"/>
          <w:szCs w:val="24"/>
        </w:rPr>
        <w:t xml:space="preserve"> major </w:t>
      </w:r>
      <w:r w:rsidR="00A70CE3" w:rsidRPr="007721FB">
        <w:rPr>
          <w:rFonts w:ascii="Times New Roman" w:hAnsi="Times New Roman" w:cs="Times New Roman"/>
          <w:sz w:val="24"/>
          <w:szCs w:val="24"/>
        </w:rPr>
        <w:t xml:space="preserve">biological </w:t>
      </w:r>
      <w:r w:rsidR="00696BAA" w:rsidRPr="007721FB">
        <w:rPr>
          <w:rFonts w:ascii="Times New Roman" w:hAnsi="Times New Roman" w:cs="Times New Roman"/>
          <w:sz w:val="24"/>
          <w:szCs w:val="24"/>
        </w:rPr>
        <w:t>barriers</w:t>
      </w:r>
      <w:r w:rsidR="00A70CE3" w:rsidRPr="007721FB">
        <w:rPr>
          <w:rFonts w:ascii="Times New Roman" w:hAnsi="Times New Roman" w:cs="Times New Roman"/>
          <w:sz w:val="24"/>
          <w:szCs w:val="24"/>
        </w:rPr>
        <w:t xml:space="preserve"> or</w:t>
      </w:r>
      <w:r w:rsidR="00696BAA" w:rsidRPr="007721FB">
        <w:rPr>
          <w:rFonts w:ascii="Times New Roman" w:hAnsi="Times New Roman" w:cs="Times New Roman"/>
          <w:sz w:val="24"/>
          <w:szCs w:val="24"/>
        </w:rPr>
        <w:t xml:space="preserve"> tissue accumulation</w:t>
      </w:r>
      <w:r w:rsidR="00867E90" w:rsidRPr="007721FB">
        <w:rPr>
          <w:rFonts w:ascii="Times New Roman" w:hAnsi="Times New Roman" w:cs="Times New Roman"/>
          <w:sz w:val="24"/>
          <w:szCs w:val="24"/>
        </w:rPr>
        <w:t xml:space="preserve"> issues</w:t>
      </w:r>
      <w:r w:rsidR="00696BAA" w:rsidRPr="007721FB">
        <w:rPr>
          <w:rFonts w:ascii="Times New Roman" w:hAnsi="Times New Roman" w:cs="Times New Roman"/>
          <w:sz w:val="24"/>
          <w:szCs w:val="24"/>
        </w:rPr>
        <w:t xml:space="preserve"> </w:t>
      </w:r>
      <w:r w:rsidR="00A70CE3" w:rsidRPr="007721FB">
        <w:rPr>
          <w:rFonts w:ascii="Times New Roman" w:hAnsi="Times New Roman" w:cs="Times New Roman"/>
          <w:sz w:val="24"/>
          <w:szCs w:val="24"/>
        </w:rPr>
        <w:t>encountered upon</w:t>
      </w:r>
      <w:r w:rsidR="00696BAA" w:rsidRPr="007721FB">
        <w:rPr>
          <w:rFonts w:ascii="Times New Roman" w:hAnsi="Times New Roman" w:cs="Times New Roman"/>
          <w:sz w:val="24"/>
          <w:szCs w:val="24"/>
        </w:rPr>
        <w:t xml:space="preserve"> </w:t>
      </w:r>
      <w:r w:rsidR="001278DE" w:rsidRPr="007721FB">
        <w:rPr>
          <w:rFonts w:ascii="Times New Roman" w:hAnsi="Times New Roman" w:cs="Times New Roman"/>
          <w:sz w:val="24"/>
          <w:szCs w:val="24"/>
        </w:rPr>
        <w:t>parenteral administration</w:t>
      </w:r>
      <w:r w:rsidR="00E71000" w:rsidRPr="007721FB">
        <w:rPr>
          <w:rFonts w:ascii="Times New Roman" w:hAnsi="Times New Roman" w:cs="Times New Roman"/>
          <w:sz w:val="24"/>
          <w:szCs w:val="24"/>
        </w:rPr>
        <w:t xml:space="preserve"> </w:t>
      </w:r>
      <w:r w:rsidR="00696BAA"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"DOI" : "10.1038/nbt.3330", "ISBN" : "1546-1696 (Electronic)\\r1087-0156 (Linking)", "ISSN" : "1546-1696", "PMID" : "26348965", "abstract" : "Biological barriers to drug transport prevent successful accumulation of nanotherapeutics specifically at diseased sites, limiting efficacious responses in disease processes ranging from cancer to inflammation. Although substantial research efforts have aimed to incorporate multiple functionalities and moieties within the overall nanoparticle design, many of these strategies fail to adequately address these barriers. Obstacles, such as nonspecific distribution and inadequate accumulation of therapeutics, remain formidable challenges to drug developers. A reimagining of conventional nanoparticles is needed to successfully negotiate these impediments to drug delivery. Site-specific delivery of therapeutics will remain a distant reality unless nanocarrier design takes into account the majority, if not all, of the biological barriers that a particle encounters upon intravenous administration. By successively addressing each of these barriers, innovative design features can be rationally incorporated that will create a new generation of nanotherapeutics, realizing a paradigmatic shift in nanoparticle-based drug delivery.", "author" : [ { "dropping-particle" : "", "family" : "Blanco", "given" : "Elvin", "non-dropping-particle" : "", "parse-names" : false, "suffix" : "" }, { "dropping-particle" : "", "family" : "Shen", "given" : "Haifa", "non-dropping-particle" : "", "parse-names" : false, "suffix" : "" }, { "dropping-particle" : "", "family" : "Ferrari", "given" : "Mauro", "non-dropping-particle" : "", "parse-names" : false, "suffix" : "" } ], "container-title" : "Nature biotechnology", "id" : "ITEM-1", "issue" : "9", "issued" : { "date-parts" : [ [ "2015" ] ] }, "page" : "941-951", "title" : "Principles of nanoparticle design for overcoming biological barriers to drug delivery.", "type" : "article-journal", "volume" : "33" }, "uris" : [ "http://www.mendeley.com/documents/?uuid=0c6e90e7-01a1-4584-b97f-843b89821d9d", "http://www.mendeley.com/documents/?uuid=95fc0eed-4c1c-45a7-85b0-165d0bcd4ee9" ] } ], "mendeley" : { "formattedCitation" : "[27]", "plainTextFormattedCitation" : "[27]", "previouslyFormattedCitation" : "[27]" }, "properties" : { "noteIndex" : 0 }, "schema" : "https://github.com/citation-style-language/schema/raw/master/csl-citation.json" }</w:instrText>
      </w:r>
      <w:r w:rsidR="00696BAA"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[27]</w:t>
      </w:r>
      <w:r w:rsidR="00696BAA" w:rsidRPr="007721FB">
        <w:rPr>
          <w:rFonts w:ascii="Times New Roman" w:hAnsi="Times New Roman" w:cs="Times New Roman"/>
          <w:sz w:val="24"/>
          <w:szCs w:val="24"/>
        </w:rPr>
        <w:fldChar w:fldCharType="end"/>
      </w:r>
      <w:r w:rsidR="00220737"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"DOI" : "https://doi.org/10.1016/j.jconrel.2017.09.016", "ISSN" : "0168-3659", "author" : [ { "dropping-particle" : "", "family" : "Kim", "given" : "Susy M", "non-dropping-particle" : "", "parse-names" : false, "suffix" : "" }, { "dropping-particle" : "", "family" : "Faix", "given" : "Peggy H", "non-dropping-particle" : "", "parse-names" : false, "suffix" : "" }, { "dropping-particle" : "", "family" : "Schnitzer", "given" : "Jan E", "non-dropping-particle" : "", "parse-names" : false, "suffix" : "" } ], "container-title" : "Journal of Controlled Release", "id" : "ITEM-1", "issued" : { "date-parts" : [ [ "2017" ] ] }, "title" : "Overcoming key biological barriers to cancer drug delivery and efficacy", "type" : "article-journal" }, "uris" : [ "http://www.mendeley.com/documents/?uuid=7d9da1cc-c73c-4043-b690-a2a162fa2efe" ] }, { "id" : "ITEM-2", "itemData" : { "ISSN" : "0929-8673", "author" : [ { "dropping-particle" : "", "family" : "Moros", "given" : "M", "non-dropping-particle" : "", "parse-names" : false, "suffix" : "" }, { "dropping-particle" : "", "family" : "Mitchell", "given" : "S G", "non-dropping-particle" : "", "parse-names" : false, "suffix" : "" }, { "dropping-particle" : "", "family" : "Grazu", "given" : "V", "non-dropping-particle" : "", "parse-names" : false, "suffix" : "" } ], "container-title" : "Current medicinal chemistry", "id" : "ITEM-2", "issue" : "22", "issued" : { "date-parts" : [ [ "2013" ] ] }, "page" : "2759-2778", "publisher" : "Bentham Science Publishers", "title" : "The fate of nanocarriers as nanomedicines in vivo: important considerations and biological barriers to overcome", "type" : "article-journal", "volume" : "20" }, "uris" : [ "http://www.mendeley.com/documents/?uuid=31c74be0-467a-46d1-8b99-2a7c47f38e88" ] } ], "mendeley" : { "formattedCitation" : "[28,29]", "plainTextFormattedCitation" : "[28,29]", "previouslyFormattedCitation" : "[28,29]" }, "properties" : { "noteIndex" : 5 }, "schema" : "https://github.com/citation-style-language/schema/raw/master/csl-citation.json" }</w:instrText>
      </w:r>
      <w:r w:rsidR="00220737"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[28,29]</w:t>
      </w:r>
      <w:r w:rsidR="00220737" w:rsidRPr="007721FB">
        <w:rPr>
          <w:rFonts w:ascii="Times New Roman" w:hAnsi="Times New Roman" w:cs="Times New Roman"/>
          <w:sz w:val="24"/>
          <w:szCs w:val="24"/>
        </w:rPr>
        <w:fldChar w:fldCharType="end"/>
      </w:r>
      <w:r w:rsidR="003B0DAB" w:rsidRPr="007721FB">
        <w:rPr>
          <w:rFonts w:ascii="Times New Roman" w:hAnsi="Times New Roman" w:cs="Times New Roman"/>
          <w:sz w:val="24"/>
          <w:szCs w:val="24"/>
        </w:rPr>
        <w:t>.</w:t>
      </w:r>
      <w:r w:rsidR="00696BAA" w:rsidRPr="007721FB">
        <w:rPr>
          <w:rFonts w:ascii="Times New Roman" w:hAnsi="Times New Roman" w:cs="Times New Roman"/>
          <w:sz w:val="24"/>
          <w:szCs w:val="24"/>
        </w:rPr>
        <w:t xml:space="preserve"> However, the barriers </w:t>
      </w:r>
      <w:r w:rsidR="000F5FC2" w:rsidRPr="007721FB">
        <w:rPr>
          <w:rFonts w:ascii="Times New Roman" w:hAnsi="Times New Roman" w:cs="Times New Roman"/>
          <w:sz w:val="24"/>
          <w:szCs w:val="24"/>
        </w:rPr>
        <w:t xml:space="preserve">encountered </w:t>
      </w:r>
      <w:r w:rsidR="001278DE" w:rsidRPr="007721FB">
        <w:rPr>
          <w:rFonts w:ascii="Times New Roman" w:hAnsi="Times New Roman" w:cs="Times New Roman"/>
          <w:sz w:val="24"/>
          <w:szCs w:val="24"/>
        </w:rPr>
        <w:t>upon</w:t>
      </w:r>
      <w:r w:rsidR="00696BAA" w:rsidRPr="007721FB">
        <w:rPr>
          <w:rFonts w:ascii="Times New Roman" w:hAnsi="Times New Roman" w:cs="Times New Roman"/>
          <w:sz w:val="24"/>
          <w:szCs w:val="24"/>
        </w:rPr>
        <w:t xml:space="preserve"> </w:t>
      </w:r>
      <w:r w:rsidR="004F157A" w:rsidRPr="007721FB">
        <w:rPr>
          <w:rFonts w:ascii="Times New Roman" w:hAnsi="Times New Roman" w:cs="Times New Roman"/>
          <w:sz w:val="24"/>
          <w:szCs w:val="24"/>
        </w:rPr>
        <w:t>particles</w:t>
      </w:r>
      <w:r w:rsidR="0066682D" w:rsidRPr="007721FB">
        <w:rPr>
          <w:rFonts w:ascii="Times New Roman" w:hAnsi="Times New Roman" w:cs="Times New Roman"/>
          <w:sz w:val="24"/>
          <w:szCs w:val="24"/>
        </w:rPr>
        <w:t xml:space="preserve"> intravenous</w:t>
      </w:r>
      <w:r w:rsidR="00696BAA" w:rsidRPr="007721FB">
        <w:rPr>
          <w:rFonts w:ascii="Times New Roman" w:hAnsi="Times New Roman" w:cs="Times New Roman"/>
          <w:sz w:val="24"/>
          <w:szCs w:val="24"/>
        </w:rPr>
        <w:t xml:space="preserve"> administration and</w:t>
      </w:r>
      <w:r w:rsidR="000F5FC2" w:rsidRPr="007721FB">
        <w:rPr>
          <w:rFonts w:ascii="Times New Roman" w:hAnsi="Times New Roman" w:cs="Times New Roman"/>
          <w:sz w:val="24"/>
          <w:szCs w:val="24"/>
        </w:rPr>
        <w:t xml:space="preserve"> </w:t>
      </w:r>
      <w:r w:rsidR="001278DE" w:rsidRPr="007721FB">
        <w:rPr>
          <w:rFonts w:ascii="Times New Roman" w:hAnsi="Times New Roman" w:cs="Times New Roman"/>
          <w:sz w:val="24"/>
          <w:szCs w:val="24"/>
        </w:rPr>
        <w:t>during</w:t>
      </w:r>
      <w:r w:rsidR="00696BAA" w:rsidRPr="007721FB">
        <w:rPr>
          <w:rFonts w:ascii="Times New Roman" w:hAnsi="Times New Roman" w:cs="Times New Roman"/>
          <w:sz w:val="24"/>
          <w:szCs w:val="24"/>
        </w:rPr>
        <w:t xml:space="preserve"> accumulation in bone tissues h</w:t>
      </w:r>
      <w:r w:rsidR="008004D3" w:rsidRPr="007721FB">
        <w:rPr>
          <w:rFonts w:ascii="Times New Roman" w:hAnsi="Times New Roman" w:cs="Times New Roman"/>
          <w:sz w:val="24"/>
          <w:szCs w:val="24"/>
        </w:rPr>
        <w:t>ave</w:t>
      </w:r>
      <w:r w:rsidR="0031358D" w:rsidRPr="007721FB">
        <w:rPr>
          <w:rFonts w:ascii="Times New Roman" w:hAnsi="Times New Roman" w:cs="Times New Roman"/>
          <w:sz w:val="24"/>
          <w:szCs w:val="24"/>
        </w:rPr>
        <w:t xml:space="preserve"> been poorly described so far</w:t>
      </w:r>
      <w:r w:rsidR="000F5FC2" w:rsidRPr="007721FB">
        <w:rPr>
          <w:rFonts w:ascii="Times New Roman" w:hAnsi="Times New Roman" w:cs="Times New Roman"/>
          <w:sz w:val="24"/>
          <w:szCs w:val="24"/>
        </w:rPr>
        <w:t>. Such is evident</w:t>
      </w:r>
      <w:r w:rsidR="00867E90" w:rsidRPr="007721FB">
        <w:rPr>
          <w:rFonts w:ascii="Times New Roman" w:hAnsi="Times New Roman" w:cs="Times New Roman"/>
          <w:sz w:val="24"/>
          <w:szCs w:val="24"/>
        </w:rPr>
        <w:t xml:space="preserve"> both in the context of</w:t>
      </w:r>
      <w:r w:rsidR="00486757" w:rsidRPr="007721FB">
        <w:rPr>
          <w:rFonts w:ascii="Times New Roman" w:hAnsi="Times New Roman" w:cs="Times New Roman"/>
          <w:sz w:val="24"/>
          <w:szCs w:val="24"/>
        </w:rPr>
        <w:t xml:space="preserve"> non-malignant bone </w:t>
      </w:r>
      <w:r w:rsidR="00867E90" w:rsidRPr="007721FB">
        <w:rPr>
          <w:rFonts w:ascii="Times New Roman" w:hAnsi="Times New Roman" w:cs="Times New Roman"/>
          <w:sz w:val="24"/>
          <w:szCs w:val="24"/>
        </w:rPr>
        <w:t xml:space="preserve">diseases </w:t>
      </w:r>
      <w:r w:rsidR="006F1E33" w:rsidRPr="007721FB">
        <w:rPr>
          <w:rFonts w:ascii="Times New Roman" w:hAnsi="Times New Roman" w:cs="Times New Roman"/>
          <w:sz w:val="24"/>
          <w:szCs w:val="24"/>
        </w:rPr>
        <w:t>and</w:t>
      </w:r>
      <w:r w:rsidR="00867E90" w:rsidRPr="007721FB">
        <w:rPr>
          <w:rFonts w:ascii="Times New Roman" w:hAnsi="Times New Roman" w:cs="Times New Roman"/>
          <w:sz w:val="24"/>
          <w:szCs w:val="24"/>
        </w:rPr>
        <w:t xml:space="preserve"> </w:t>
      </w:r>
      <w:r w:rsidRPr="007721FB">
        <w:rPr>
          <w:rFonts w:ascii="Times New Roman" w:hAnsi="Times New Roman" w:cs="Times New Roman"/>
          <w:sz w:val="24"/>
          <w:szCs w:val="24"/>
        </w:rPr>
        <w:t xml:space="preserve">in </w:t>
      </w:r>
      <w:r w:rsidR="00867E90" w:rsidRPr="007721FB">
        <w:rPr>
          <w:rFonts w:ascii="Times New Roman" w:hAnsi="Times New Roman" w:cs="Times New Roman"/>
          <w:sz w:val="24"/>
          <w:szCs w:val="24"/>
        </w:rPr>
        <w:t>bone regeneration scenarios</w:t>
      </w:r>
      <w:r w:rsidR="0031358D" w:rsidRPr="007721FB">
        <w:rPr>
          <w:rFonts w:ascii="Times New Roman" w:hAnsi="Times New Roman" w:cs="Times New Roman"/>
          <w:sz w:val="24"/>
          <w:szCs w:val="24"/>
        </w:rPr>
        <w:t>.</w:t>
      </w:r>
      <w:r w:rsidR="00A85098" w:rsidRPr="007721FB">
        <w:rPr>
          <w:rFonts w:ascii="Times New Roman" w:hAnsi="Times New Roman" w:cs="Times New Roman"/>
          <w:sz w:val="24"/>
          <w:szCs w:val="24"/>
        </w:rPr>
        <w:t xml:space="preserve"> </w:t>
      </w:r>
      <w:r w:rsidR="001278DE" w:rsidRPr="007721FB">
        <w:rPr>
          <w:rFonts w:ascii="Times New Roman" w:hAnsi="Times New Roman" w:cs="Times New Roman"/>
          <w:sz w:val="24"/>
          <w:szCs w:val="24"/>
        </w:rPr>
        <w:t>Having a</w:t>
      </w:r>
      <w:r w:rsidR="00867E90" w:rsidRPr="007721FB">
        <w:rPr>
          <w:rFonts w:ascii="Times New Roman" w:hAnsi="Times New Roman" w:cs="Times New Roman"/>
          <w:sz w:val="24"/>
          <w:szCs w:val="24"/>
        </w:rPr>
        <w:t xml:space="preserve"> </w:t>
      </w:r>
      <w:r w:rsidR="0031358D" w:rsidRPr="007721FB">
        <w:rPr>
          <w:rFonts w:ascii="Times New Roman" w:hAnsi="Times New Roman" w:cs="Times New Roman"/>
          <w:sz w:val="24"/>
          <w:szCs w:val="24"/>
        </w:rPr>
        <w:t xml:space="preserve">fundamental </w:t>
      </w:r>
      <w:r w:rsidR="001278DE" w:rsidRPr="007721FB">
        <w:rPr>
          <w:rFonts w:ascii="Times New Roman" w:hAnsi="Times New Roman" w:cs="Times New Roman"/>
          <w:sz w:val="24"/>
          <w:szCs w:val="24"/>
        </w:rPr>
        <w:t xml:space="preserve">knowledge about </w:t>
      </w:r>
      <w:r w:rsidR="008004D3" w:rsidRPr="007721FB">
        <w:rPr>
          <w:rFonts w:ascii="Times New Roman" w:hAnsi="Times New Roman" w:cs="Times New Roman"/>
          <w:sz w:val="24"/>
          <w:szCs w:val="24"/>
        </w:rPr>
        <w:t xml:space="preserve">skeletal anatomo-physiological barriers </w:t>
      </w:r>
      <w:r w:rsidR="001278DE" w:rsidRPr="007721FB">
        <w:rPr>
          <w:rFonts w:ascii="Times New Roman" w:hAnsi="Times New Roman" w:cs="Times New Roman"/>
          <w:sz w:val="24"/>
          <w:szCs w:val="24"/>
        </w:rPr>
        <w:t>is</w:t>
      </w:r>
      <w:r w:rsidR="0006079F" w:rsidRPr="007721FB">
        <w:rPr>
          <w:rFonts w:ascii="Times New Roman" w:hAnsi="Times New Roman" w:cs="Times New Roman"/>
          <w:sz w:val="24"/>
          <w:szCs w:val="24"/>
        </w:rPr>
        <w:t xml:space="preserve"> paramount</w:t>
      </w:r>
      <w:r w:rsidR="00CC0755" w:rsidRPr="007721FB">
        <w:rPr>
          <w:rFonts w:ascii="Times New Roman" w:hAnsi="Times New Roman" w:cs="Times New Roman"/>
          <w:sz w:val="24"/>
          <w:szCs w:val="24"/>
        </w:rPr>
        <w:t xml:space="preserve"> </w:t>
      </w:r>
      <w:r w:rsidRPr="007721FB">
        <w:rPr>
          <w:rFonts w:ascii="Times New Roman" w:hAnsi="Times New Roman" w:cs="Times New Roman"/>
          <w:sz w:val="24"/>
          <w:szCs w:val="24"/>
        </w:rPr>
        <w:t xml:space="preserve">to </w:t>
      </w:r>
      <w:r w:rsidR="00696BAA" w:rsidRPr="007721FB">
        <w:rPr>
          <w:rFonts w:ascii="Times New Roman" w:hAnsi="Times New Roman" w:cs="Times New Roman"/>
          <w:sz w:val="24"/>
          <w:szCs w:val="24"/>
        </w:rPr>
        <w:t xml:space="preserve">design </w:t>
      </w:r>
      <w:r w:rsidR="00CC0755" w:rsidRPr="007721FB">
        <w:rPr>
          <w:rFonts w:ascii="Times New Roman" w:hAnsi="Times New Roman" w:cs="Times New Roman"/>
          <w:sz w:val="24"/>
          <w:szCs w:val="24"/>
        </w:rPr>
        <w:t>more effective</w:t>
      </w:r>
      <w:r w:rsidR="00696BAA" w:rsidRPr="007721FB">
        <w:rPr>
          <w:rFonts w:ascii="Times New Roman" w:hAnsi="Times New Roman" w:cs="Times New Roman"/>
          <w:sz w:val="24"/>
          <w:szCs w:val="24"/>
        </w:rPr>
        <w:t xml:space="preserve"> bone-specific </w:t>
      </w:r>
      <w:r w:rsidR="00A70CE3" w:rsidRPr="007721FB">
        <w:rPr>
          <w:rFonts w:ascii="Times New Roman" w:hAnsi="Times New Roman" w:cs="Times New Roman"/>
          <w:sz w:val="24"/>
          <w:szCs w:val="24"/>
        </w:rPr>
        <w:t>nanotherapeutics</w:t>
      </w:r>
      <w:r w:rsidR="00696BAA" w:rsidRPr="007721FB">
        <w:rPr>
          <w:rFonts w:ascii="Times New Roman" w:hAnsi="Times New Roman" w:cs="Times New Roman"/>
          <w:sz w:val="24"/>
          <w:szCs w:val="24"/>
        </w:rPr>
        <w:t>.</w:t>
      </w:r>
    </w:p>
    <w:p w14:paraId="2E9F6089" w14:textId="55B86931" w:rsidR="00004311" w:rsidRPr="007721FB" w:rsidRDefault="00A85098" w:rsidP="004717AB">
      <w:pPr>
        <w:spacing w:after="0" w:line="240" w:lineRule="auto"/>
        <w:jc w:val="both"/>
        <w:rPr>
          <w:rFonts w:ascii="Times New Roman" w:hAnsi="Times New Roman" w:cs="Times New Roman"/>
          <w:sz w:val="24"/>
          <w:szCs w:val="24"/>
        </w:rPr>
      </w:pPr>
      <w:r w:rsidRPr="007721FB">
        <w:rPr>
          <w:rFonts w:ascii="Times New Roman" w:hAnsi="Times New Roman" w:cs="Times New Roman"/>
          <w:sz w:val="24"/>
          <w:szCs w:val="24"/>
        </w:rPr>
        <w:t xml:space="preserve">  </w:t>
      </w:r>
      <w:r w:rsidR="00867E90" w:rsidRPr="007721FB">
        <w:rPr>
          <w:rFonts w:ascii="Times New Roman" w:hAnsi="Times New Roman" w:cs="Times New Roman"/>
          <w:sz w:val="24"/>
          <w:szCs w:val="24"/>
        </w:rPr>
        <w:t xml:space="preserve"> </w:t>
      </w:r>
      <w:r w:rsidR="004F22BE" w:rsidRPr="007721FB">
        <w:rPr>
          <w:rFonts w:ascii="Times New Roman" w:hAnsi="Times New Roman" w:cs="Times New Roman"/>
          <w:sz w:val="24"/>
          <w:szCs w:val="24"/>
        </w:rPr>
        <w:t>T</w:t>
      </w:r>
      <w:r w:rsidR="00696BAA" w:rsidRPr="007721FB">
        <w:rPr>
          <w:rFonts w:ascii="Times New Roman" w:hAnsi="Times New Roman" w:cs="Times New Roman"/>
          <w:sz w:val="24"/>
          <w:szCs w:val="24"/>
        </w:rPr>
        <w:t xml:space="preserve">here are several biological barriers that may </w:t>
      </w:r>
      <w:r w:rsidR="00DF603D" w:rsidRPr="007721FB">
        <w:rPr>
          <w:rFonts w:ascii="Times New Roman" w:hAnsi="Times New Roman" w:cs="Times New Roman"/>
          <w:sz w:val="24"/>
          <w:szCs w:val="24"/>
        </w:rPr>
        <w:t xml:space="preserve">hinder </w:t>
      </w:r>
      <w:r w:rsidR="004F22BE" w:rsidRPr="007721FB">
        <w:rPr>
          <w:rFonts w:ascii="Times New Roman" w:hAnsi="Times New Roman" w:cs="Times New Roman"/>
          <w:sz w:val="24"/>
          <w:szCs w:val="24"/>
        </w:rPr>
        <w:t>nanocarriers</w:t>
      </w:r>
      <w:r w:rsidR="0031358D" w:rsidRPr="007721FB">
        <w:rPr>
          <w:rFonts w:ascii="Times New Roman" w:hAnsi="Times New Roman" w:cs="Times New Roman"/>
          <w:sz w:val="24"/>
          <w:szCs w:val="24"/>
        </w:rPr>
        <w:t xml:space="preserve"> delivery </w:t>
      </w:r>
      <w:r w:rsidR="0011134D" w:rsidRPr="007721FB">
        <w:rPr>
          <w:rFonts w:ascii="Times New Roman" w:hAnsi="Times New Roman" w:cs="Times New Roman"/>
          <w:sz w:val="24"/>
          <w:szCs w:val="24"/>
        </w:rPr>
        <w:t xml:space="preserve">via systemic route </w:t>
      </w:r>
      <w:r w:rsidR="0031358D" w:rsidRPr="007721FB">
        <w:rPr>
          <w:rFonts w:ascii="Times New Roman" w:hAnsi="Times New Roman" w:cs="Times New Roman"/>
          <w:sz w:val="24"/>
          <w:szCs w:val="24"/>
        </w:rPr>
        <w:t>to</w:t>
      </w:r>
      <w:r w:rsidR="0011134D" w:rsidRPr="007721FB">
        <w:rPr>
          <w:rFonts w:ascii="Times New Roman" w:hAnsi="Times New Roman" w:cs="Times New Roman"/>
          <w:sz w:val="24"/>
          <w:szCs w:val="24"/>
        </w:rPr>
        <w:t xml:space="preserve"> different tissues including</w:t>
      </w:r>
      <w:r w:rsidR="0031358D" w:rsidRPr="007721FB">
        <w:rPr>
          <w:rFonts w:ascii="Times New Roman" w:hAnsi="Times New Roman" w:cs="Times New Roman"/>
          <w:sz w:val="24"/>
          <w:szCs w:val="24"/>
        </w:rPr>
        <w:t xml:space="preserve"> bone</w:t>
      </w:r>
      <w:r w:rsidR="00696BAA" w:rsidRPr="007721FB">
        <w:rPr>
          <w:rFonts w:ascii="Times New Roman" w:hAnsi="Times New Roman" w:cs="Times New Roman"/>
          <w:sz w:val="24"/>
          <w:szCs w:val="24"/>
        </w:rPr>
        <w:t xml:space="preserve">. </w:t>
      </w:r>
      <w:r w:rsidR="006F1E33" w:rsidRPr="007721FB">
        <w:rPr>
          <w:rFonts w:ascii="Times New Roman" w:hAnsi="Times New Roman" w:cs="Times New Roman"/>
          <w:sz w:val="24"/>
          <w:szCs w:val="24"/>
        </w:rPr>
        <w:t>In an overview, f</w:t>
      </w:r>
      <w:r w:rsidR="00464A94" w:rsidRPr="007721FB">
        <w:rPr>
          <w:rFonts w:ascii="Times New Roman" w:hAnsi="Times New Roman" w:cs="Times New Roman"/>
          <w:sz w:val="24"/>
          <w:szCs w:val="24"/>
        </w:rPr>
        <w:t>ollowing</w:t>
      </w:r>
      <w:r w:rsidR="00696BAA" w:rsidRPr="007721FB">
        <w:rPr>
          <w:rFonts w:ascii="Times New Roman" w:hAnsi="Times New Roman" w:cs="Times New Roman"/>
          <w:sz w:val="24"/>
          <w:szCs w:val="24"/>
        </w:rPr>
        <w:t xml:space="preserve"> intravenous injection, </w:t>
      </w:r>
      <w:r w:rsidR="0066682D" w:rsidRPr="007721FB">
        <w:rPr>
          <w:rFonts w:ascii="Times New Roman" w:hAnsi="Times New Roman" w:cs="Times New Roman"/>
          <w:sz w:val="24"/>
          <w:szCs w:val="24"/>
        </w:rPr>
        <w:t xml:space="preserve">nanotherapeutics </w:t>
      </w:r>
      <w:r w:rsidR="00F15639" w:rsidRPr="007721FB">
        <w:rPr>
          <w:rFonts w:ascii="Times New Roman" w:hAnsi="Times New Roman" w:cs="Times New Roman"/>
          <w:sz w:val="24"/>
          <w:szCs w:val="24"/>
        </w:rPr>
        <w:t>must</w:t>
      </w:r>
      <w:r w:rsidR="00004311" w:rsidRPr="007721FB">
        <w:rPr>
          <w:rFonts w:ascii="Times New Roman" w:hAnsi="Times New Roman" w:cs="Times New Roman"/>
          <w:sz w:val="24"/>
          <w:szCs w:val="24"/>
        </w:rPr>
        <w:t xml:space="preserve"> first</w:t>
      </w:r>
      <w:r w:rsidR="00696BAA" w:rsidRPr="007721FB">
        <w:rPr>
          <w:rFonts w:ascii="Times New Roman" w:hAnsi="Times New Roman" w:cs="Times New Roman"/>
          <w:sz w:val="24"/>
          <w:szCs w:val="24"/>
        </w:rPr>
        <w:t xml:space="preserve"> travel in the bloodstream for sufficient time to pr</w:t>
      </w:r>
      <w:r w:rsidR="001D401E" w:rsidRPr="007721FB">
        <w:rPr>
          <w:rFonts w:ascii="Times New Roman" w:hAnsi="Times New Roman" w:cs="Times New Roman"/>
          <w:sz w:val="24"/>
          <w:szCs w:val="24"/>
        </w:rPr>
        <w:t>omote accumulation</w:t>
      </w:r>
      <w:r w:rsidR="00867E90" w:rsidRPr="007721FB">
        <w:rPr>
          <w:rFonts w:ascii="Times New Roman" w:hAnsi="Times New Roman" w:cs="Times New Roman"/>
          <w:sz w:val="24"/>
          <w:szCs w:val="24"/>
        </w:rPr>
        <w:t xml:space="preserve"> in bones</w:t>
      </w:r>
      <w:r w:rsidR="00486757" w:rsidRPr="007721FB">
        <w:rPr>
          <w:rFonts w:ascii="Times New Roman" w:hAnsi="Times New Roman" w:cs="Times New Roman"/>
          <w:sz w:val="24"/>
          <w:szCs w:val="24"/>
        </w:rPr>
        <w:t xml:space="preserve">, </w:t>
      </w:r>
      <w:r w:rsidR="00F15639" w:rsidRPr="007721FB">
        <w:rPr>
          <w:rFonts w:ascii="Times New Roman" w:hAnsi="Times New Roman" w:cs="Times New Roman"/>
          <w:sz w:val="24"/>
          <w:szCs w:val="24"/>
        </w:rPr>
        <w:t xml:space="preserve">either </w:t>
      </w:r>
      <w:r w:rsidR="00486757" w:rsidRPr="007721FB">
        <w:rPr>
          <w:rFonts w:ascii="Times New Roman" w:hAnsi="Times New Roman" w:cs="Times New Roman"/>
          <w:sz w:val="24"/>
          <w:szCs w:val="24"/>
        </w:rPr>
        <w:t xml:space="preserve">by </w:t>
      </w:r>
      <w:r w:rsidR="00F15639" w:rsidRPr="007721FB">
        <w:rPr>
          <w:rFonts w:ascii="Times New Roman" w:hAnsi="Times New Roman" w:cs="Times New Roman"/>
          <w:sz w:val="24"/>
          <w:szCs w:val="24"/>
        </w:rPr>
        <w:t xml:space="preserve">probabilistic </w:t>
      </w:r>
      <w:r w:rsidR="00696BAA" w:rsidRPr="007721FB">
        <w:rPr>
          <w:rFonts w:ascii="Times New Roman" w:hAnsi="Times New Roman" w:cs="Times New Roman"/>
          <w:sz w:val="24"/>
          <w:szCs w:val="24"/>
        </w:rPr>
        <w:t>passive accumulation</w:t>
      </w:r>
      <w:r w:rsidR="00867E90" w:rsidRPr="007721FB">
        <w:rPr>
          <w:rFonts w:ascii="Times New Roman" w:hAnsi="Times New Roman" w:cs="Times New Roman"/>
          <w:sz w:val="24"/>
          <w:szCs w:val="24"/>
        </w:rPr>
        <w:t>,</w:t>
      </w:r>
      <w:r w:rsidR="00696BAA" w:rsidRPr="007721FB">
        <w:rPr>
          <w:rFonts w:ascii="Times New Roman" w:hAnsi="Times New Roman" w:cs="Times New Roman"/>
          <w:sz w:val="24"/>
          <w:szCs w:val="24"/>
        </w:rPr>
        <w:t xml:space="preserve"> or</w:t>
      </w:r>
      <w:r w:rsidR="00867E90" w:rsidRPr="007721FB">
        <w:rPr>
          <w:rFonts w:ascii="Times New Roman" w:hAnsi="Times New Roman" w:cs="Times New Roman"/>
          <w:sz w:val="24"/>
          <w:szCs w:val="24"/>
        </w:rPr>
        <w:t xml:space="preserve"> by</w:t>
      </w:r>
      <w:r w:rsidR="00696BAA" w:rsidRPr="007721FB">
        <w:rPr>
          <w:rFonts w:ascii="Times New Roman" w:hAnsi="Times New Roman" w:cs="Times New Roman"/>
          <w:sz w:val="24"/>
          <w:szCs w:val="24"/>
        </w:rPr>
        <w:t xml:space="preserve"> </w:t>
      </w:r>
      <w:r w:rsidR="00F15639" w:rsidRPr="007721FB">
        <w:rPr>
          <w:rFonts w:ascii="Times New Roman" w:hAnsi="Times New Roman" w:cs="Times New Roman"/>
          <w:sz w:val="24"/>
          <w:szCs w:val="24"/>
        </w:rPr>
        <w:t xml:space="preserve">active </w:t>
      </w:r>
      <w:r w:rsidR="0066682D" w:rsidRPr="007721FB">
        <w:rPr>
          <w:rFonts w:ascii="Times New Roman" w:hAnsi="Times New Roman" w:cs="Times New Roman"/>
          <w:sz w:val="24"/>
          <w:szCs w:val="24"/>
        </w:rPr>
        <w:t>targeting to</w:t>
      </w:r>
      <w:r w:rsidR="00867E90" w:rsidRPr="007721FB">
        <w:rPr>
          <w:rFonts w:ascii="Times New Roman" w:hAnsi="Times New Roman" w:cs="Times New Roman"/>
          <w:sz w:val="24"/>
          <w:szCs w:val="24"/>
        </w:rPr>
        <w:t xml:space="preserve"> cell-specific</w:t>
      </w:r>
      <w:r w:rsidR="006F1E33" w:rsidRPr="007721FB">
        <w:rPr>
          <w:rFonts w:ascii="Times New Roman" w:hAnsi="Times New Roman" w:cs="Times New Roman"/>
          <w:sz w:val="24"/>
          <w:szCs w:val="24"/>
        </w:rPr>
        <w:t xml:space="preserve"> moieties</w:t>
      </w:r>
      <w:r w:rsidR="00F15639" w:rsidRPr="007721FB">
        <w:rPr>
          <w:rFonts w:ascii="Times New Roman" w:hAnsi="Times New Roman" w:cs="Times New Roman"/>
          <w:sz w:val="24"/>
          <w:szCs w:val="24"/>
        </w:rPr>
        <w:t xml:space="preserve">. The latter could be achieved by designing nanocarriers </w:t>
      </w:r>
      <w:r w:rsidR="0031358D" w:rsidRPr="007721FB">
        <w:rPr>
          <w:rFonts w:ascii="Times New Roman" w:hAnsi="Times New Roman" w:cs="Times New Roman"/>
          <w:sz w:val="24"/>
          <w:szCs w:val="24"/>
        </w:rPr>
        <w:t>target</w:t>
      </w:r>
      <w:r w:rsidR="00BE1D26" w:rsidRPr="007721FB">
        <w:rPr>
          <w:rFonts w:ascii="Times New Roman" w:hAnsi="Times New Roman" w:cs="Times New Roman"/>
          <w:sz w:val="24"/>
          <w:szCs w:val="24"/>
        </w:rPr>
        <w:t>ed to</w:t>
      </w:r>
      <w:r w:rsidR="001D401E" w:rsidRPr="007721FB">
        <w:rPr>
          <w:rFonts w:ascii="Times New Roman" w:hAnsi="Times New Roman" w:cs="Times New Roman"/>
          <w:sz w:val="24"/>
          <w:szCs w:val="24"/>
        </w:rPr>
        <w:t xml:space="preserve"> </w:t>
      </w:r>
      <w:r w:rsidR="003E3930" w:rsidRPr="007721FB">
        <w:rPr>
          <w:rFonts w:ascii="Times New Roman" w:hAnsi="Times New Roman" w:cs="Times New Roman"/>
          <w:sz w:val="24"/>
          <w:szCs w:val="24"/>
        </w:rPr>
        <w:t xml:space="preserve">specific </w:t>
      </w:r>
      <w:r w:rsidR="00696BAA" w:rsidRPr="007721FB">
        <w:rPr>
          <w:rFonts w:ascii="Times New Roman" w:hAnsi="Times New Roman" w:cs="Times New Roman"/>
          <w:sz w:val="24"/>
          <w:szCs w:val="24"/>
        </w:rPr>
        <w:t>bone cell</w:t>
      </w:r>
      <w:r w:rsidR="00F15639" w:rsidRPr="007721FB">
        <w:rPr>
          <w:rFonts w:ascii="Times New Roman" w:hAnsi="Times New Roman" w:cs="Times New Roman"/>
          <w:sz w:val="24"/>
          <w:szCs w:val="24"/>
        </w:rPr>
        <w:t xml:space="preserve"> </w:t>
      </w:r>
      <w:r w:rsidR="00696BAA" w:rsidRPr="007721FB">
        <w:rPr>
          <w:rFonts w:ascii="Times New Roman" w:hAnsi="Times New Roman" w:cs="Times New Roman"/>
          <w:sz w:val="24"/>
          <w:szCs w:val="24"/>
        </w:rPr>
        <w:t>receptors</w:t>
      </w:r>
      <w:r w:rsidR="006F0703" w:rsidRPr="007721FB">
        <w:rPr>
          <w:rFonts w:ascii="Times New Roman" w:hAnsi="Times New Roman" w:cs="Times New Roman"/>
          <w:sz w:val="24"/>
          <w:szCs w:val="24"/>
        </w:rPr>
        <w:t xml:space="preserve"> </w:t>
      </w:r>
      <w:r w:rsidR="001D401E" w:rsidRPr="007721FB">
        <w:rPr>
          <w:rFonts w:ascii="Times New Roman" w:hAnsi="Times New Roman" w:cs="Times New Roman"/>
          <w:sz w:val="24"/>
          <w:szCs w:val="24"/>
        </w:rPr>
        <w:t xml:space="preserve">such as </w:t>
      </w:r>
      <w:r w:rsidR="0031358D" w:rsidRPr="007721FB">
        <w:rPr>
          <w:rFonts w:ascii="Times New Roman" w:hAnsi="Times New Roman" w:cs="Times New Roman"/>
          <w:sz w:val="24"/>
          <w:szCs w:val="24"/>
        </w:rPr>
        <w:t>P</w:t>
      </w:r>
      <w:r w:rsidR="001D401E" w:rsidRPr="007721FB">
        <w:rPr>
          <w:rFonts w:ascii="Times New Roman" w:hAnsi="Times New Roman" w:cs="Times New Roman"/>
          <w:sz w:val="24"/>
          <w:szCs w:val="24"/>
        </w:rPr>
        <w:t>eriostin</w:t>
      </w:r>
      <w:r w:rsidRPr="007721FB">
        <w:rPr>
          <w:rFonts w:ascii="Times New Roman" w:hAnsi="Times New Roman" w:cs="Times New Roman"/>
          <w:sz w:val="24"/>
          <w:szCs w:val="24"/>
        </w:rPr>
        <w:t xml:space="preserve">, </w:t>
      </w:r>
      <w:r w:rsidR="00E71000" w:rsidRPr="007721FB">
        <w:rPr>
          <w:rFonts w:ascii="Times New Roman" w:hAnsi="Times New Roman" w:cs="Times New Roman"/>
          <w:sz w:val="24"/>
          <w:szCs w:val="24"/>
        </w:rPr>
        <w:t xml:space="preserve">or neighboring extracellular matrix components </w:t>
      </w:r>
      <w:r w:rsidR="008F74ED" w:rsidRPr="007721FB">
        <w:rPr>
          <w:rFonts w:ascii="Times New Roman" w:hAnsi="Times New Roman" w:cs="Times New Roman"/>
          <w:sz w:val="24"/>
          <w:szCs w:val="24"/>
        </w:rPr>
        <w:t>(</w:t>
      </w:r>
      <w:r w:rsidR="0031358D" w:rsidRPr="007721FB">
        <w:rPr>
          <w:rFonts w:ascii="Times New Roman" w:hAnsi="Times New Roman" w:cs="Times New Roman"/>
          <w:sz w:val="24"/>
          <w:szCs w:val="24"/>
        </w:rPr>
        <w:t>reviewed in</w:t>
      </w:r>
      <w:r w:rsidR="008F74ED" w:rsidRPr="007721FB">
        <w:rPr>
          <w:rFonts w:ascii="Times New Roman" w:hAnsi="Times New Roman" w:cs="Times New Roman"/>
          <w:sz w:val="24"/>
          <w:szCs w:val="24"/>
        </w:rPr>
        <w:t xml:space="preserve"> detail elsewhere</w:t>
      </w:r>
      <w:r w:rsidR="0031358D" w:rsidRPr="007721FB">
        <w:rPr>
          <w:rFonts w:ascii="Times New Roman" w:hAnsi="Times New Roman" w:cs="Times New Roman"/>
          <w:sz w:val="24"/>
          <w:szCs w:val="24"/>
        </w:rPr>
        <w:t xml:space="preserve"> </w:t>
      </w:r>
      <w:r w:rsidR="008F74ED"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"DOI" : "10.1016/j.nano.2016.08.015", "ISSN" : "15499642", "abstract" : "Bone-targeted drug delivery is an active research area because successful clinical applications of this technology can significantly advance the treatment of bone injuries and disorders. Molecules with bone-targeting potential have been actively investigated as promising moieties in targeted drug delivery systems. In general, bone-targeting molecules are characterized by their high affinity for bone and their predisposition to persist in bone tissue for prolonged periods, while maintaining low systemic concentrations. Proteins, such as monoclonal antibodies, have shown promise as bone-targeting molecules; however, they suffer from several limitations including large molecular size, high production cost, and undesirable immune responses. A viable alternative associated with significantly less side effects is the use of small molecule-based targeting moieties. This review provides a summary of recent findings regarding small molecule compounds with bone-targeting capacity, as well as nanoscale targeted drug delivery approaches employing these molecules.", "author" : [ { "dropping-particle" : "", "family" : "Carbone", "given" : "Erica J.", "non-dropping-particle" : "", "parse-names" : false, "suffix" : "" }, { "dropping-particle" : "", "family" : "Rajpura", "given" : "Komal", "non-dropping-particle" : "", "parse-names" : false, "suffix" : "" }, { "dropping-particle" : "", "family" : "Allen", "given" : "Brittany N.", "non-dropping-particle" : "", "parse-names" : false, "suffix" : "" }, { "dropping-particle" : "", "family" : "Cheng", "given" : "Emily", "non-dropping-particle" : "", "parse-names" : false, "suffix" : "" }, { "dropping-particle" : "", "family" : "Ulery", "given" : "Bret D.", "non-dropping-particle" : "", "parse-names" : false, "suffix" : "" }, { "dropping-particle" : "", "family" : "Lo", "given" : "Kevin W H", "non-dropping-particle" : "", "parse-names" : false, "suffix" : "" } ], "container-title" : "Nanomedicine: Nanotechnology, Biology, and Medicine", "id" : "ITEM-1", "issue" : "1", "issued" : { "date-parts" : [ [ "2017" ] ] }, "page" : "37-47", "publisher" : "Elsevier B.V.", "title" : "Osteotropic nanoscale drug delivery systems based on small molecule bone-targeting moieties", "type" : "article-journal", "volume" : "13" }, "uris" : [ "http://www.mendeley.com/documents/?uuid=0f4eae86-3983-4dc0-a148-7cb80026deff" ] }, { "id" : "ITEM-2", "itemData" : { "ISSN" : "1359-6446", "author" : [ { "dropping-particle" : "", "family" : "Cheng", "given" : "Hao", "non-dropping-particle" : "", "parse-names" : false, "suffix" : "" }, { "dropping-particle" : "", "family" : "Chawla", "given" : "Aditya", "non-dropping-particle" : "", "parse-names" : false, "suffix" : "" }, { "dropping-particle" : "", "family" : "Yang", "given" : "Yafeng", "non-dropping-particle" : "", "parse-names" : false, "suffix" : "" }, { "dropping-particle" : "", "family" : "Li", "given" : "Yuxiao", "non-dropping-particle" : "", "parse-names" : false, "suffix" : "" }, { "dropping-particle" : "", "family" : "Zhang", "given" : "Jin", "non-dropping-particle" : "", "parse-names" : false, "suffix" : "" }, { "dropping-particle" : "", "family" : "Jang", "given" : "Hae Lin", "non-dropping-particle" : "", "parse-names" : false, "suffix" : "" }, { "dropping-particle" : "", "family" : "Khademhosseini", "given" : "Ali", "non-dropping-particle" : "", "parse-names" : false, "suffix" : "" } ], "container-title" : "Drug Discovery Today", "id" : "ITEM-2", "issued" : { "date-parts" : [ [ "2017" ] ] }, "publisher" : "Elsevier", "title" : "Development of nanomaterials for bone-targeted drug delivery", "type" : "article-journal" }, "uris" : [ "http://www.mendeley.com/documents/?uuid=050d833c-044a-4792-bfe7-f329b73d55d9" ] }, { "id" : "ITEM-3", "itemData" : { "DOI" : "10.1371/journal.pone.0147837", "abstract" : "Periostin is an extracellular matrix protein highly expressed in collagen-rich tissues subjected to continuous mechanical stress. Functionally, periostin is involved in tissue remodeling and its altered function is associated to numerous pathological processes. In orthodontics, periostin plays key roles in the maintenance of dental tissues and it is mainly expressed in those areas where tension or pressing forces are taking place. In this regard, high expression of periostin is essential to promote migration and proliferation of periodontal ligament fibroblasts. However little is known about the participation of periostin in migration and adhesion processes of bone remodeling cells. In this work we employ the mouse pre-osteoblastic MC3T3-E1 and the macrophage-like RAW 264.7 cell lines to overexpress periostin and perform different cell-based assays to study changes in cell behavior. Our data indicate that periostin overexpression not only increases adhesion capacity of MC3T3-E1 cells to different matrix proteins but also hampers their migratory capacity. Changes on RNA expression profile of MC3T3-E1 cells upon periostin overexpression have been also analyzed, highlighting the alteration of genes implicated in processes such as cell migration, adhesion or bone metabolism but not in bone differentiation. Overall, our work provides new evidence on the impact of periostin in osteoblasts physiology.", "author" : [ { "dropping-particle" : "", "family" : "Cobo", "given" : "Teresa", "non-dropping-particle" : "", "parse-names" : false, "suffix" : "" }, { "dropping-particle" : "", "family" : "Viloria", "given" : "Cristina G", "non-dropping-particle" : "", "parse-names" : false, "suffix" : "" }, { "dropping-particle" : "", "family" : "Solares", "given" : "Laura", "non-dropping-particle" : "", "parse-names" : false, "suffix" : "" }, { "dropping-particle" : "", "family" : "Fontanil", "given" : "Tania", "non-dropping-particle" : "", "parse-names" : false, "suffix" : "" }, { "dropping-particle" : "", "family" : "Gonz\u00e1lez-Chamorro", "given" : "Elena", "non-dropping-particle" : "", "parse-names" : false, "suffix" : "" }, { "dropping-particle" : "", "family" : "Carlos", "given" : "F\u00e9lix", "non-dropping-particle" : "De", "parse-names" : false, "suffix" : "" }, { "dropping-particle" : "", "family" : "Cobo", "given" : "Juan", "non-dropping-particle" : "", "parse-names" : false, "suffix" : "" }, { "dropping-particle" : "", "family" : "Cal", "given" : "Santiago", "non-dropping-particle" : "", "parse-names" : false, "suffix" : "" }, { "dropping-particle" : "", "family" : "Obaya", "given" : "Alvaro J", "non-dropping-particle" : "", "parse-names" : false, "suffix" : "" } ], "container-title" : "PLoS ONE", "id" : "ITEM-3", "issue" : "1", "issued" : { "date-parts" : [ [ "2016" ] ] }, "page" : "1-19", "title" : "Role of periostin in adhesion and migration of bone remodeling cells", "type" : "article-journal", "volume" : "11" }, "uris" : [ "http://www.mendeley.com/documents/?uuid=8899e3a8-793a-45e7-8ef3-2598b739f78c" ] } ], "mendeley" : { "formattedCitation" : "[4,30,31]", "plainTextFormattedCitation" : "[4,30,31]", "previouslyFormattedCitation" : "[4,30,31]" }, "properties" : { "noteIndex" : 5 }, "schema" : "https://github.com/citation-style-language/schema/raw/master/csl-citation.json" }</w:instrText>
      </w:r>
      <w:r w:rsidR="008F74ED"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[4,30,31]</w:t>
      </w:r>
      <w:r w:rsidR="008F74ED" w:rsidRPr="007721FB">
        <w:rPr>
          <w:rFonts w:ascii="Times New Roman" w:hAnsi="Times New Roman" w:cs="Times New Roman"/>
          <w:sz w:val="24"/>
          <w:szCs w:val="24"/>
        </w:rPr>
        <w:fldChar w:fldCharType="end"/>
      </w:r>
      <w:r w:rsidR="008F74ED" w:rsidRPr="007721FB">
        <w:rPr>
          <w:rFonts w:ascii="Times New Roman" w:hAnsi="Times New Roman" w:cs="Times New Roman"/>
          <w:sz w:val="24"/>
          <w:szCs w:val="24"/>
        </w:rPr>
        <w:t>)</w:t>
      </w:r>
      <w:r w:rsidR="00696BAA" w:rsidRPr="007721FB">
        <w:rPr>
          <w:rFonts w:ascii="Times New Roman" w:hAnsi="Times New Roman" w:cs="Times New Roman"/>
          <w:sz w:val="24"/>
          <w:szCs w:val="24"/>
        </w:rPr>
        <w:t xml:space="preserve">. </w:t>
      </w:r>
      <w:r w:rsidR="0031358D" w:rsidRPr="007721FB">
        <w:rPr>
          <w:rFonts w:ascii="Times New Roman" w:hAnsi="Times New Roman" w:cs="Times New Roman"/>
          <w:sz w:val="24"/>
          <w:szCs w:val="24"/>
        </w:rPr>
        <w:t>To</w:t>
      </w:r>
      <w:r w:rsidRPr="007721FB">
        <w:rPr>
          <w:rFonts w:ascii="Times New Roman" w:hAnsi="Times New Roman" w:cs="Times New Roman"/>
          <w:sz w:val="24"/>
          <w:szCs w:val="24"/>
        </w:rPr>
        <w:t xml:space="preserve"> achieve sufficient circulation time for</w:t>
      </w:r>
      <w:r w:rsidR="0031358D" w:rsidRPr="007721FB">
        <w:rPr>
          <w:rFonts w:ascii="Times New Roman" w:hAnsi="Times New Roman" w:cs="Times New Roman"/>
          <w:sz w:val="24"/>
          <w:szCs w:val="24"/>
        </w:rPr>
        <w:t xml:space="preserve"> </w:t>
      </w:r>
      <w:r w:rsidRPr="007721FB">
        <w:rPr>
          <w:rFonts w:ascii="Times New Roman" w:hAnsi="Times New Roman" w:cs="Times New Roman"/>
          <w:sz w:val="24"/>
          <w:szCs w:val="24"/>
        </w:rPr>
        <w:t xml:space="preserve">accumulation </w:t>
      </w:r>
      <w:r w:rsidR="00142B68" w:rsidRPr="007721FB">
        <w:rPr>
          <w:rFonts w:ascii="Times New Roman" w:hAnsi="Times New Roman" w:cs="Times New Roman"/>
          <w:sz w:val="24"/>
          <w:szCs w:val="24"/>
        </w:rPr>
        <w:t>in the desired tissues</w:t>
      </w:r>
      <w:r w:rsidR="00F15639" w:rsidRPr="007721FB">
        <w:rPr>
          <w:rFonts w:ascii="Times New Roman" w:hAnsi="Times New Roman" w:cs="Times New Roman"/>
          <w:sz w:val="24"/>
          <w:szCs w:val="24"/>
        </w:rPr>
        <w:t>,</w:t>
      </w:r>
      <w:r w:rsidR="00696BAA" w:rsidRPr="007721FB">
        <w:rPr>
          <w:rFonts w:ascii="Times New Roman" w:hAnsi="Times New Roman" w:cs="Times New Roman"/>
          <w:sz w:val="24"/>
          <w:szCs w:val="24"/>
        </w:rPr>
        <w:t xml:space="preserve"> nanocarriers must</w:t>
      </w:r>
      <w:r w:rsidR="00486757" w:rsidRPr="007721FB">
        <w:rPr>
          <w:rFonts w:ascii="Times New Roman" w:hAnsi="Times New Roman" w:cs="Times New Roman"/>
          <w:sz w:val="24"/>
          <w:szCs w:val="24"/>
        </w:rPr>
        <w:t xml:space="preserve"> also</w:t>
      </w:r>
      <w:r w:rsidR="00696BAA" w:rsidRPr="007721FB">
        <w:rPr>
          <w:rFonts w:ascii="Times New Roman" w:hAnsi="Times New Roman" w:cs="Times New Roman"/>
          <w:sz w:val="24"/>
          <w:szCs w:val="24"/>
        </w:rPr>
        <w:t xml:space="preserve"> be formulated to avoid opsonisation and </w:t>
      </w:r>
      <w:r w:rsidR="00EC5C6B" w:rsidRPr="007721FB">
        <w:rPr>
          <w:rFonts w:ascii="Times New Roman" w:hAnsi="Times New Roman" w:cs="Times New Roman"/>
          <w:sz w:val="24"/>
          <w:szCs w:val="24"/>
        </w:rPr>
        <w:t xml:space="preserve">sequestration by the components of </w:t>
      </w:r>
      <w:r w:rsidR="00696BAA" w:rsidRPr="007721FB">
        <w:rPr>
          <w:rFonts w:ascii="Times New Roman" w:hAnsi="Times New Roman" w:cs="Times New Roman"/>
          <w:sz w:val="24"/>
          <w:szCs w:val="24"/>
        </w:rPr>
        <w:t xml:space="preserve">the </w:t>
      </w:r>
      <w:r w:rsidR="00CC0755" w:rsidRPr="007721FB">
        <w:rPr>
          <w:rFonts w:ascii="Times New Roman" w:hAnsi="Times New Roman" w:cs="Times New Roman"/>
          <w:sz w:val="24"/>
          <w:szCs w:val="24"/>
        </w:rPr>
        <w:t xml:space="preserve">reticuloendothelial system </w:t>
      </w:r>
      <w:r w:rsidR="00F15639" w:rsidRPr="007721FB">
        <w:rPr>
          <w:rFonts w:ascii="Times New Roman" w:hAnsi="Times New Roman" w:cs="Times New Roman"/>
          <w:sz w:val="24"/>
          <w:szCs w:val="24"/>
        </w:rPr>
        <w:t xml:space="preserve">(RES) </w:t>
      </w:r>
      <w:r w:rsidRPr="007721FB">
        <w:rPr>
          <w:rFonts w:ascii="Times New Roman" w:hAnsi="Times New Roman" w:cs="Times New Roman"/>
          <w:sz w:val="24"/>
          <w:szCs w:val="24"/>
        </w:rPr>
        <w:t>including</w:t>
      </w:r>
      <w:r w:rsidR="00696BAA" w:rsidRPr="007721FB">
        <w:rPr>
          <w:rFonts w:ascii="Times New Roman" w:hAnsi="Times New Roman" w:cs="Times New Roman"/>
          <w:sz w:val="24"/>
          <w:szCs w:val="24"/>
        </w:rPr>
        <w:t xml:space="preserve"> phagocytic cells of the liver (</w:t>
      </w:r>
      <w:r w:rsidR="0011134D" w:rsidRPr="007721FB">
        <w:rPr>
          <w:rFonts w:ascii="Times New Roman" w:hAnsi="Times New Roman" w:cs="Times New Roman"/>
          <w:sz w:val="24"/>
          <w:szCs w:val="24"/>
        </w:rPr>
        <w:t xml:space="preserve">e.g., </w:t>
      </w:r>
      <w:r w:rsidR="00696BAA" w:rsidRPr="007721FB">
        <w:rPr>
          <w:rFonts w:ascii="Times New Roman" w:hAnsi="Times New Roman" w:cs="Times New Roman"/>
          <w:sz w:val="24"/>
          <w:szCs w:val="24"/>
        </w:rPr>
        <w:t>Kupffer cells), spleen (</w:t>
      </w:r>
      <w:r w:rsidR="0011134D" w:rsidRPr="007721FB">
        <w:rPr>
          <w:rFonts w:ascii="Times New Roman" w:hAnsi="Times New Roman" w:cs="Times New Roman"/>
          <w:sz w:val="24"/>
          <w:szCs w:val="24"/>
        </w:rPr>
        <w:t xml:space="preserve">e.g., </w:t>
      </w:r>
      <w:r w:rsidR="00464A94" w:rsidRPr="007721FB">
        <w:rPr>
          <w:rFonts w:ascii="Times New Roman" w:hAnsi="Times New Roman" w:cs="Times New Roman"/>
          <w:sz w:val="24"/>
          <w:szCs w:val="24"/>
        </w:rPr>
        <w:t>S</w:t>
      </w:r>
      <w:r w:rsidR="00696BAA" w:rsidRPr="007721FB">
        <w:rPr>
          <w:rFonts w:ascii="Times New Roman" w:hAnsi="Times New Roman" w:cs="Times New Roman"/>
          <w:sz w:val="24"/>
          <w:szCs w:val="24"/>
        </w:rPr>
        <w:t>plenocytes)</w:t>
      </w:r>
      <w:r w:rsidRPr="007721FB">
        <w:rPr>
          <w:rFonts w:ascii="Times New Roman" w:hAnsi="Times New Roman" w:cs="Times New Roman"/>
          <w:sz w:val="24"/>
          <w:szCs w:val="24"/>
        </w:rPr>
        <w:t xml:space="preserve">, as well as </w:t>
      </w:r>
      <w:r w:rsidR="0031358D" w:rsidRPr="007721FB">
        <w:rPr>
          <w:rFonts w:ascii="Times New Roman" w:hAnsi="Times New Roman" w:cs="Times New Roman"/>
          <w:sz w:val="24"/>
          <w:szCs w:val="24"/>
        </w:rPr>
        <w:t xml:space="preserve">kidney excretion </w:t>
      </w:r>
      <w:r w:rsidR="00696BAA" w:rsidRPr="007721FB">
        <w:rPr>
          <w:rFonts w:ascii="Times New Roman" w:hAnsi="Times New Roman" w:cs="Times New Roman"/>
          <w:sz w:val="24"/>
          <w:szCs w:val="24"/>
        </w:rPr>
        <w:t>(</w:t>
      </w:r>
      <w:r w:rsidR="00EC5C6B" w:rsidRPr="007721FB">
        <w:rPr>
          <w:rFonts w:ascii="Times New Roman" w:hAnsi="Times New Roman" w:cs="Times New Roman"/>
          <w:sz w:val="24"/>
          <w:szCs w:val="24"/>
        </w:rPr>
        <w:t>&lt; ~5 nm)</w:t>
      </w:r>
      <w:r w:rsidR="003B0DAB" w:rsidRPr="007721FB">
        <w:rPr>
          <w:rFonts w:ascii="Times New Roman" w:hAnsi="Times New Roman" w:cs="Times New Roman"/>
          <w:sz w:val="24"/>
          <w:szCs w:val="24"/>
        </w:rPr>
        <w:t xml:space="preserve"> </w:t>
      </w:r>
      <w:r w:rsidR="0011134D" w:rsidRPr="007721FB">
        <w:rPr>
          <w:rFonts w:ascii="Times New Roman" w:hAnsi="Times New Roman" w:cs="Times New Roman"/>
          <w:sz w:val="24"/>
          <w:szCs w:val="24"/>
        </w:rPr>
        <w:t>(reviewed in detail in</w:t>
      </w:r>
      <w:r w:rsidR="00F34CE5" w:rsidRPr="007721FB">
        <w:rPr>
          <w:rFonts w:ascii="Times New Roman" w:hAnsi="Times New Roman" w:cs="Times New Roman"/>
          <w:sz w:val="24"/>
          <w:szCs w:val="24"/>
        </w:rPr>
        <w:t xml:space="preserve"> </w:t>
      </w:r>
      <w:r w:rsidR="004C4625"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"DOI" : "10.1038/nbt.3330", "ISBN" : "1546-1696 (Electronic)\\r1087-0156 (Linking)", "ISSN" : "1546-1696", "PMID" : "26348965", "abstract" : "Biological barriers to drug transport prevent successful accumulation of nanotherapeutics specifically at diseased sites, limiting efficacious responses in disease processes ranging from cancer to inflammation. Although substantial research efforts have aimed to incorporate multiple functionalities and moieties within the overall nanoparticle design, many of these strategies fail to adequately address these barriers. Obstacles, such as nonspecific distribution and inadequate accumulation of therapeutics, remain formidable challenges to drug developers. A reimagining of conventional nanoparticles is needed to successfully negotiate these impediments to drug delivery. Site-specific delivery of therapeutics will remain a distant reality unless nanocarrier design takes into account the majority, if not all, of the biological barriers that a particle encounters upon intravenous administration. By successively addressing each of these barriers, innovative design features can be rationally incorporated that will create a new generation of nanotherapeutics, realizing a paradigmatic shift in nanoparticle-based drug delivery.", "author" : [ { "dropping-particle" : "", "family" : "Blanco", "given" : "Elvin", "non-dropping-particle" : "", "parse-names" : false, "suffix" : "" }, { "dropping-particle" : "", "family" : "Shen", "given" : "Haifa", "non-dropping-particle" : "", "parse-names" : false, "suffix" : "" }, { "dropping-particle" : "", "family" : "Ferrari", "given" : "Mauro", "non-dropping-particle" : "", "parse-names" : false, "suffix" : "" } ], "container-title" : "Nature biotechnology", "id" : "ITEM-1", "issue" : "9", "issued" : { "date-parts" : [ [ "2015" ] ] }, "page" : "941-951", "title" : "Principles of nanoparticle design for overcoming biological barriers to drug delivery.", "type" : "article-journal", "volume" : "33" }, "uris" : [ "http://www.mendeley.com/documents/?uuid=95fc0eed-4c1c-45a7-85b0-165d0bcd4ee9", "http://www.mendeley.com/documents/?uuid=0c6e90e7-01a1-4584-b97f-843b89821d9d" ] } ], "mendeley" : { "formattedCitation" : "[27]", "plainTextFormattedCitation" : "[27]", "previouslyFormattedCitation" : "[27]" }, "properties" : { "noteIndex" : 0 }, "schema" : "https://github.com/citation-style-language/schema/raw/master/csl-citation.json" }</w:instrText>
      </w:r>
      <w:r w:rsidR="004C4625"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[27]</w:t>
      </w:r>
      <w:r w:rsidR="004C4625" w:rsidRPr="007721FB">
        <w:rPr>
          <w:rFonts w:ascii="Times New Roman" w:hAnsi="Times New Roman" w:cs="Times New Roman"/>
          <w:sz w:val="24"/>
          <w:szCs w:val="24"/>
        </w:rPr>
        <w:fldChar w:fldCharType="end"/>
      </w:r>
      <w:r w:rsidR="0011134D" w:rsidRPr="007721FB">
        <w:rPr>
          <w:rFonts w:ascii="Times New Roman" w:hAnsi="Times New Roman" w:cs="Times New Roman"/>
          <w:sz w:val="24"/>
          <w:szCs w:val="24"/>
        </w:rPr>
        <w:t>)</w:t>
      </w:r>
      <w:r w:rsidR="00004311" w:rsidRPr="007721FB">
        <w:rPr>
          <w:rFonts w:ascii="Times New Roman" w:hAnsi="Times New Roman" w:cs="Times New Roman"/>
          <w:sz w:val="24"/>
          <w:szCs w:val="24"/>
        </w:rPr>
        <w:t xml:space="preserve">. </w:t>
      </w:r>
    </w:p>
    <w:p w14:paraId="6345E51D" w14:textId="0E133F8E" w:rsidR="001D5F83" w:rsidRPr="007721FB" w:rsidRDefault="00004311" w:rsidP="004717AB">
      <w:pPr>
        <w:spacing w:after="0" w:line="240" w:lineRule="auto"/>
        <w:jc w:val="both"/>
        <w:rPr>
          <w:rFonts w:ascii="Times New Roman" w:hAnsi="Times New Roman" w:cs="Times New Roman"/>
          <w:sz w:val="24"/>
        </w:rPr>
      </w:pPr>
      <w:r w:rsidRPr="007721FB">
        <w:rPr>
          <w:rFonts w:ascii="Times New Roman" w:hAnsi="Times New Roman" w:cs="Times New Roman"/>
          <w:sz w:val="24"/>
          <w:szCs w:val="24"/>
        </w:rPr>
        <w:t xml:space="preserve">   </w:t>
      </w:r>
      <w:r w:rsidR="006026BC" w:rsidRPr="007721FB">
        <w:rPr>
          <w:rFonts w:ascii="Times New Roman" w:hAnsi="Times New Roman" w:cs="Times New Roman"/>
          <w:sz w:val="24"/>
          <w:szCs w:val="24"/>
        </w:rPr>
        <w:t>O</w:t>
      </w:r>
      <w:r w:rsidR="00A7280D" w:rsidRPr="007721FB">
        <w:rPr>
          <w:rFonts w:ascii="Times New Roman" w:hAnsi="Times New Roman" w:cs="Times New Roman"/>
          <w:sz w:val="24"/>
          <w:szCs w:val="24"/>
        </w:rPr>
        <w:t>nce in</w:t>
      </w:r>
      <w:r w:rsidR="0031358D" w:rsidRPr="007721FB">
        <w:rPr>
          <w:rFonts w:ascii="Times New Roman" w:hAnsi="Times New Roman" w:cs="Times New Roman"/>
          <w:sz w:val="24"/>
          <w:szCs w:val="24"/>
        </w:rPr>
        <w:t xml:space="preserve"> the vicinity of</w:t>
      </w:r>
      <w:r w:rsidR="00A7280D" w:rsidRPr="007721FB">
        <w:rPr>
          <w:rFonts w:ascii="Times New Roman" w:hAnsi="Times New Roman" w:cs="Times New Roman"/>
          <w:sz w:val="24"/>
          <w:szCs w:val="24"/>
        </w:rPr>
        <w:t xml:space="preserve"> skeletal tissues</w:t>
      </w:r>
      <w:r w:rsidR="001D401E" w:rsidRPr="007721FB">
        <w:rPr>
          <w:rFonts w:ascii="Times New Roman" w:hAnsi="Times New Roman" w:cs="Times New Roman"/>
          <w:sz w:val="24"/>
          <w:szCs w:val="24"/>
        </w:rPr>
        <w:t>,</w:t>
      </w:r>
      <w:r w:rsidR="00696BAA" w:rsidRPr="007721FB">
        <w:rPr>
          <w:rFonts w:ascii="Times New Roman" w:hAnsi="Times New Roman" w:cs="Times New Roman"/>
          <w:sz w:val="24"/>
          <w:szCs w:val="24"/>
        </w:rPr>
        <w:t xml:space="preserve"> nanocarriers </w:t>
      </w:r>
      <w:r w:rsidRPr="007721FB">
        <w:rPr>
          <w:rFonts w:ascii="Times New Roman" w:hAnsi="Times New Roman" w:cs="Times New Roman"/>
          <w:sz w:val="24"/>
          <w:szCs w:val="24"/>
        </w:rPr>
        <w:t xml:space="preserve">are transported by the nutrient arteries </w:t>
      </w:r>
      <w:r w:rsidR="006958DE" w:rsidRPr="007721FB">
        <w:rPr>
          <w:rFonts w:ascii="Times New Roman" w:hAnsi="Times New Roman" w:cs="Times New Roman"/>
          <w:sz w:val="24"/>
          <w:szCs w:val="24"/>
        </w:rPr>
        <w:t xml:space="preserve">that penetrate the bone cortex </w:t>
      </w:r>
      <w:r w:rsidR="00EF5D8F" w:rsidRPr="007721FB">
        <w:rPr>
          <w:rFonts w:ascii="Times New Roman" w:hAnsi="Times New Roman" w:cs="Times New Roman"/>
          <w:sz w:val="24"/>
          <w:szCs w:val="24"/>
        </w:rPr>
        <w:t>and give rise to</w:t>
      </w:r>
      <w:r w:rsidR="006958DE" w:rsidRPr="007721FB">
        <w:rPr>
          <w:rFonts w:ascii="Times New Roman" w:hAnsi="Times New Roman" w:cs="Times New Roman"/>
          <w:sz w:val="24"/>
          <w:szCs w:val="24"/>
        </w:rPr>
        <w:t xml:space="preserve"> cortical capillaries that connect to</w:t>
      </w:r>
      <w:r w:rsidR="00EF5D8F" w:rsidRPr="007721FB">
        <w:rPr>
          <w:rFonts w:ascii="Times New Roman" w:hAnsi="Times New Roman" w:cs="Times New Roman"/>
          <w:sz w:val="24"/>
          <w:szCs w:val="24"/>
        </w:rPr>
        <w:t xml:space="preserve"> the medullar vascular capillaries</w:t>
      </w:r>
      <w:r w:rsidR="00836B1D" w:rsidRPr="007721FB">
        <w:rPr>
          <w:rFonts w:ascii="Times New Roman" w:hAnsi="Times New Roman" w:cs="Times New Roman"/>
          <w:sz w:val="24"/>
          <w:szCs w:val="24"/>
        </w:rPr>
        <w:t>. These capillaries</w:t>
      </w:r>
      <w:r w:rsidR="00EF5D8F" w:rsidRPr="007721FB">
        <w:rPr>
          <w:rFonts w:ascii="Times New Roman" w:hAnsi="Times New Roman" w:cs="Times New Roman"/>
          <w:sz w:val="24"/>
          <w:szCs w:val="24"/>
        </w:rPr>
        <w:t xml:space="preserve"> form</w:t>
      </w:r>
      <w:r w:rsidR="006958DE" w:rsidRPr="007721FB">
        <w:rPr>
          <w:rFonts w:ascii="Times New Roman" w:hAnsi="Times New Roman" w:cs="Times New Roman"/>
          <w:sz w:val="24"/>
          <w:szCs w:val="24"/>
        </w:rPr>
        <w:t xml:space="preserve"> a dense blood networ</w:t>
      </w:r>
      <w:r w:rsidR="00EC68CC" w:rsidRPr="007721FB">
        <w:rPr>
          <w:rFonts w:ascii="Times New Roman" w:hAnsi="Times New Roman" w:cs="Times New Roman"/>
          <w:sz w:val="24"/>
          <w:szCs w:val="24"/>
        </w:rPr>
        <w:t>k</w:t>
      </w:r>
      <w:r w:rsidR="006958DE" w:rsidRPr="007721FB">
        <w:rPr>
          <w:rFonts w:ascii="Times New Roman" w:hAnsi="Times New Roman" w:cs="Times New Roman"/>
          <w:sz w:val="24"/>
          <w:szCs w:val="24"/>
        </w:rPr>
        <w:t xml:space="preserve"> inside the bone marrow. </w:t>
      </w:r>
      <w:r w:rsidR="00EF5D8F" w:rsidRPr="007721FB">
        <w:rPr>
          <w:rFonts w:ascii="Times New Roman" w:hAnsi="Times New Roman" w:cs="Times New Roman"/>
          <w:sz w:val="24"/>
        </w:rPr>
        <w:t xml:space="preserve">While </w:t>
      </w:r>
      <w:r w:rsidR="001D5F83" w:rsidRPr="007721FB">
        <w:rPr>
          <w:rFonts w:ascii="Times New Roman" w:hAnsi="Times New Roman" w:cs="Times New Roman"/>
          <w:sz w:val="24"/>
        </w:rPr>
        <w:t>vessels</w:t>
      </w:r>
      <w:r w:rsidR="00EF5D8F" w:rsidRPr="007721FB">
        <w:rPr>
          <w:rFonts w:ascii="Times New Roman" w:hAnsi="Times New Roman" w:cs="Times New Roman"/>
          <w:sz w:val="24"/>
        </w:rPr>
        <w:t xml:space="preserve"> in cortical bone are characterized by a continuous lining of endothelial cells with no phago-endocytic activity, the microvascular bed in bone marrow sinusoids possesses phago-endocytic activity and several intercellular gaps often appearing to have an incomplete basement membrane</w:t>
      </w:r>
      <w:r w:rsidR="00B02D2F" w:rsidRPr="007721FB">
        <w:rPr>
          <w:rFonts w:ascii="Times New Roman" w:hAnsi="Times New Roman" w:cs="Times New Roman"/>
          <w:sz w:val="24"/>
        </w:rPr>
        <w:t xml:space="preserve"> </w:t>
      </w:r>
      <w:r w:rsidR="00EF5D8F" w:rsidRPr="007721FB">
        <w:rPr>
          <w:rFonts w:ascii="Times New Roman" w:hAnsi="Times New Roman" w:cs="Times New Roman"/>
          <w:sz w:val="24"/>
        </w:rPr>
        <w:fldChar w:fldCharType="begin" w:fldLock="1"/>
      </w:r>
      <w:r w:rsidR="00B31E12" w:rsidRPr="007721FB">
        <w:rPr>
          <w:rFonts w:ascii="Times New Roman" w:hAnsi="Times New Roman" w:cs="Times New Roman"/>
          <w:sz w:val="24"/>
        </w:rPr>
        <w:instrText>ADDIN CSL_CITATION { "citationItems" : [ { "id" : "ITEM-1", "itemData" : { "DOI" : "10.1186/2040-2384-2-14", "ISBN" : "2040-2384", "ISSN" : "2040-2384", "PMID" : "20701757", "abstract" : "Much of our current understanding of microvascular permeability is based on the findings of classic experimental studies of blood capillary permeability to various-sized lipid-insoluble endogenous and non-endogenous macromolecules. According to the classic small pore theory of microvascular permeability, which was formulated on the basis of the findings of studies on the transcapillary flow rates of various-sized systemically or regionally perfused endogenous macromolecules, transcapillary exchange across the capillary wall takes place through a single population of small pores that are approximately 6 nm in diameter; whereas, according to the dual pore theory of microvascular permeability, which was formulated on the basis of the findings of studies on the accumulation of various-sized systemically or regionally perfused non-endogenous macromolecules in the locoregional tissue lymphatic drainages, transcapillary exchange across the capillary wall also takes place through a separate population of large pores, or capillary leaks, that are between 24 and 60 nm in diameter. The classification of blood capillary types on the basis of differences in the physiologic upper limits of pore size to transvascular flow highlights the differences in the transcapillary exchange routes for the transvascular transport of endogenous and non-endogenous macromolecules across the capillary walls of different blood capillary types.", "author" : [ { "dropping-particle" : "", "family" : "Sarin", "given" : "Hemant", "non-dropping-particle" : "", "parse-names" : false, "suffix" : "" } ], "container-title" : "Journal of Angiogenesis Research", "id" : "ITEM-1", "issue" : "1", "issued" : { "date-parts" : [ [ "2010" ] ] }, "page" : "1-19", "title" : "Physiologic upper limits of pore size of different blood capillary types and another perspective on the dual pore theory of microvascular permeability", "type" : "article-journal", "volume" : "2" }, "uris" : [ "http://www.mendeley.com/documents/?uuid=d0d550d7-afcd-4418-94b0-6f28322fd87e", "http://www.mendeley.com/documents/?uuid=8bb0a9fd-9faf-4029-89a8-255f34ff5801" ] }, { "id" : "ITEM-2", "itemData" : { "DOI" : "10.1016/j.jbiomech.2014.12.013", "ISBN" : "0324141122", "ISSN" : "18732380", "PMID" : "25666410", "abstract" : "There are two main types of fluid in bone tissue, blood and interstitial fluid. The chemical composition of these fluids varies with time and location in bone. Blood arrives through the arterial system containing oxygen and other nutrients and the blood components depart via the venous system containing less oxygen and reduced nutrition. Within the bone, as within other tissues, substances pass from the blood through the arterial walls into the interstitial fluid. The movement of the interstitial fluid carries these substances to the cells within the bone and, at the same time, carries off the waste materials from the cells. Bone tissue would not live without these fluid movements. The development of a model for poroelastic materials with hierarchical pore space architecture for the description of blood flow and interstitial fluid flow in living bone tissue is reviewed. The model is applied to the problem of determining the exchange of pore fluid between the vascular porosity and the lacunar-canalicular porosity in bone tissue due to cyclic mechanical loading and blood pressure. These results are basic to the understanding of interstitial flow in bone tissue that, in turn, is basic to understanding of nutrient transport from the vasculature to the bone cells buried in the bone tissue and to the process of mechanotransduction by these cells.", "author" : [ { "dropping-particle" : "", "family" : "Cowin", "given" : "Stephen C.", "non-dropping-particle" : "", "parse-names" : false, "suffix" : "" }, { "dropping-particle" : "", "family" : "Cardoso", "given" : "Luis", "non-dropping-particle" : "", "parse-names" : false, "suffix" : "" } ], "container-title" : "Journal of Biomechanics", "id" : "ITEM-2", "issue" : "5", "issued" : { "date-parts" : [ [ "2015" ] ] }, "page" : "842-854", "publisher" : "Elsevier", "title" : "Blood and interstitial flow in the hierarchical pore space architecture of bone tissue", "type" : "article-journal", "volume" : "48" }, "uris" : [ "http://www.mendeley.com/documents/?uuid=206560dd-71bd-4ab5-b9f9-86bba83ac340", "http://www.mendeley.com/documents/?uuid=99fc37b5-edb5-443b-ba27-366bbc3cc484", "http://www.mendeley.com/documents/?uuid=172482e0-124c-4e8f-b034-e2fdd9fd5c95" ] } ], "mendeley" : { "formattedCitation" : "[24,32]", "plainTextFormattedCitation" : "[24,32]", "previouslyFormattedCitation" : "[24,32]" }, "properties" : { "noteIndex" : 0 }, "schema" : "https://github.com/citation-style-language/schema/raw/master/csl-citation.json" }</w:instrText>
      </w:r>
      <w:r w:rsidR="00EF5D8F" w:rsidRPr="007721FB">
        <w:rPr>
          <w:rFonts w:ascii="Times New Roman" w:hAnsi="Times New Roman" w:cs="Times New Roman"/>
          <w:sz w:val="24"/>
        </w:rPr>
        <w:fldChar w:fldCharType="separate"/>
      </w:r>
      <w:r w:rsidR="00B31E12" w:rsidRPr="007721FB">
        <w:rPr>
          <w:rFonts w:ascii="Times New Roman" w:hAnsi="Times New Roman" w:cs="Times New Roman"/>
          <w:noProof/>
          <w:sz w:val="24"/>
        </w:rPr>
        <w:t>[24,32]</w:t>
      </w:r>
      <w:r w:rsidR="00EF5D8F" w:rsidRPr="007721FB">
        <w:rPr>
          <w:rFonts w:ascii="Times New Roman" w:hAnsi="Times New Roman" w:cs="Times New Roman"/>
          <w:sz w:val="24"/>
        </w:rPr>
        <w:fldChar w:fldCharType="end"/>
      </w:r>
      <w:r w:rsidR="00EF5D8F" w:rsidRPr="007721FB">
        <w:rPr>
          <w:rFonts w:ascii="Times New Roman" w:hAnsi="Times New Roman" w:cs="Times New Roman"/>
          <w:sz w:val="24"/>
        </w:rPr>
        <w:t>.</w:t>
      </w:r>
    </w:p>
    <w:p w14:paraId="053AE70F" w14:textId="2B2D863C" w:rsidR="0031674A" w:rsidRPr="007721FB" w:rsidRDefault="00EF5D8F" w:rsidP="0031674A">
      <w:pPr>
        <w:spacing w:after="0" w:line="240" w:lineRule="auto"/>
        <w:jc w:val="both"/>
        <w:rPr>
          <w:rFonts w:ascii="Times New Roman" w:hAnsi="Times New Roman" w:cs="Times New Roman"/>
          <w:sz w:val="24"/>
          <w:szCs w:val="24"/>
        </w:rPr>
      </w:pPr>
      <w:r w:rsidRPr="007721FB">
        <w:rPr>
          <w:rFonts w:ascii="Times New Roman" w:hAnsi="Times New Roman" w:cs="Times New Roman"/>
          <w:sz w:val="24"/>
          <w:szCs w:val="24"/>
        </w:rPr>
        <w:t xml:space="preserve">   </w:t>
      </w:r>
      <w:r w:rsidR="001D5F83" w:rsidRPr="007721FB">
        <w:rPr>
          <w:rFonts w:ascii="Times New Roman" w:hAnsi="Times New Roman" w:cs="Times New Roman"/>
          <w:sz w:val="24"/>
          <w:szCs w:val="24"/>
        </w:rPr>
        <w:t>Upon reaching the bone marrow</w:t>
      </w:r>
      <w:r w:rsidR="00B64050" w:rsidRPr="007721FB">
        <w:rPr>
          <w:rFonts w:ascii="Times New Roman" w:hAnsi="Times New Roman" w:cs="Times New Roman"/>
          <w:sz w:val="24"/>
          <w:szCs w:val="24"/>
        </w:rPr>
        <w:t xml:space="preserve"> vessels</w:t>
      </w:r>
      <w:r w:rsidR="001D5F83" w:rsidRPr="007721FB">
        <w:rPr>
          <w:rFonts w:ascii="Times New Roman" w:hAnsi="Times New Roman" w:cs="Times New Roman"/>
          <w:sz w:val="24"/>
          <w:szCs w:val="24"/>
        </w:rPr>
        <w:t>, n</w:t>
      </w:r>
      <w:r w:rsidR="006958DE" w:rsidRPr="007721FB">
        <w:rPr>
          <w:rFonts w:ascii="Times New Roman" w:hAnsi="Times New Roman" w:cs="Times New Roman"/>
          <w:sz w:val="24"/>
          <w:szCs w:val="24"/>
        </w:rPr>
        <w:t>anocarriers</w:t>
      </w:r>
      <w:r w:rsidR="001D401E" w:rsidRPr="007721FB">
        <w:rPr>
          <w:rFonts w:ascii="Times New Roman" w:hAnsi="Times New Roman" w:cs="Times New Roman"/>
          <w:sz w:val="24"/>
          <w:szCs w:val="24"/>
        </w:rPr>
        <w:t xml:space="preserve"> </w:t>
      </w:r>
      <w:r w:rsidR="00CC7CE6" w:rsidRPr="007721FB">
        <w:rPr>
          <w:rFonts w:ascii="Times New Roman" w:hAnsi="Times New Roman" w:cs="Times New Roman"/>
          <w:sz w:val="24"/>
          <w:szCs w:val="24"/>
        </w:rPr>
        <w:t>can</w:t>
      </w:r>
      <w:r w:rsidR="006958DE" w:rsidRPr="007721FB">
        <w:rPr>
          <w:rFonts w:ascii="Times New Roman" w:hAnsi="Times New Roman" w:cs="Times New Roman"/>
          <w:sz w:val="24"/>
          <w:szCs w:val="24"/>
        </w:rPr>
        <w:t xml:space="preserve"> then</w:t>
      </w:r>
      <w:r w:rsidR="00B64050" w:rsidRPr="007721FB">
        <w:rPr>
          <w:rFonts w:ascii="Times New Roman" w:hAnsi="Times New Roman" w:cs="Times New Roman"/>
          <w:sz w:val="24"/>
          <w:szCs w:val="24"/>
        </w:rPr>
        <w:t xml:space="preserve"> transverse it</w:t>
      </w:r>
      <w:r w:rsidR="00004311" w:rsidRPr="007721FB">
        <w:rPr>
          <w:rFonts w:ascii="Times New Roman" w:hAnsi="Times New Roman" w:cs="Times New Roman"/>
          <w:sz w:val="24"/>
          <w:szCs w:val="24"/>
        </w:rPr>
        <w:t xml:space="preserve"> </w:t>
      </w:r>
      <w:r w:rsidRPr="007721FB">
        <w:rPr>
          <w:rFonts w:ascii="Times New Roman" w:hAnsi="Times New Roman" w:cs="Times New Roman"/>
          <w:sz w:val="24"/>
          <w:szCs w:val="24"/>
        </w:rPr>
        <w:t>by extravasating</w:t>
      </w:r>
      <w:r w:rsidR="001D401E" w:rsidRPr="007721FB">
        <w:rPr>
          <w:rFonts w:ascii="Times New Roman" w:hAnsi="Times New Roman" w:cs="Times New Roman"/>
          <w:sz w:val="24"/>
          <w:szCs w:val="24"/>
        </w:rPr>
        <w:t xml:space="preserve"> </w:t>
      </w:r>
      <w:r w:rsidR="008B1EA4" w:rsidRPr="007721FB">
        <w:rPr>
          <w:rFonts w:ascii="Times New Roman" w:hAnsi="Times New Roman" w:cs="Times New Roman"/>
          <w:sz w:val="24"/>
          <w:szCs w:val="24"/>
        </w:rPr>
        <w:t>either</w:t>
      </w:r>
      <w:r w:rsidR="008B1EA4" w:rsidRPr="007721FB" w:rsidDel="004717AB">
        <w:rPr>
          <w:rFonts w:ascii="Times New Roman" w:hAnsi="Times New Roman" w:cs="Times New Roman"/>
          <w:i/>
          <w:sz w:val="24"/>
          <w:szCs w:val="24"/>
        </w:rPr>
        <w:t xml:space="preserve"> </w:t>
      </w:r>
      <w:r w:rsidR="00CC0755" w:rsidRPr="007721FB">
        <w:rPr>
          <w:rFonts w:ascii="Times New Roman" w:hAnsi="Times New Roman" w:cs="Times New Roman"/>
          <w:i/>
          <w:sz w:val="24"/>
          <w:szCs w:val="24"/>
        </w:rPr>
        <w:t>via</w:t>
      </w:r>
      <w:r w:rsidR="00004311" w:rsidRPr="007721FB">
        <w:rPr>
          <w:rFonts w:ascii="Times New Roman" w:hAnsi="Times New Roman" w:cs="Times New Roman"/>
          <w:i/>
          <w:sz w:val="24"/>
          <w:szCs w:val="24"/>
        </w:rPr>
        <w:t xml:space="preserve"> </w:t>
      </w:r>
      <w:r w:rsidR="00004311" w:rsidRPr="007721FB">
        <w:rPr>
          <w:rFonts w:ascii="Times New Roman" w:hAnsi="Times New Roman" w:cs="Times New Roman"/>
          <w:sz w:val="24"/>
          <w:szCs w:val="24"/>
        </w:rPr>
        <w:t>(i)</w:t>
      </w:r>
      <w:r w:rsidR="00CC0755" w:rsidRPr="007721FB">
        <w:rPr>
          <w:rFonts w:ascii="Times New Roman" w:hAnsi="Times New Roman" w:cs="Times New Roman"/>
          <w:i/>
          <w:sz w:val="24"/>
          <w:szCs w:val="24"/>
        </w:rPr>
        <w:t xml:space="preserve"> </w:t>
      </w:r>
      <w:r w:rsidR="00CC0755" w:rsidRPr="007721FB">
        <w:rPr>
          <w:rFonts w:ascii="Times New Roman" w:hAnsi="Times New Roman" w:cs="Times New Roman"/>
          <w:sz w:val="24"/>
          <w:szCs w:val="24"/>
        </w:rPr>
        <w:t>intercellular gaps</w:t>
      </w:r>
      <w:r w:rsidR="004717AB" w:rsidRPr="007721FB">
        <w:rPr>
          <w:rFonts w:ascii="Times New Roman" w:hAnsi="Times New Roman" w:cs="Times New Roman"/>
          <w:sz w:val="24"/>
          <w:szCs w:val="24"/>
        </w:rPr>
        <w:t xml:space="preserve"> (</w:t>
      </w:r>
      <w:r w:rsidR="00CC7CE6" w:rsidRPr="007721FB">
        <w:rPr>
          <w:rFonts w:ascii="Times New Roman" w:hAnsi="Times New Roman" w:cs="Times New Roman"/>
          <w:sz w:val="24"/>
          <w:szCs w:val="24"/>
        </w:rPr>
        <w:t>paracellular</w:t>
      </w:r>
      <w:r w:rsidR="00590BEE" w:rsidRPr="007721FB">
        <w:rPr>
          <w:rFonts w:ascii="Times New Roman" w:hAnsi="Times New Roman" w:cs="Times New Roman"/>
          <w:sz w:val="24"/>
          <w:szCs w:val="24"/>
        </w:rPr>
        <w:t xml:space="preserve"> pathway</w:t>
      </w:r>
      <w:r w:rsidR="00CC0755" w:rsidRPr="007721FB">
        <w:rPr>
          <w:rFonts w:ascii="Times New Roman" w:hAnsi="Times New Roman" w:cs="Times New Roman"/>
          <w:sz w:val="24"/>
          <w:szCs w:val="24"/>
        </w:rPr>
        <w:t>)</w:t>
      </w:r>
      <w:r w:rsidR="00A85098" w:rsidRPr="007721FB">
        <w:rPr>
          <w:rFonts w:ascii="Times New Roman" w:hAnsi="Times New Roman" w:cs="Times New Roman"/>
          <w:sz w:val="24"/>
          <w:szCs w:val="24"/>
        </w:rPr>
        <w:t>,</w:t>
      </w:r>
      <w:r w:rsidR="001D401E" w:rsidRPr="007721FB">
        <w:rPr>
          <w:rFonts w:ascii="Times New Roman" w:hAnsi="Times New Roman" w:cs="Times New Roman"/>
          <w:sz w:val="24"/>
          <w:szCs w:val="24"/>
        </w:rPr>
        <w:t xml:space="preserve"> or</w:t>
      </w:r>
      <w:r w:rsidR="00004311" w:rsidRPr="007721FB">
        <w:rPr>
          <w:rFonts w:ascii="Times New Roman" w:hAnsi="Times New Roman" w:cs="Times New Roman"/>
          <w:sz w:val="24"/>
          <w:szCs w:val="24"/>
        </w:rPr>
        <w:t xml:space="preserve"> (ii)</w:t>
      </w:r>
      <w:r w:rsidR="001D401E" w:rsidRPr="007721FB">
        <w:rPr>
          <w:rFonts w:ascii="Times New Roman" w:hAnsi="Times New Roman" w:cs="Times New Roman"/>
          <w:sz w:val="24"/>
          <w:szCs w:val="24"/>
        </w:rPr>
        <w:t xml:space="preserve"> by phago</w:t>
      </w:r>
      <w:r w:rsidR="00033AE8" w:rsidRPr="007721FB">
        <w:rPr>
          <w:rFonts w:ascii="Times New Roman" w:hAnsi="Times New Roman" w:cs="Times New Roman"/>
          <w:sz w:val="24"/>
          <w:szCs w:val="24"/>
        </w:rPr>
        <w:t>-endo</w:t>
      </w:r>
      <w:r w:rsidR="001D401E" w:rsidRPr="007721FB">
        <w:rPr>
          <w:rFonts w:ascii="Times New Roman" w:hAnsi="Times New Roman" w:cs="Times New Roman"/>
          <w:sz w:val="24"/>
          <w:szCs w:val="24"/>
        </w:rPr>
        <w:t xml:space="preserve">cytic </w:t>
      </w:r>
      <w:r w:rsidR="00033AE8" w:rsidRPr="007721FB">
        <w:rPr>
          <w:rFonts w:ascii="Times New Roman" w:hAnsi="Times New Roman" w:cs="Times New Roman"/>
          <w:sz w:val="24"/>
          <w:szCs w:val="24"/>
        </w:rPr>
        <w:t xml:space="preserve">uptake </w:t>
      </w:r>
      <w:r w:rsidR="00E15E54" w:rsidRPr="007721FB">
        <w:rPr>
          <w:rFonts w:ascii="Times New Roman" w:hAnsi="Times New Roman" w:cs="Times New Roman"/>
          <w:sz w:val="24"/>
          <w:szCs w:val="24"/>
        </w:rPr>
        <w:t>throughout the</w:t>
      </w:r>
      <w:r w:rsidR="00004311" w:rsidRPr="007721FB">
        <w:rPr>
          <w:rFonts w:ascii="Times New Roman" w:hAnsi="Times New Roman" w:cs="Times New Roman"/>
          <w:sz w:val="24"/>
          <w:szCs w:val="24"/>
        </w:rPr>
        <w:t xml:space="preserve"> </w:t>
      </w:r>
      <w:r w:rsidR="00033AE8" w:rsidRPr="007721FB">
        <w:rPr>
          <w:rFonts w:ascii="Times New Roman" w:hAnsi="Times New Roman" w:cs="Times New Roman"/>
          <w:sz w:val="24"/>
          <w:szCs w:val="24"/>
        </w:rPr>
        <w:t>endothelium (</w:t>
      </w:r>
      <w:r w:rsidR="00864716" w:rsidRPr="007721FB">
        <w:rPr>
          <w:rFonts w:ascii="Times New Roman" w:hAnsi="Times New Roman" w:cs="Times New Roman"/>
          <w:sz w:val="24"/>
          <w:szCs w:val="24"/>
        </w:rPr>
        <w:t>transcellular</w:t>
      </w:r>
      <w:r w:rsidR="001D401E" w:rsidRPr="007721FB">
        <w:rPr>
          <w:rFonts w:ascii="Times New Roman" w:hAnsi="Times New Roman" w:cs="Times New Roman"/>
          <w:sz w:val="24"/>
          <w:szCs w:val="24"/>
        </w:rPr>
        <w:t xml:space="preserve"> pathway</w:t>
      </w:r>
      <w:r w:rsidR="00033AE8" w:rsidRPr="007721FB">
        <w:rPr>
          <w:rFonts w:ascii="Times New Roman" w:hAnsi="Times New Roman" w:cs="Times New Roman"/>
          <w:sz w:val="24"/>
          <w:szCs w:val="24"/>
        </w:rPr>
        <w:t>)</w:t>
      </w:r>
      <w:r w:rsidR="00491164" w:rsidRPr="007721FB">
        <w:rPr>
          <w:rFonts w:ascii="Times New Roman" w:hAnsi="Times New Roman" w:cs="Times New Roman"/>
          <w:sz w:val="24"/>
          <w:szCs w:val="24"/>
        </w:rPr>
        <w:t xml:space="preserve"> </w:t>
      </w:r>
      <w:r w:rsidR="00FD1520"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"DOI" : "10.1038/nrd4333", "ISBN" : "1474-1784 (Electronic)\\r1474-1776 (Linking)", "ISSN" : "1474-1784", "PMID" : "25287120", "abstract" : "The use of nanoparticulate pharmaceutical drug delivery systems (NDDSs) to enhance the in vivo effectiveness of drugs is now well established. The development of multifunctional and stimulus-sensitive NDDSs is an active area of current research. Such NDDSs can have long circulation times, target the site of the disease and enhance the intracellular delivery of a drug. This type of NDDS can also respond to local stimuli that are characteristic of the pathological site by, for example, releasing an entrapped drug or shedding a protective coating, thus facilitating the interaction between drug-loaded nanocarriers and target cells or tissues. In addition, imaging contrast moieties can be attached to these carriers to track their real-time biodistribution and accumulation in target cells or tissues. Here, I highlight recent developments with multifunctional and stimuli-sensitive NDDSs and their therapeutic potential for diseases including cancer, cardiovascular diseases and infectious diseases.", "author" : [ { "dropping-particle" : "", "family" : "Torchilin", "given" : "Vladimir P", "non-dropping-particle" : "", "parse-names" : false, "suffix" : "" } ], "container-title" : "Nature reviews. Drug discovery", "id" : "ITEM-1", "issue" : "11", "issued" : { "date-parts" : [ [ "2014" ] ] }, "page" : "813-827", "publisher" : "Nature Publishing Group", "title" : "Multifunctional, stimuli-sensitive nanoparticulate systems for drug delivery.", "type" : "article-journal", "volume" : "13" }, "uris" : [ "http://www.mendeley.com/documents/?uuid=c8293a08-56f8-4e7a-9ce7-1e8f5f547b19" ] } ], "mendeley" : { "formattedCitation" : "[33]", "plainTextFormattedCitation" : "[33]", "previouslyFormattedCitation" : "[33]" }, "properties" : { "noteIndex" : 0 }, "schema" : "https://github.com/citation-style-language/schema/raw/master/csl-citation.json" }</w:instrText>
      </w:r>
      <w:r w:rsidR="00FD1520"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[33]</w:t>
      </w:r>
      <w:r w:rsidR="00FD1520" w:rsidRPr="007721FB">
        <w:rPr>
          <w:rFonts w:ascii="Times New Roman" w:hAnsi="Times New Roman" w:cs="Times New Roman"/>
          <w:sz w:val="24"/>
          <w:szCs w:val="24"/>
        </w:rPr>
        <w:fldChar w:fldCharType="end"/>
      </w:r>
      <w:r w:rsidR="00E710B8" w:rsidRPr="007721FB">
        <w:rPr>
          <w:rFonts w:ascii="Times New Roman" w:hAnsi="Times New Roman" w:cs="Times New Roman"/>
          <w:sz w:val="24"/>
          <w:szCs w:val="24"/>
        </w:rPr>
        <w:t xml:space="preserve"> </w:t>
      </w:r>
      <w:r w:rsidR="00B64050" w:rsidRPr="007721FB">
        <w:rPr>
          <w:rFonts w:ascii="Times New Roman" w:hAnsi="Times New Roman" w:cs="Times New Roman"/>
          <w:sz w:val="24"/>
          <w:szCs w:val="24"/>
        </w:rPr>
        <w:t>(Figure 1</w:t>
      </w:r>
      <w:r w:rsidR="00E710B8" w:rsidRPr="007721FB">
        <w:rPr>
          <w:rFonts w:ascii="Times New Roman" w:hAnsi="Times New Roman" w:cs="Times New Roman"/>
          <w:sz w:val="24"/>
          <w:szCs w:val="24"/>
        </w:rPr>
        <w:t>)</w:t>
      </w:r>
      <w:r w:rsidR="004F157A" w:rsidRPr="007721FB">
        <w:rPr>
          <w:rFonts w:ascii="Times New Roman" w:hAnsi="Times New Roman" w:cs="Times New Roman"/>
          <w:sz w:val="24"/>
          <w:szCs w:val="24"/>
        </w:rPr>
        <w:t>.</w:t>
      </w:r>
    </w:p>
    <w:p w14:paraId="2E105B40" w14:textId="52BD7985" w:rsidR="00E710B8" w:rsidRPr="007721FB" w:rsidRDefault="00E710B8" w:rsidP="0031674A">
      <w:pPr>
        <w:spacing w:after="0" w:line="240" w:lineRule="auto"/>
        <w:jc w:val="both"/>
        <w:rPr>
          <w:rFonts w:ascii="Times New Roman" w:hAnsi="Times New Roman" w:cs="Times New Roman"/>
          <w:sz w:val="24"/>
          <w:szCs w:val="24"/>
        </w:rPr>
      </w:pPr>
    </w:p>
    <w:p w14:paraId="49EBBD15" w14:textId="50A99F1E" w:rsidR="00B64050" w:rsidRPr="007721FB" w:rsidRDefault="00B64050" w:rsidP="0031674A">
      <w:pPr>
        <w:spacing w:after="0" w:line="240" w:lineRule="auto"/>
        <w:jc w:val="both"/>
        <w:rPr>
          <w:rFonts w:ascii="Times New Roman" w:hAnsi="Times New Roman" w:cs="Times New Roman"/>
          <w:sz w:val="24"/>
          <w:szCs w:val="24"/>
        </w:rPr>
      </w:pPr>
    </w:p>
    <w:p w14:paraId="164A315B" w14:textId="0DF092CB" w:rsidR="00B64050" w:rsidRPr="007721FB" w:rsidRDefault="003F197A" w:rsidP="0031674A">
      <w:pPr>
        <w:spacing w:after="0" w:line="240" w:lineRule="auto"/>
        <w:jc w:val="both"/>
        <w:rPr>
          <w:rFonts w:ascii="Times New Roman" w:hAnsi="Times New Roman" w:cs="Times New Roman"/>
          <w:sz w:val="24"/>
          <w:szCs w:val="24"/>
        </w:rPr>
      </w:pPr>
      <w:r w:rsidRPr="007721FB">
        <w:rPr>
          <w:noProof/>
        </w:rPr>
        <w:lastRenderedPageBreak/>
        <w:drawing>
          <wp:inline distT="0" distB="0" distL="0" distR="0" wp14:anchorId="0661C7A1" wp14:editId="3AF5CF48">
            <wp:extent cx="5400040" cy="2591822"/>
            <wp:effectExtent l="0" t="0" r="0" b="0"/>
            <wp:docPr id="5" name="Imagem 5" descr="C:\Users\Vítor Gaspar\AppData\Local\Microsoft\Windows\INetCache\Content.Word\Fgure 2 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ítor Gaspar\AppData\Local\Microsoft\Windows\INetCache\Content.Word\Fgure 2 FINAL.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2591822"/>
                    </a:xfrm>
                    <a:prstGeom prst="rect">
                      <a:avLst/>
                    </a:prstGeom>
                    <a:noFill/>
                    <a:ln>
                      <a:noFill/>
                    </a:ln>
                  </pic:spPr>
                </pic:pic>
              </a:graphicData>
            </a:graphic>
          </wp:inline>
        </w:drawing>
      </w:r>
    </w:p>
    <w:p w14:paraId="51795AB3" w14:textId="46A1CDF7" w:rsidR="00E710B8" w:rsidRPr="007721FB" w:rsidRDefault="00B64050" w:rsidP="0031674A">
      <w:pPr>
        <w:spacing w:after="0" w:line="240" w:lineRule="auto"/>
        <w:jc w:val="both"/>
        <w:rPr>
          <w:rFonts w:ascii="Times New Roman" w:hAnsi="Times New Roman" w:cs="Times New Roman"/>
          <w:sz w:val="24"/>
          <w:szCs w:val="24"/>
        </w:rPr>
      </w:pPr>
      <w:r w:rsidRPr="007721FB">
        <w:rPr>
          <w:rFonts w:ascii="Times New Roman" w:hAnsi="Times New Roman" w:cs="Times New Roman"/>
          <w:b/>
          <w:sz w:val="24"/>
          <w:szCs w:val="24"/>
        </w:rPr>
        <w:t xml:space="preserve">Figure 1. </w:t>
      </w:r>
      <w:r w:rsidRPr="007721FB">
        <w:rPr>
          <w:rFonts w:ascii="Times New Roman" w:hAnsi="Times New Roman" w:cs="Times New Roman"/>
          <w:sz w:val="24"/>
          <w:szCs w:val="24"/>
        </w:rPr>
        <w:t>Schematics of nanocarriers biological barriers and routes of extravasation from the sinusoidal vasculature into the extravascular space.</w:t>
      </w:r>
      <w:r w:rsidR="003F197A" w:rsidRPr="007721FB">
        <w:rPr>
          <w:rFonts w:ascii="Times New Roman" w:hAnsi="Times New Roman" w:cs="Times New Roman"/>
          <w:sz w:val="24"/>
          <w:szCs w:val="24"/>
        </w:rPr>
        <w:t xml:space="preserve"> Green text represents major barriers to nanocarrier delivery to bone cells (bone marrow ECM, macrophage-mediated phagocytosis, unknown fenestration size, bone canopy and its osteomacs </w:t>
      </w:r>
      <w:r w:rsidR="00B02D2F" w:rsidRPr="007721FB">
        <w:rPr>
          <w:rFonts w:ascii="Times New Roman" w:hAnsi="Times New Roman" w:cs="Times New Roman"/>
          <w:sz w:val="24"/>
          <w:szCs w:val="24"/>
        </w:rPr>
        <w:t xml:space="preserve">- </w:t>
      </w:r>
      <w:r w:rsidR="003F197A" w:rsidRPr="007721FB">
        <w:rPr>
          <w:rFonts w:ascii="Times New Roman" w:hAnsi="Times New Roman" w:cs="Times New Roman"/>
          <w:sz w:val="24"/>
          <w:szCs w:val="24"/>
        </w:rPr>
        <w:t>generally present in bone remodeling/regeneration stages).</w:t>
      </w:r>
    </w:p>
    <w:p w14:paraId="62624B08" w14:textId="77777777" w:rsidR="00B64050" w:rsidRPr="007721FB" w:rsidRDefault="00B64050" w:rsidP="0031674A">
      <w:pPr>
        <w:spacing w:after="0" w:line="240" w:lineRule="auto"/>
        <w:jc w:val="both"/>
        <w:rPr>
          <w:rFonts w:ascii="Times New Roman" w:hAnsi="Times New Roman" w:cs="Times New Roman"/>
          <w:sz w:val="24"/>
          <w:szCs w:val="24"/>
        </w:rPr>
      </w:pPr>
    </w:p>
    <w:p w14:paraId="03EFC4D8" w14:textId="5BB9EE91" w:rsidR="00846ED1" w:rsidRPr="007721FB" w:rsidRDefault="00A7280D" w:rsidP="004717AB">
      <w:pPr>
        <w:spacing w:after="0" w:line="240" w:lineRule="auto"/>
        <w:jc w:val="both"/>
        <w:rPr>
          <w:rFonts w:ascii="Times New Roman" w:hAnsi="Times New Roman" w:cs="Times New Roman"/>
          <w:sz w:val="24"/>
          <w:szCs w:val="24"/>
        </w:rPr>
      </w:pPr>
      <w:r w:rsidRPr="007721FB">
        <w:rPr>
          <w:rFonts w:ascii="Times New Roman" w:hAnsi="Times New Roman" w:cs="Times New Roman"/>
          <w:sz w:val="24"/>
          <w:szCs w:val="24"/>
        </w:rPr>
        <w:t xml:space="preserve"> </w:t>
      </w:r>
      <w:r w:rsidR="00846ED1" w:rsidRPr="007721FB">
        <w:rPr>
          <w:rFonts w:ascii="Times New Roman" w:hAnsi="Times New Roman" w:cs="Times New Roman"/>
          <w:sz w:val="24"/>
          <w:szCs w:val="24"/>
        </w:rPr>
        <w:t xml:space="preserve">  </w:t>
      </w:r>
      <w:r w:rsidR="00076ABB" w:rsidRPr="007721FB">
        <w:rPr>
          <w:rFonts w:ascii="Times New Roman" w:hAnsi="Times New Roman" w:cs="Times New Roman"/>
          <w:sz w:val="24"/>
          <w:szCs w:val="24"/>
        </w:rPr>
        <w:t>In general, the</w:t>
      </w:r>
      <w:r w:rsidRPr="007721FB">
        <w:rPr>
          <w:rFonts w:ascii="Times New Roman" w:hAnsi="Times New Roman" w:cs="Times New Roman"/>
          <w:sz w:val="24"/>
          <w:szCs w:val="24"/>
        </w:rPr>
        <w:t xml:space="preserve"> </w:t>
      </w:r>
      <w:r w:rsidR="00033AE8" w:rsidRPr="007721FB">
        <w:rPr>
          <w:rFonts w:ascii="Times New Roman" w:hAnsi="Times New Roman" w:cs="Times New Roman"/>
          <w:sz w:val="24"/>
          <w:szCs w:val="24"/>
        </w:rPr>
        <w:t>mechanisms</w:t>
      </w:r>
      <w:r w:rsidRPr="007721FB">
        <w:rPr>
          <w:rFonts w:ascii="Times New Roman" w:hAnsi="Times New Roman" w:cs="Times New Roman"/>
          <w:sz w:val="24"/>
          <w:szCs w:val="24"/>
        </w:rPr>
        <w:t xml:space="preserve"> of accumulation</w:t>
      </w:r>
      <w:r w:rsidR="00033AE8" w:rsidRPr="007721FB">
        <w:rPr>
          <w:rFonts w:ascii="Times New Roman" w:hAnsi="Times New Roman" w:cs="Times New Roman"/>
          <w:sz w:val="24"/>
          <w:szCs w:val="24"/>
        </w:rPr>
        <w:t xml:space="preserve"> </w:t>
      </w:r>
      <w:r w:rsidR="00185658" w:rsidRPr="007721FB">
        <w:rPr>
          <w:rFonts w:ascii="Times New Roman" w:hAnsi="Times New Roman" w:cs="Times New Roman"/>
          <w:sz w:val="24"/>
          <w:szCs w:val="24"/>
        </w:rPr>
        <w:t xml:space="preserve">across the </w:t>
      </w:r>
      <w:r w:rsidR="00C3252C" w:rsidRPr="007721FB">
        <w:rPr>
          <w:rFonts w:ascii="Times New Roman" w:hAnsi="Times New Roman" w:cs="Times New Roman"/>
          <w:sz w:val="24"/>
          <w:szCs w:val="24"/>
        </w:rPr>
        <w:t>marrow-blood</w:t>
      </w:r>
      <w:r w:rsidR="002216F8" w:rsidRPr="007721FB">
        <w:rPr>
          <w:rFonts w:ascii="Times New Roman" w:hAnsi="Times New Roman" w:cs="Times New Roman"/>
          <w:sz w:val="24"/>
          <w:szCs w:val="24"/>
        </w:rPr>
        <w:t xml:space="preserve"> vessel</w:t>
      </w:r>
      <w:r w:rsidR="004F22BE" w:rsidRPr="007721FB">
        <w:rPr>
          <w:rFonts w:ascii="Times New Roman" w:hAnsi="Times New Roman" w:cs="Times New Roman"/>
          <w:sz w:val="24"/>
          <w:szCs w:val="24"/>
        </w:rPr>
        <w:t xml:space="preserve"> </w:t>
      </w:r>
      <w:r w:rsidR="00185658" w:rsidRPr="007721FB">
        <w:rPr>
          <w:rFonts w:ascii="Times New Roman" w:hAnsi="Times New Roman" w:cs="Times New Roman"/>
          <w:sz w:val="24"/>
          <w:szCs w:val="24"/>
        </w:rPr>
        <w:t xml:space="preserve">barrier </w:t>
      </w:r>
      <w:r w:rsidRPr="007721FB">
        <w:rPr>
          <w:rFonts w:ascii="Times New Roman" w:hAnsi="Times New Roman" w:cs="Times New Roman"/>
          <w:sz w:val="24"/>
          <w:szCs w:val="24"/>
        </w:rPr>
        <w:t>have been poorly</w:t>
      </w:r>
      <w:r w:rsidR="00BE1D26" w:rsidRPr="007721FB">
        <w:rPr>
          <w:rFonts w:ascii="Times New Roman" w:hAnsi="Times New Roman" w:cs="Times New Roman"/>
          <w:sz w:val="24"/>
          <w:szCs w:val="24"/>
        </w:rPr>
        <w:t xml:space="preserve"> </w:t>
      </w:r>
      <w:r w:rsidRPr="007721FB">
        <w:rPr>
          <w:rFonts w:ascii="Times New Roman" w:hAnsi="Times New Roman" w:cs="Times New Roman"/>
          <w:sz w:val="24"/>
          <w:szCs w:val="24"/>
        </w:rPr>
        <w:t>explored so far</w:t>
      </w:r>
      <w:r w:rsidR="00464A94" w:rsidRPr="007721FB">
        <w:rPr>
          <w:rFonts w:ascii="Times New Roman" w:hAnsi="Times New Roman" w:cs="Times New Roman"/>
          <w:sz w:val="24"/>
          <w:szCs w:val="24"/>
        </w:rPr>
        <w:t xml:space="preserve"> and </w:t>
      </w:r>
      <w:r w:rsidR="00BE1D26" w:rsidRPr="007721FB">
        <w:rPr>
          <w:rFonts w:ascii="Times New Roman" w:hAnsi="Times New Roman" w:cs="Times New Roman"/>
          <w:sz w:val="24"/>
          <w:szCs w:val="24"/>
        </w:rPr>
        <w:t>f</w:t>
      </w:r>
      <w:r w:rsidR="002216F8" w:rsidRPr="007721FB">
        <w:rPr>
          <w:rFonts w:ascii="Times New Roman" w:hAnsi="Times New Roman" w:cs="Times New Roman"/>
          <w:sz w:val="24"/>
          <w:szCs w:val="24"/>
        </w:rPr>
        <w:t xml:space="preserve">urther insights on </w:t>
      </w:r>
      <w:r w:rsidR="00BE1D26" w:rsidRPr="007721FB">
        <w:rPr>
          <w:rFonts w:ascii="Times New Roman" w:hAnsi="Times New Roman" w:cs="Times New Roman"/>
          <w:sz w:val="24"/>
          <w:szCs w:val="24"/>
        </w:rPr>
        <w:t>their</w:t>
      </w:r>
      <w:r w:rsidR="002216F8" w:rsidRPr="007721FB">
        <w:rPr>
          <w:rFonts w:ascii="Times New Roman" w:hAnsi="Times New Roman" w:cs="Times New Roman"/>
          <w:sz w:val="24"/>
          <w:szCs w:val="24"/>
        </w:rPr>
        <w:t xml:space="preserve"> influence </w:t>
      </w:r>
      <w:r w:rsidR="00464A94" w:rsidRPr="007721FB">
        <w:rPr>
          <w:rFonts w:ascii="Times New Roman" w:hAnsi="Times New Roman" w:cs="Times New Roman"/>
          <w:sz w:val="24"/>
          <w:szCs w:val="24"/>
        </w:rPr>
        <w:t>in</w:t>
      </w:r>
      <w:r w:rsidR="002216F8" w:rsidRPr="007721FB">
        <w:rPr>
          <w:rFonts w:ascii="Times New Roman" w:hAnsi="Times New Roman" w:cs="Times New Roman"/>
          <w:sz w:val="24"/>
          <w:szCs w:val="24"/>
        </w:rPr>
        <w:t xml:space="preserve"> </w:t>
      </w:r>
      <w:r w:rsidR="00464A94" w:rsidRPr="007721FB">
        <w:rPr>
          <w:rFonts w:ascii="Times New Roman" w:hAnsi="Times New Roman" w:cs="Times New Roman"/>
          <w:sz w:val="24"/>
          <w:szCs w:val="24"/>
        </w:rPr>
        <w:t xml:space="preserve">nanotherapeutics </w:t>
      </w:r>
      <w:r w:rsidR="002216F8" w:rsidRPr="007721FB">
        <w:rPr>
          <w:rFonts w:ascii="Times New Roman" w:hAnsi="Times New Roman" w:cs="Times New Roman"/>
          <w:sz w:val="24"/>
          <w:szCs w:val="24"/>
        </w:rPr>
        <w:t>accumulation are necessary</w:t>
      </w:r>
      <w:r w:rsidR="004F1E65" w:rsidRPr="007721FB">
        <w:rPr>
          <w:rFonts w:ascii="Times New Roman" w:hAnsi="Times New Roman" w:cs="Times New Roman"/>
          <w:sz w:val="24"/>
          <w:szCs w:val="24"/>
        </w:rPr>
        <w:t xml:space="preserve"> for improving their potential</w:t>
      </w:r>
      <w:r w:rsidRPr="007721FB">
        <w:rPr>
          <w:rFonts w:ascii="Times New Roman" w:hAnsi="Times New Roman" w:cs="Times New Roman"/>
          <w:sz w:val="24"/>
          <w:szCs w:val="24"/>
        </w:rPr>
        <w:t>.</w:t>
      </w:r>
      <w:r w:rsidR="004F22BE" w:rsidRPr="007721FB">
        <w:rPr>
          <w:rFonts w:ascii="Times New Roman" w:hAnsi="Times New Roman" w:cs="Times New Roman"/>
          <w:sz w:val="24"/>
          <w:szCs w:val="24"/>
        </w:rPr>
        <w:t xml:space="preserve"> </w:t>
      </w:r>
    </w:p>
    <w:p w14:paraId="2EDC0883" w14:textId="6FBB1B7A" w:rsidR="003E08A9" w:rsidRPr="007721FB" w:rsidRDefault="00590BEE" w:rsidP="004717AB">
      <w:pPr>
        <w:spacing w:after="0" w:line="240" w:lineRule="auto"/>
        <w:jc w:val="both"/>
        <w:rPr>
          <w:rFonts w:ascii="Times New Roman" w:hAnsi="Times New Roman" w:cs="Times New Roman"/>
          <w:sz w:val="24"/>
          <w:szCs w:val="24"/>
        </w:rPr>
      </w:pPr>
      <w:r w:rsidRPr="007721FB">
        <w:rPr>
          <w:rFonts w:ascii="Times New Roman" w:hAnsi="Times New Roman" w:cs="Times New Roman"/>
          <w:sz w:val="24"/>
          <w:szCs w:val="24"/>
        </w:rPr>
        <w:t xml:space="preserve">   </w:t>
      </w:r>
      <w:r w:rsidR="001D5F83" w:rsidRPr="007721FB">
        <w:rPr>
          <w:rFonts w:ascii="Times New Roman" w:hAnsi="Times New Roman" w:cs="Times New Roman"/>
          <w:sz w:val="24"/>
          <w:szCs w:val="24"/>
        </w:rPr>
        <w:t>To better understand and explore nanoparticle</w:t>
      </w:r>
      <w:r w:rsidR="00031C47" w:rsidRPr="007721FB">
        <w:rPr>
          <w:rFonts w:ascii="Times New Roman" w:hAnsi="Times New Roman" w:cs="Times New Roman"/>
          <w:sz w:val="24"/>
          <w:szCs w:val="24"/>
        </w:rPr>
        <w:t xml:space="preserve"> accumulation</w:t>
      </w:r>
      <w:r w:rsidR="003131F4" w:rsidRPr="007721FB">
        <w:rPr>
          <w:rFonts w:ascii="Times New Roman" w:hAnsi="Times New Roman" w:cs="Times New Roman"/>
          <w:sz w:val="24"/>
          <w:szCs w:val="24"/>
        </w:rPr>
        <w:t xml:space="preserve"> in bone</w:t>
      </w:r>
      <w:r w:rsidR="00846ED1" w:rsidRPr="007721FB">
        <w:rPr>
          <w:rFonts w:ascii="Times New Roman" w:hAnsi="Times New Roman" w:cs="Times New Roman"/>
          <w:sz w:val="24"/>
          <w:szCs w:val="24"/>
        </w:rPr>
        <w:t xml:space="preserve"> </w:t>
      </w:r>
      <w:r w:rsidR="004F1E65" w:rsidRPr="007721FB">
        <w:rPr>
          <w:rFonts w:ascii="Times New Roman" w:hAnsi="Times New Roman" w:cs="Times New Roman"/>
          <w:sz w:val="24"/>
          <w:szCs w:val="24"/>
        </w:rPr>
        <w:t>t</w:t>
      </w:r>
      <w:r w:rsidR="00B02D2F" w:rsidRPr="007721FB">
        <w:rPr>
          <w:rFonts w:ascii="Times New Roman" w:hAnsi="Times New Roman" w:cs="Times New Roman"/>
          <w:sz w:val="24"/>
          <w:szCs w:val="24"/>
        </w:rPr>
        <w:t>h</w:t>
      </w:r>
      <w:r w:rsidR="004F1E65" w:rsidRPr="007721FB">
        <w:rPr>
          <w:rFonts w:ascii="Times New Roman" w:hAnsi="Times New Roman" w:cs="Times New Roman"/>
          <w:sz w:val="24"/>
          <w:szCs w:val="24"/>
        </w:rPr>
        <w:t>rough the</w:t>
      </w:r>
      <w:r w:rsidR="00846ED1" w:rsidRPr="007721FB">
        <w:rPr>
          <w:rFonts w:ascii="Times New Roman" w:hAnsi="Times New Roman" w:cs="Times New Roman"/>
          <w:sz w:val="24"/>
          <w:szCs w:val="24"/>
        </w:rPr>
        <w:t xml:space="preserve"> paracellular pathway</w:t>
      </w:r>
      <w:r w:rsidR="00C47C48" w:rsidRPr="007721FB">
        <w:rPr>
          <w:rFonts w:ascii="Times New Roman" w:hAnsi="Times New Roman" w:cs="Times New Roman"/>
          <w:sz w:val="24"/>
          <w:szCs w:val="24"/>
        </w:rPr>
        <w:t xml:space="preserve"> </w:t>
      </w:r>
      <w:r w:rsidR="00021727" w:rsidRPr="007721FB">
        <w:rPr>
          <w:rFonts w:ascii="Times New Roman" w:hAnsi="Times New Roman" w:cs="Times New Roman"/>
          <w:sz w:val="24"/>
          <w:szCs w:val="24"/>
        </w:rPr>
        <w:t>two</w:t>
      </w:r>
      <w:r w:rsidR="003E08A9" w:rsidRPr="007721FB">
        <w:rPr>
          <w:rFonts w:ascii="Times New Roman" w:hAnsi="Times New Roman" w:cs="Times New Roman"/>
          <w:sz w:val="24"/>
          <w:szCs w:val="24"/>
        </w:rPr>
        <w:t xml:space="preserve"> main </w:t>
      </w:r>
      <w:r w:rsidR="003131F4" w:rsidRPr="007721FB">
        <w:rPr>
          <w:rFonts w:ascii="Times New Roman" w:hAnsi="Times New Roman" w:cs="Times New Roman"/>
          <w:sz w:val="24"/>
          <w:szCs w:val="24"/>
        </w:rPr>
        <w:t>aspects must be discussed</w:t>
      </w:r>
      <w:r w:rsidR="00D47F3D" w:rsidRPr="007721FB">
        <w:rPr>
          <w:rFonts w:ascii="Times New Roman" w:hAnsi="Times New Roman" w:cs="Times New Roman"/>
          <w:sz w:val="24"/>
          <w:szCs w:val="24"/>
        </w:rPr>
        <w:t>. First,</w:t>
      </w:r>
      <w:r w:rsidR="00EE50BC" w:rsidRPr="007721FB">
        <w:rPr>
          <w:rFonts w:ascii="Times New Roman" w:hAnsi="Times New Roman" w:cs="Times New Roman"/>
          <w:sz w:val="24"/>
          <w:szCs w:val="24"/>
        </w:rPr>
        <w:t xml:space="preserve"> the</w:t>
      </w:r>
      <w:r w:rsidR="006E7B55" w:rsidRPr="007721FB">
        <w:rPr>
          <w:rFonts w:ascii="Times New Roman" w:hAnsi="Times New Roman" w:cs="Times New Roman"/>
          <w:sz w:val="24"/>
          <w:szCs w:val="24"/>
        </w:rPr>
        <w:t xml:space="preserve"> </w:t>
      </w:r>
      <w:r w:rsidR="00D64ED9" w:rsidRPr="007721FB">
        <w:rPr>
          <w:rFonts w:ascii="Times New Roman" w:hAnsi="Times New Roman" w:cs="Times New Roman"/>
          <w:sz w:val="24"/>
          <w:szCs w:val="24"/>
        </w:rPr>
        <w:t xml:space="preserve">existence </w:t>
      </w:r>
      <w:r w:rsidR="006E7B55" w:rsidRPr="007721FB">
        <w:rPr>
          <w:rFonts w:ascii="Times New Roman" w:hAnsi="Times New Roman" w:cs="Times New Roman"/>
          <w:sz w:val="24"/>
          <w:szCs w:val="24"/>
        </w:rPr>
        <w:t>of</w:t>
      </w:r>
      <w:r w:rsidR="00C47C48" w:rsidRPr="007721FB">
        <w:rPr>
          <w:rFonts w:ascii="Times New Roman" w:hAnsi="Times New Roman" w:cs="Times New Roman"/>
          <w:sz w:val="24"/>
          <w:szCs w:val="24"/>
        </w:rPr>
        <w:t xml:space="preserve"> </w:t>
      </w:r>
      <w:r w:rsidR="003131F4" w:rsidRPr="007721FB">
        <w:rPr>
          <w:rFonts w:ascii="Times New Roman" w:hAnsi="Times New Roman" w:cs="Times New Roman"/>
          <w:sz w:val="24"/>
          <w:szCs w:val="24"/>
        </w:rPr>
        <w:t xml:space="preserve">different types of gaps </w:t>
      </w:r>
      <w:r w:rsidR="00C47C48" w:rsidRPr="007721FB">
        <w:rPr>
          <w:rFonts w:ascii="Times New Roman" w:hAnsi="Times New Roman" w:cs="Times New Roman"/>
          <w:sz w:val="24"/>
          <w:szCs w:val="24"/>
        </w:rPr>
        <w:t>throughout the endothelium</w:t>
      </w:r>
      <w:r w:rsidR="003131F4" w:rsidRPr="007721FB">
        <w:rPr>
          <w:rFonts w:ascii="Times New Roman" w:hAnsi="Times New Roman" w:cs="Times New Roman"/>
          <w:sz w:val="24"/>
          <w:szCs w:val="24"/>
        </w:rPr>
        <w:t xml:space="preserve"> of bone marrow </w:t>
      </w:r>
      <w:r w:rsidR="008B60E6" w:rsidRPr="007721FB">
        <w:rPr>
          <w:rFonts w:ascii="Times New Roman" w:hAnsi="Times New Roman" w:cs="Times New Roman"/>
          <w:sz w:val="24"/>
          <w:szCs w:val="24"/>
        </w:rPr>
        <w:t>capillaries</w:t>
      </w:r>
      <w:r w:rsidR="003131F4" w:rsidRPr="007721FB">
        <w:rPr>
          <w:rFonts w:ascii="Times New Roman" w:hAnsi="Times New Roman" w:cs="Times New Roman"/>
          <w:sz w:val="24"/>
          <w:szCs w:val="24"/>
        </w:rPr>
        <w:t xml:space="preserve"> </w:t>
      </w:r>
      <w:r w:rsidR="004F1E65" w:rsidRPr="007721FB">
        <w:rPr>
          <w:rFonts w:ascii="Times New Roman" w:hAnsi="Times New Roman" w:cs="Times New Roman"/>
          <w:sz w:val="24"/>
          <w:szCs w:val="24"/>
        </w:rPr>
        <w:t>is unclear</w:t>
      </w:r>
      <w:r w:rsidR="00C47C48" w:rsidRPr="007721FB">
        <w:rPr>
          <w:rFonts w:ascii="Times New Roman" w:hAnsi="Times New Roman" w:cs="Times New Roman"/>
          <w:sz w:val="24"/>
          <w:szCs w:val="24"/>
        </w:rPr>
        <w:t xml:space="preserve">. </w:t>
      </w:r>
      <w:r w:rsidR="00EE50BC" w:rsidRPr="007721FB">
        <w:rPr>
          <w:rFonts w:ascii="Times New Roman" w:hAnsi="Times New Roman" w:cs="Times New Roman"/>
          <w:sz w:val="24"/>
          <w:szCs w:val="24"/>
        </w:rPr>
        <w:t>In a</w:t>
      </w:r>
      <w:r w:rsidR="002A1CC1" w:rsidRPr="007721FB">
        <w:rPr>
          <w:rFonts w:ascii="Times New Roman" w:hAnsi="Times New Roman" w:cs="Times New Roman"/>
          <w:sz w:val="24"/>
          <w:szCs w:val="24"/>
        </w:rPr>
        <w:t xml:space="preserve"> detailed review performed by </w:t>
      </w:r>
      <w:r w:rsidR="00B319C4" w:rsidRPr="007721FB">
        <w:rPr>
          <w:rFonts w:ascii="Times New Roman" w:hAnsi="Times New Roman" w:cs="Times New Roman"/>
          <w:sz w:val="24"/>
          <w:szCs w:val="24"/>
        </w:rPr>
        <w:t>Sarin</w:t>
      </w:r>
      <w:r w:rsidR="00031C47" w:rsidRPr="007721FB">
        <w:rPr>
          <w:rFonts w:ascii="Times New Roman" w:hAnsi="Times New Roman" w:cs="Times New Roman"/>
          <w:sz w:val="24"/>
          <w:szCs w:val="24"/>
        </w:rPr>
        <w:t xml:space="preserve">, </w:t>
      </w:r>
      <w:r w:rsidR="00EE50BC" w:rsidRPr="007721FB">
        <w:rPr>
          <w:rFonts w:ascii="Times New Roman" w:hAnsi="Times New Roman" w:cs="Times New Roman"/>
          <w:sz w:val="24"/>
          <w:szCs w:val="24"/>
        </w:rPr>
        <w:t xml:space="preserve">the </w:t>
      </w:r>
      <w:r w:rsidR="00B319C4" w:rsidRPr="007721FB">
        <w:rPr>
          <w:rFonts w:ascii="Times New Roman" w:hAnsi="Times New Roman" w:cs="Times New Roman"/>
          <w:sz w:val="24"/>
          <w:szCs w:val="24"/>
        </w:rPr>
        <w:t>bone marrow endothelium</w:t>
      </w:r>
      <w:r w:rsidR="00EE50BC" w:rsidRPr="007721FB">
        <w:rPr>
          <w:rFonts w:ascii="Times New Roman" w:hAnsi="Times New Roman" w:cs="Times New Roman"/>
          <w:sz w:val="24"/>
          <w:szCs w:val="24"/>
        </w:rPr>
        <w:t xml:space="preserve"> is described</w:t>
      </w:r>
      <w:r w:rsidR="00B319C4" w:rsidRPr="007721FB">
        <w:rPr>
          <w:rFonts w:ascii="Times New Roman" w:hAnsi="Times New Roman" w:cs="Times New Roman"/>
          <w:sz w:val="24"/>
          <w:szCs w:val="24"/>
        </w:rPr>
        <w:t xml:space="preserve"> as non-fenestrated, except</w:t>
      </w:r>
      <w:r w:rsidR="00FA2AFB" w:rsidRPr="007721FB">
        <w:rPr>
          <w:rFonts w:ascii="Times New Roman" w:hAnsi="Times New Roman" w:cs="Times New Roman"/>
          <w:sz w:val="24"/>
          <w:szCs w:val="24"/>
        </w:rPr>
        <w:t xml:space="preserve"> when hema</w:t>
      </w:r>
      <w:r w:rsidR="0031358D" w:rsidRPr="007721FB">
        <w:rPr>
          <w:rFonts w:ascii="Times New Roman" w:hAnsi="Times New Roman" w:cs="Times New Roman"/>
          <w:sz w:val="24"/>
          <w:szCs w:val="24"/>
        </w:rPr>
        <w:t>to</w:t>
      </w:r>
      <w:r w:rsidR="00FA2AFB" w:rsidRPr="007721FB">
        <w:rPr>
          <w:rFonts w:ascii="Times New Roman" w:hAnsi="Times New Roman" w:cs="Times New Roman"/>
          <w:sz w:val="24"/>
          <w:szCs w:val="24"/>
        </w:rPr>
        <w:t>poietic cell</w:t>
      </w:r>
      <w:r w:rsidR="0031358D" w:rsidRPr="007721FB">
        <w:rPr>
          <w:rFonts w:ascii="Times New Roman" w:hAnsi="Times New Roman" w:cs="Times New Roman"/>
          <w:sz w:val="24"/>
          <w:szCs w:val="24"/>
        </w:rPr>
        <w:t xml:space="preserve">s are </w:t>
      </w:r>
      <w:r w:rsidR="00031C47" w:rsidRPr="007721FB">
        <w:rPr>
          <w:rFonts w:ascii="Times New Roman" w:hAnsi="Times New Roman" w:cs="Times New Roman"/>
          <w:sz w:val="24"/>
          <w:szCs w:val="24"/>
        </w:rPr>
        <w:t xml:space="preserve">traversing </w:t>
      </w:r>
      <w:r w:rsidR="0031358D" w:rsidRPr="007721FB">
        <w:rPr>
          <w:rFonts w:ascii="Times New Roman" w:hAnsi="Times New Roman" w:cs="Times New Roman"/>
          <w:sz w:val="24"/>
          <w:szCs w:val="24"/>
        </w:rPr>
        <w:t>through</w:t>
      </w:r>
      <w:r w:rsidR="00031C47" w:rsidRPr="007721FB">
        <w:rPr>
          <w:rFonts w:ascii="Times New Roman" w:hAnsi="Times New Roman" w:cs="Times New Roman"/>
          <w:sz w:val="24"/>
          <w:szCs w:val="24"/>
        </w:rPr>
        <w:t xml:space="preserve"> it</w:t>
      </w:r>
      <w:r w:rsidR="0031358D" w:rsidRPr="007721FB">
        <w:rPr>
          <w:rFonts w:ascii="Times New Roman" w:hAnsi="Times New Roman" w:cs="Times New Roman"/>
          <w:sz w:val="24"/>
          <w:szCs w:val="24"/>
        </w:rPr>
        <w:t xml:space="preserve"> and creating</w:t>
      </w:r>
      <w:r w:rsidR="00FA2AFB" w:rsidRPr="007721FB">
        <w:rPr>
          <w:rFonts w:ascii="Times New Roman" w:hAnsi="Times New Roman" w:cs="Times New Roman"/>
          <w:sz w:val="24"/>
          <w:szCs w:val="24"/>
        </w:rPr>
        <w:t xml:space="preserve"> transient openings</w:t>
      </w:r>
      <w:r w:rsidR="00031C47" w:rsidRPr="007721FB">
        <w:rPr>
          <w:rFonts w:ascii="Times New Roman" w:hAnsi="Times New Roman" w:cs="Times New Roman"/>
          <w:sz w:val="24"/>
          <w:szCs w:val="24"/>
        </w:rPr>
        <w:t xml:space="preserve"> </w:t>
      </w:r>
      <w:r w:rsidR="002A1CC1"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"DOI" : "10.1186/2040-2384-2-14", "ISBN" : "2040-2384", "ISSN" : "2040-2384", "PMID" : "20701757", "abstract" : "Much of our current understanding of microvascular permeability is based on the findings of classic experimental studies of blood capillary permeability to various-sized lipid-insoluble endogenous and non-endogenous macromolecules. According to the classic small pore theory of microvascular permeability, which was formulated on the basis of the findings of studies on the transcapillary flow rates of various-sized systemically or regionally perfused endogenous macromolecules, transcapillary exchange across the capillary wall takes place through a single population of small pores that are approximately 6 nm in diameter; whereas, according to the dual pore theory of microvascular permeability, which was formulated on the basis of the findings of studies on the accumulation of various-sized systemically or regionally perfused non-endogenous macromolecules in the locoregional tissue lymphatic drainages, transcapillary exchange across the capillary wall also takes place through a separate population of large pores, or capillary leaks, that are between 24 and 60 nm in diameter. The classification of blood capillary types on the basis of differences in the physiologic upper limits of pore size to transvascular flow highlights the differences in the transcapillary exchange routes for the transvascular transport of endogenous and non-endogenous macromolecules across the capillary walls of different blood capillary types.", "author" : [ { "dropping-particle" : "", "family" : "Sarin", "given" : "Hemant", "non-dropping-particle" : "", "parse-names" : false, "suffix" : "" } ], "container-title" : "Journal of Angiogenesis Research", "id" : "ITEM-1", "issue" : "1", "issued" : { "date-parts" : [ [ "2010" ] ] }, "page" : "1-19", "title" : "Physiologic upper limits of pore size of different blood capillary types and another perspective on the dual pore theory of microvascular permeability", "type" : "article-journal", "volume" : "2" }, "uris" : [ "http://www.mendeley.com/documents/?uuid=8bb0a9fd-9faf-4029-89a8-255f34ff5801", "http://www.mendeley.com/documents/?uuid=d0d550d7-afcd-4418-94b0-6f28322fd87e" ] } ], "mendeley" : { "formattedCitation" : "[32]", "plainTextFormattedCitation" : "[32]", "previouslyFormattedCitation" : "[32]" }, "properties" : { "noteIndex" : 0 }, "schema" : "https://github.com/citation-style-language/schema/raw/master/csl-citation.json" }</w:instrText>
      </w:r>
      <w:r w:rsidR="002A1CC1"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[32]</w:t>
      </w:r>
      <w:r w:rsidR="002A1CC1" w:rsidRPr="007721FB">
        <w:rPr>
          <w:rFonts w:ascii="Times New Roman" w:hAnsi="Times New Roman" w:cs="Times New Roman"/>
          <w:sz w:val="24"/>
          <w:szCs w:val="24"/>
        </w:rPr>
        <w:fldChar w:fldCharType="end"/>
      </w:r>
      <w:r w:rsidR="00031C47" w:rsidRPr="007721FB">
        <w:rPr>
          <w:rFonts w:ascii="Times New Roman" w:hAnsi="Times New Roman" w:cs="Times New Roman"/>
          <w:sz w:val="24"/>
          <w:szCs w:val="24"/>
        </w:rPr>
        <w:t>.</w:t>
      </w:r>
      <w:r w:rsidR="00FA2AFB" w:rsidRPr="007721FB">
        <w:rPr>
          <w:rFonts w:ascii="Times New Roman" w:hAnsi="Times New Roman" w:cs="Times New Roman"/>
          <w:sz w:val="24"/>
          <w:szCs w:val="24"/>
        </w:rPr>
        <w:t xml:space="preserve"> </w:t>
      </w:r>
      <w:r w:rsidR="00FF78C6" w:rsidRPr="007721FB">
        <w:rPr>
          <w:rFonts w:ascii="Times New Roman" w:hAnsi="Times New Roman" w:cs="Times New Roman"/>
          <w:sz w:val="24"/>
          <w:szCs w:val="24"/>
        </w:rPr>
        <w:t xml:space="preserve">The </w:t>
      </w:r>
      <w:r w:rsidR="00031C47" w:rsidRPr="007721FB">
        <w:rPr>
          <w:rFonts w:ascii="Times New Roman" w:hAnsi="Times New Roman" w:cs="Times New Roman"/>
          <w:sz w:val="24"/>
          <w:szCs w:val="24"/>
        </w:rPr>
        <w:t>author</w:t>
      </w:r>
      <w:r w:rsidR="00EE50BC" w:rsidRPr="007721FB">
        <w:rPr>
          <w:rFonts w:ascii="Times New Roman" w:hAnsi="Times New Roman" w:cs="Times New Roman"/>
          <w:sz w:val="24"/>
          <w:szCs w:val="24"/>
        </w:rPr>
        <w:t xml:space="preserve"> </w:t>
      </w:r>
      <w:r w:rsidR="00FF78C6" w:rsidRPr="007721FB">
        <w:rPr>
          <w:rFonts w:ascii="Times New Roman" w:hAnsi="Times New Roman" w:cs="Times New Roman"/>
          <w:sz w:val="24"/>
          <w:szCs w:val="24"/>
        </w:rPr>
        <w:t>suggest</w:t>
      </w:r>
      <w:r w:rsidR="00031C47" w:rsidRPr="007721FB">
        <w:rPr>
          <w:rFonts w:ascii="Times New Roman" w:hAnsi="Times New Roman" w:cs="Times New Roman"/>
          <w:sz w:val="24"/>
          <w:szCs w:val="24"/>
        </w:rPr>
        <w:t>s</w:t>
      </w:r>
      <w:r w:rsidR="00FF78C6" w:rsidRPr="007721FB">
        <w:rPr>
          <w:rFonts w:ascii="Times New Roman" w:hAnsi="Times New Roman" w:cs="Times New Roman"/>
          <w:sz w:val="24"/>
          <w:szCs w:val="24"/>
        </w:rPr>
        <w:t xml:space="preserve"> that the primary route of </w:t>
      </w:r>
      <w:r w:rsidR="00031C47" w:rsidRPr="007721FB">
        <w:rPr>
          <w:rFonts w:ascii="Times New Roman" w:hAnsi="Times New Roman" w:cs="Times New Roman"/>
          <w:sz w:val="24"/>
          <w:szCs w:val="24"/>
        </w:rPr>
        <w:t>bio</w:t>
      </w:r>
      <w:r w:rsidR="00FF78C6" w:rsidRPr="007721FB">
        <w:rPr>
          <w:rFonts w:ascii="Times New Roman" w:hAnsi="Times New Roman" w:cs="Times New Roman"/>
          <w:sz w:val="24"/>
          <w:szCs w:val="24"/>
        </w:rPr>
        <w:t>macromolecules</w:t>
      </w:r>
      <w:r w:rsidR="00EE50BC" w:rsidRPr="007721FB">
        <w:rPr>
          <w:rFonts w:ascii="Times New Roman" w:hAnsi="Times New Roman" w:cs="Times New Roman"/>
          <w:sz w:val="24"/>
          <w:szCs w:val="24"/>
        </w:rPr>
        <w:t xml:space="preserve"> transport</w:t>
      </w:r>
      <w:r w:rsidR="00FF78C6" w:rsidRPr="007721FB">
        <w:rPr>
          <w:rFonts w:ascii="Times New Roman" w:hAnsi="Times New Roman" w:cs="Times New Roman"/>
          <w:sz w:val="24"/>
          <w:szCs w:val="24"/>
        </w:rPr>
        <w:t xml:space="preserve"> </w:t>
      </w:r>
      <w:r w:rsidR="00590D48" w:rsidRPr="007721FB">
        <w:rPr>
          <w:rFonts w:ascii="Times New Roman" w:hAnsi="Times New Roman" w:cs="Times New Roman"/>
          <w:sz w:val="24"/>
          <w:szCs w:val="24"/>
        </w:rPr>
        <w:t>to marrow interstitial space is via phago-endocytic uptake</w:t>
      </w:r>
      <w:r w:rsidR="00031C47" w:rsidRPr="007721FB">
        <w:rPr>
          <w:rFonts w:ascii="Times New Roman" w:hAnsi="Times New Roman" w:cs="Times New Roman"/>
          <w:sz w:val="24"/>
          <w:szCs w:val="24"/>
        </w:rPr>
        <w:t xml:space="preserve"> (molecules &gt; 5 nm)</w:t>
      </w:r>
      <w:r w:rsidR="00590D48" w:rsidRPr="007721FB">
        <w:rPr>
          <w:rFonts w:ascii="Times New Roman" w:hAnsi="Times New Roman" w:cs="Times New Roman"/>
          <w:sz w:val="24"/>
          <w:szCs w:val="24"/>
        </w:rPr>
        <w:t xml:space="preserve"> and macula occludens inter</w:t>
      </w:r>
      <w:r w:rsidR="00EE50BC" w:rsidRPr="007721FB">
        <w:rPr>
          <w:rFonts w:ascii="Times New Roman" w:hAnsi="Times New Roman" w:cs="Times New Roman"/>
          <w:sz w:val="24"/>
          <w:szCs w:val="24"/>
        </w:rPr>
        <w:t>-</w:t>
      </w:r>
      <w:r w:rsidR="00590D48" w:rsidRPr="007721FB">
        <w:rPr>
          <w:rFonts w:ascii="Times New Roman" w:hAnsi="Times New Roman" w:cs="Times New Roman"/>
          <w:sz w:val="24"/>
          <w:szCs w:val="24"/>
        </w:rPr>
        <w:t>endothelial junctions</w:t>
      </w:r>
      <w:r w:rsidR="00031C47" w:rsidRPr="007721FB">
        <w:rPr>
          <w:rFonts w:ascii="Times New Roman" w:hAnsi="Times New Roman" w:cs="Times New Roman"/>
          <w:sz w:val="24"/>
          <w:szCs w:val="24"/>
        </w:rPr>
        <w:t xml:space="preserve"> (lipid-insoluble molecules ≤ </w:t>
      </w:r>
      <w:r w:rsidR="00FF78C6" w:rsidRPr="007721FB">
        <w:rPr>
          <w:rFonts w:ascii="Times New Roman" w:hAnsi="Times New Roman" w:cs="Times New Roman"/>
          <w:sz w:val="24"/>
          <w:szCs w:val="24"/>
        </w:rPr>
        <w:t>5 nm</w:t>
      </w:r>
      <w:r w:rsidR="00031C47" w:rsidRPr="007721FB">
        <w:rPr>
          <w:rFonts w:ascii="Times New Roman" w:hAnsi="Times New Roman" w:cs="Times New Roman"/>
          <w:sz w:val="24"/>
          <w:szCs w:val="24"/>
        </w:rPr>
        <w:t xml:space="preserve"> in diameter) </w:t>
      </w:r>
      <w:r w:rsidR="00031C47"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"DOI" : "10.1186/2040-2384-2-14", "ISBN" : "2040-2384", "ISSN" : "2040-2384", "PMID" : "20701757", "abstract" : "Much of our current understanding of microvascular permeability is based on the findings of classic experimental studies of blood capillary permeability to various-sized lipid-insoluble endogenous and non-endogenous macromolecules. According to the classic small pore theory of microvascular permeability, which was formulated on the basis of the findings of studies on the transcapillary flow rates of various-sized systemically or regionally perfused endogenous macromolecules, transcapillary exchange across the capillary wall takes place through a single population of small pores that are approximately 6 nm in diameter; whereas, according to the dual pore theory of microvascular permeability, which was formulated on the basis of the findings of studies on the accumulation of various-sized systemically or regionally perfused non-endogenous macromolecules in the locoregional tissue lymphatic drainages, transcapillary exchange across the capillary wall also takes place through a separate population of large pores, or capillary leaks, that are between 24 and 60 nm in diameter. The classification of blood capillary types on the basis of differences in the physiologic upper limits of pore size to transvascular flow highlights the differences in the transcapillary exchange routes for the transvascular transport of endogenous and non-endogenous macromolecules across the capillary walls of different blood capillary types.", "author" : [ { "dropping-particle" : "", "family" : "Sarin", "given" : "Hemant", "non-dropping-particle" : "", "parse-names" : false, "suffix" : "" } ], "container-title" : "Journal of Angiogenesis Research", "id" : "ITEM-1", "issue" : "1", "issued" : { "date-parts" : [ [ "2010" ] ] }, "page" : "1-19", "title" : "Physiologic upper limits of pore size of different blood capillary types and another perspective on the dual pore theory of microvascular permeability", "type" : "article-journal", "volume" : "2" }, "uris" : [ "http://www.mendeley.com/documents/?uuid=d0d550d7-afcd-4418-94b0-6f28322fd87e" ] } ], "mendeley" : { "formattedCitation" : "[32]", "plainTextFormattedCitation" : "[32]", "previouslyFormattedCitation" : "[32]" }, "properties" : { "noteIndex" : 6 }, "schema" : "https://github.com/citation-style-language/schema/raw/master/csl-citation.json" }</w:instrText>
      </w:r>
      <w:r w:rsidR="00031C47"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[32]</w:t>
      </w:r>
      <w:r w:rsidR="00031C47" w:rsidRPr="007721FB">
        <w:rPr>
          <w:rFonts w:ascii="Times New Roman" w:hAnsi="Times New Roman" w:cs="Times New Roman"/>
          <w:sz w:val="24"/>
          <w:szCs w:val="24"/>
        </w:rPr>
        <w:fldChar w:fldCharType="end"/>
      </w:r>
      <w:r w:rsidR="00590D48" w:rsidRPr="007721FB">
        <w:rPr>
          <w:rFonts w:ascii="Times New Roman" w:hAnsi="Times New Roman" w:cs="Times New Roman"/>
          <w:sz w:val="24"/>
          <w:szCs w:val="24"/>
        </w:rPr>
        <w:t xml:space="preserve">. </w:t>
      </w:r>
      <w:r w:rsidR="00BA358E" w:rsidRPr="007721FB">
        <w:rPr>
          <w:rFonts w:ascii="Times New Roman" w:hAnsi="Times New Roman" w:cs="Times New Roman"/>
          <w:sz w:val="24"/>
          <w:szCs w:val="24"/>
        </w:rPr>
        <w:t xml:space="preserve">Other </w:t>
      </w:r>
      <w:r w:rsidR="00031C47" w:rsidRPr="007721FB">
        <w:rPr>
          <w:rFonts w:ascii="Times New Roman" w:hAnsi="Times New Roman" w:cs="Times New Roman"/>
          <w:sz w:val="24"/>
          <w:szCs w:val="24"/>
        </w:rPr>
        <w:t>reports</w:t>
      </w:r>
      <w:r w:rsidR="00BA358E" w:rsidRPr="007721FB">
        <w:rPr>
          <w:rFonts w:ascii="Times New Roman" w:hAnsi="Times New Roman" w:cs="Times New Roman"/>
          <w:sz w:val="24"/>
          <w:szCs w:val="24"/>
        </w:rPr>
        <w:t xml:space="preserve"> </w:t>
      </w:r>
      <w:r w:rsidR="00031C47" w:rsidRPr="007721FB">
        <w:rPr>
          <w:rFonts w:ascii="Times New Roman" w:hAnsi="Times New Roman" w:cs="Times New Roman"/>
          <w:sz w:val="24"/>
          <w:szCs w:val="24"/>
        </w:rPr>
        <w:t xml:space="preserve">define </w:t>
      </w:r>
      <w:r w:rsidR="00BA358E" w:rsidRPr="007721FB">
        <w:rPr>
          <w:rFonts w:ascii="Times New Roman" w:hAnsi="Times New Roman" w:cs="Times New Roman"/>
          <w:sz w:val="24"/>
          <w:szCs w:val="24"/>
        </w:rPr>
        <w:t>bone marrow capillaries as</w:t>
      </w:r>
      <w:r w:rsidR="00031C47" w:rsidRPr="007721FB">
        <w:rPr>
          <w:rFonts w:ascii="Times New Roman" w:hAnsi="Times New Roman" w:cs="Times New Roman"/>
          <w:sz w:val="24"/>
          <w:szCs w:val="24"/>
        </w:rPr>
        <w:t xml:space="preserve"> being</w:t>
      </w:r>
      <w:r w:rsidR="00BA358E" w:rsidRPr="007721FB">
        <w:rPr>
          <w:rFonts w:ascii="Times New Roman" w:hAnsi="Times New Roman" w:cs="Times New Roman"/>
          <w:sz w:val="24"/>
          <w:szCs w:val="24"/>
        </w:rPr>
        <w:t xml:space="preserve"> discontinuous/sinusoidal</w:t>
      </w:r>
      <w:r w:rsidR="00031C47" w:rsidRPr="007721FB">
        <w:rPr>
          <w:rFonts w:ascii="Times New Roman" w:hAnsi="Times New Roman" w:cs="Times New Roman"/>
          <w:sz w:val="24"/>
          <w:szCs w:val="24"/>
        </w:rPr>
        <w:t>,</w:t>
      </w:r>
      <w:r w:rsidR="00BA358E" w:rsidRPr="007721FB">
        <w:rPr>
          <w:rFonts w:ascii="Times New Roman" w:hAnsi="Times New Roman" w:cs="Times New Roman"/>
          <w:sz w:val="24"/>
          <w:szCs w:val="24"/>
        </w:rPr>
        <w:t xml:space="preserve"> with large sinusoidal gaps between endothelium cells</w:t>
      </w:r>
      <w:r w:rsidR="00031C47" w:rsidRPr="007721FB">
        <w:rPr>
          <w:rFonts w:ascii="Times New Roman" w:hAnsi="Times New Roman" w:cs="Times New Roman"/>
          <w:sz w:val="24"/>
          <w:szCs w:val="24"/>
        </w:rPr>
        <w:t>,</w:t>
      </w:r>
      <w:r w:rsidR="00BA358E" w:rsidRPr="007721FB">
        <w:rPr>
          <w:rFonts w:ascii="Times New Roman" w:hAnsi="Times New Roman" w:cs="Times New Roman"/>
          <w:sz w:val="24"/>
          <w:szCs w:val="24"/>
        </w:rPr>
        <w:t xml:space="preserve"> but with no diaphragm</w:t>
      </w:r>
      <w:r w:rsidR="00B97129" w:rsidRPr="007721FB">
        <w:rPr>
          <w:rFonts w:ascii="Times New Roman" w:hAnsi="Times New Roman" w:cs="Times New Roman"/>
          <w:sz w:val="24"/>
          <w:szCs w:val="24"/>
        </w:rPr>
        <w:t xml:space="preserve"> </w:t>
      </w:r>
      <w:r w:rsidR="00BA358E"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"DOI" : "10.1039/c5cs00499c", "ISBN" : "10.1039/C5CS00499C", "ISSN" : "1460-4744", "PMID" : "26239875", "abstract" : "While the blood vessel is seldom the target tissue, almost all nanomedicine will interact with blood vessels and blood at some point of time along its life cycle in the human body regardless of their intended destination. Despite its importance, many bionanotechnologists do not feature endothelial cells (ECs), the blood vessel cells, or consider blood effects in their studies. Including blood vessel cells in the study can greatly increase our understanding of the behavior of any given nanomedicine at the tissue of interest or to understand side effects that may occur in vivo. In this review, we will first describe the diversity of EC types found in the human body and their unique behaviors and possibly how these important differences can implicate nanomedicine behavior. Subsequently, we will discuss about the protein corona derived from blood with foci on the physiochemical aspects of nanoparticles (NPs) that dictate the protein corona characteristics. We would also discuss about how NPs characteristics can affect uptake by the endothelium. Subsequently, mechanisms of how NPs could cross the endothelium to access the tissue of interest. Throughout the paper, we will share some novel nanomedicine related ideas and insights that were derived from the understanding of the NPs' interaction with the ECs. This review will inspire more exciting nanotechnologies that had accounted for the complexities of the real human body.", "author" : [ { "dropping-particle" : "", "family" : "Setyawati", "given" : "Magdiel Inggrid", "non-dropping-particle" : "", "parse-names" : false, "suffix" : "" }, { "dropping-particle" : "", "family" : "Tay", "given" : "Chor Yong", "non-dropping-particle" : "", "parse-names" : false, "suffix" : "" }, { "dropping-particle" : "", "family" : "Docter", "given" : "Dominic", "non-dropping-particle" : "", "parse-names" : false, "suffix" : "" }, { "dropping-particle" : "", "family" : "Stauber", "given" : "Roland H", "non-dropping-particle" : "", "parse-names" : false, "suffix" : "" }, { "dropping-particle" : "", "family" : "Leong", "given" : "David Tai", "non-dropping-particle" : "", "parse-names" : false, "suffix" : "" } ], "container-title" : "Chemical Society reviews", "id" : "ITEM-1", "issue" : "22", "issued" : { "date-parts" : [ [ "2015" ] ] }, "page" : "8174-99", "publisher" : "Royal Society of Chemistry", "title" : "Understanding and exploiting nanoparticles' intimacy with the blood vessel and blood.", "type" : "article-journal", "volume" : "44" }, "uris" : [ "http://www.mendeley.com/documents/?uuid=2e728082-582e-49fc-ae54-d2ed94883196", "http://www.mendeley.com/documents/?uuid=dbf8fdb6-2f07-48ce-877c-b5f475e5e869" ] } ], "mendeley" : { "formattedCitation" : "[34]", "plainTextFormattedCitation" : "[34]", "previouslyFormattedCitation" : "[34]" }, "properties" : { "noteIndex" : 0 }, "schema" : "https://github.com/citation-style-language/schema/raw/master/csl-citation.json" }</w:instrText>
      </w:r>
      <w:r w:rsidR="00BA358E"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[34]</w:t>
      </w:r>
      <w:r w:rsidR="00BA358E" w:rsidRPr="007721FB">
        <w:rPr>
          <w:rFonts w:ascii="Times New Roman" w:hAnsi="Times New Roman" w:cs="Times New Roman"/>
          <w:sz w:val="24"/>
          <w:szCs w:val="24"/>
        </w:rPr>
        <w:fldChar w:fldCharType="end"/>
      </w:r>
      <w:r w:rsidR="00031C47" w:rsidRPr="007721FB">
        <w:rPr>
          <w:rFonts w:ascii="Times New Roman" w:hAnsi="Times New Roman" w:cs="Times New Roman"/>
          <w:sz w:val="24"/>
          <w:szCs w:val="24"/>
        </w:rPr>
        <w:t>.</w:t>
      </w:r>
      <w:r w:rsidR="00BA358E" w:rsidRPr="007721FB">
        <w:rPr>
          <w:rFonts w:ascii="Times New Roman" w:hAnsi="Times New Roman" w:cs="Times New Roman"/>
          <w:sz w:val="24"/>
          <w:szCs w:val="24"/>
        </w:rPr>
        <w:t xml:space="preserve"> There</w:t>
      </w:r>
      <w:r w:rsidR="003E08A9" w:rsidRPr="007721FB">
        <w:rPr>
          <w:rFonts w:ascii="Times New Roman" w:hAnsi="Times New Roman" w:cs="Times New Roman"/>
          <w:sz w:val="24"/>
          <w:szCs w:val="24"/>
        </w:rPr>
        <w:t>fore, it</w:t>
      </w:r>
      <w:r w:rsidR="00BA358E" w:rsidRPr="007721FB">
        <w:rPr>
          <w:rFonts w:ascii="Times New Roman" w:hAnsi="Times New Roman" w:cs="Times New Roman"/>
          <w:sz w:val="24"/>
          <w:szCs w:val="24"/>
        </w:rPr>
        <w:t xml:space="preserve"> seems </w:t>
      </w:r>
      <w:r w:rsidR="003E08A9" w:rsidRPr="007721FB">
        <w:rPr>
          <w:rFonts w:ascii="Times New Roman" w:hAnsi="Times New Roman" w:cs="Times New Roman"/>
          <w:sz w:val="24"/>
          <w:szCs w:val="24"/>
        </w:rPr>
        <w:t>that there is</w:t>
      </w:r>
      <w:r w:rsidR="00BA358E" w:rsidRPr="007721FB">
        <w:rPr>
          <w:rFonts w:ascii="Times New Roman" w:hAnsi="Times New Roman" w:cs="Times New Roman"/>
          <w:sz w:val="24"/>
          <w:szCs w:val="24"/>
        </w:rPr>
        <w:t xml:space="preserve"> some ambiguity regarding the classification of this particular set of capillaries</w:t>
      </w:r>
      <w:r w:rsidR="003E08A9" w:rsidRPr="007721FB">
        <w:rPr>
          <w:rFonts w:ascii="Times New Roman" w:hAnsi="Times New Roman" w:cs="Times New Roman"/>
          <w:sz w:val="24"/>
          <w:szCs w:val="24"/>
        </w:rPr>
        <w:t>. P</w:t>
      </w:r>
      <w:r w:rsidR="00031C47" w:rsidRPr="007721FB">
        <w:rPr>
          <w:rFonts w:ascii="Times New Roman" w:hAnsi="Times New Roman" w:cs="Times New Roman"/>
          <w:sz w:val="24"/>
          <w:szCs w:val="24"/>
        </w:rPr>
        <w:t xml:space="preserve">roviding further insights on these structures could </w:t>
      </w:r>
      <w:r w:rsidR="003131F4" w:rsidRPr="007721FB">
        <w:rPr>
          <w:rFonts w:ascii="Times New Roman" w:hAnsi="Times New Roman" w:cs="Times New Roman"/>
          <w:sz w:val="24"/>
          <w:szCs w:val="24"/>
        </w:rPr>
        <w:t>aid in the design</w:t>
      </w:r>
      <w:r w:rsidR="00031C47" w:rsidRPr="007721FB">
        <w:rPr>
          <w:rFonts w:ascii="Times New Roman" w:hAnsi="Times New Roman" w:cs="Times New Roman"/>
          <w:sz w:val="24"/>
          <w:szCs w:val="24"/>
        </w:rPr>
        <w:t xml:space="preserve"> of</w:t>
      </w:r>
      <w:r w:rsidR="003E08A9" w:rsidRPr="007721FB">
        <w:rPr>
          <w:rFonts w:ascii="Times New Roman" w:hAnsi="Times New Roman" w:cs="Times New Roman"/>
          <w:sz w:val="24"/>
          <w:szCs w:val="24"/>
        </w:rPr>
        <w:t xml:space="preserve"> the</w:t>
      </w:r>
      <w:r w:rsidR="00031C47" w:rsidRPr="007721FB">
        <w:rPr>
          <w:rFonts w:ascii="Times New Roman" w:hAnsi="Times New Roman" w:cs="Times New Roman"/>
          <w:sz w:val="24"/>
          <w:szCs w:val="24"/>
        </w:rPr>
        <w:t xml:space="preserve"> </w:t>
      </w:r>
      <w:r w:rsidR="003131F4" w:rsidRPr="007721FB">
        <w:rPr>
          <w:rFonts w:ascii="Times New Roman" w:hAnsi="Times New Roman" w:cs="Times New Roman"/>
          <w:sz w:val="24"/>
          <w:szCs w:val="24"/>
        </w:rPr>
        <w:t>next-generation</w:t>
      </w:r>
      <w:r w:rsidR="003E08A9" w:rsidRPr="007721FB">
        <w:rPr>
          <w:rFonts w:ascii="Times New Roman" w:hAnsi="Times New Roman" w:cs="Times New Roman"/>
          <w:sz w:val="24"/>
          <w:szCs w:val="24"/>
        </w:rPr>
        <w:t xml:space="preserve"> of </w:t>
      </w:r>
      <w:r w:rsidR="008E65F7" w:rsidRPr="007721FB">
        <w:rPr>
          <w:rFonts w:ascii="Times New Roman" w:hAnsi="Times New Roman" w:cs="Times New Roman"/>
          <w:sz w:val="24"/>
          <w:szCs w:val="24"/>
        </w:rPr>
        <w:t>nanotherapeutics</w:t>
      </w:r>
      <w:r w:rsidR="00BA358E" w:rsidRPr="007721FB">
        <w:rPr>
          <w:rFonts w:ascii="Times New Roman" w:hAnsi="Times New Roman" w:cs="Times New Roman"/>
          <w:sz w:val="24"/>
          <w:szCs w:val="24"/>
        </w:rPr>
        <w:t xml:space="preserve">. </w:t>
      </w:r>
    </w:p>
    <w:p w14:paraId="3FF4158B" w14:textId="4000AA3F" w:rsidR="00B45CC9" w:rsidRPr="007721FB" w:rsidRDefault="00B45CC9" w:rsidP="00B45CC9">
      <w:pPr>
        <w:spacing w:after="0" w:line="240" w:lineRule="auto"/>
        <w:jc w:val="both"/>
        <w:rPr>
          <w:rFonts w:ascii="Times New Roman" w:hAnsi="Times New Roman" w:cs="Times New Roman"/>
          <w:sz w:val="24"/>
        </w:rPr>
      </w:pPr>
      <w:r w:rsidRPr="007721FB">
        <w:rPr>
          <w:rFonts w:ascii="Times New Roman" w:hAnsi="Times New Roman" w:cs="Times New Roman"/>
          <w:sz w:val="24"/>
          <w:szCs w:val="24"/>
        </w:rPr>
        <w:t xml:space="preserve">   The presence of diaphragms </w:t>
      </w:r>
      <w:r w:rsidR="008E65F7" w:rsidRPr="007721FB">
        <w:rPr>
          <w:rFonts w:ascii="Times New Roman" w:hAnsi="Times New Roman" w:cs="Times New Roman"/>
          <w:sz w:val="24"/>
          <w:szCs w:val="24"/>
        </w:rPr>
        <w:t>and their role</w:t>
      </w:r>
      <w:r w:rsidRPr="007721FB">
        <w:rPr>
          <w:rFonts w:ascii="Times New Roman" w:hAnsi="Times New Roman" w:cs="Times New Roman"/>
          <w:sz w:val="24"/>
          <w:szCs w:val="24"/>
        </w:rPr>
        <w:t xml:space="preserve"> in the extravasation of nanoparticles via these intercellular spaces is also not yet clear. The possible presence of diaphragms in marrow fenestrae likely reduces flexibility/permeability and may further constrain therapeutics transport. In comparison with other preferential particle accumulation organs such as the liver, the boundaries of hepatic open fenestrae lack a considerable amount of glycocalyx matrix fibers rendering these fenestrae less restrictive </w:t>
      </w:r>
      <w:r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"DOI" : "10.1186/2040-2384-2-14", "ISBN" : "2040-2384", "ISSN" : "2040-2384", "PMID" : "20701757", "abstract" : "Much of our current understanding of microvascular permeability is based on the findings of classic experimental studies of blood capillary permeability to various-sized lipid-insoluble endogenous and non-endogenous macromolecules. According to the classic small pore theory of microvascular permeability, which was formulated on the basis of the findings of studies on the transcapillary flow rates of various-sized systemically or regionally perfused endogenous macromolecules, transcapillary exchange across the capillary wall takes place through a single population of small pores that are approximately 6 nm in diameter; whereas, according to the dual pore theory of microvascular permeability, which was formulated on the basis of the findings of studies on the accumulation of various-sized systemically or regionally perfused non-endogenous macromolecules in the locoregional tissue lymphatic drainages, transcapillary exchange across the capillary wall also takes place through a separate population of large pores, or capillary leaks, that are between 24 and 60 nm in diameter. The classification of blood capillary types on the basis of differences in the physiologic upper limits of pore size to transvascular flow highlights the differences in the transcapillary exchange routes for the transvascular transport of endogenous and non-endogenous macromolecules across the capillary walls of different blood capillary types.", "author" : [ { "dropping-particle" : "", "family" : "Sarin", "given" : "Hemant", "non-dropping-particle" : "", "parse-names" : false, "suffix" : "" } ], "container-title" : "Journal of Angiogenesis Research", "id" : "ITEM-1", "issue" : "1", "issued" : { "date-parts" : [ [ "2010" ] ] }, "page" : "1-19", "title" : "Physiologic upper limits of pore size of different blood capillary types and another perspective on the dual pore theory of microvascular permeability", "type" : "article-journal", "volume" : "2" }, "uris" : [ "http://www.mendeley.com/documents/?uuid=d0d550d7-afcd-4418-94b0-6f28322fd87e", "http://www.mendeley.com/documents/?uuid=8bb0a9fd-9faf-4029-89a8-255f34ff5801" ] } ], "mendeley" : { "formattedCitation" : "[32]", "plainTextFormattedCitation" : "[32]", "previouslyFormattedCitation" : "[32]" }, "properties" : { "noteIndex" : 0 }, "schema" : "https://github.com/citation-style-language/schema/raw/master/csl-citation.json" }</w:instrText>
      </w:r>
      <w:r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[32]</w:t>
      </w:r>
      <w:r w:rsidRPr="007721FB">
        <w:rPr>
          <w:rFonts w:ascii="Times New Roman" w:hAnsi="Times New Roman" w:cs="Times New Roman"/>
          <w:sz w:val="24"/>
          <w:szCs w:val="24"/>
        </w:rPr>
        <w:fldChar w:fldCharType="end"/>
      </w:r>
      <w:r w:rsidRPr="007721FB">
        <w:rPr>
          <w:rFonts w:ascii="Times New Roman" w:hAnsi="Times New Roman" w:cs="Times New Roman"/>
          <w:sz w:val="24"/>
          <w:szCs w:val="24"/>
        </w:rPr>
        <w:t xml:space="preserve">. It is unknown whether this pattern of glycocalyx is similar in marrow fenestrae </w:t>
      </w:r>
      <w:r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"DOI" : "10.1186/2040-2384-2-14", "ISBN" : "2040-2384", "ISSN" : "2040-2384", "PMID" : "20701757", "abstract" : "Much of our current understanding of microvascular permeability is based on the findings of classic experimental studies of blood capillary permeability to various-sized lipid-insoluble endogenous and non-endogenous macromolecules. According to the classic small pore theory of microvascular permeability, which was formulated on the basis of the findings of studies on the transcapillary flow rates of various-sized systemically or regionally perfused endogenous macromolecules, transcapillary exchange across the capillary wall takes place through a single population of small pores that are approximately 6 nm in diameter; whereas, according to the dual pore theory of microvascular permeability, which was formulated on the basis of the findings of studies on the accumulation of various-sized systemically or regionally perfused non-endogenous macromolecules in the locoregional tissue lymphatic drainages, transcapillary exchange across the capillary wall also takes place through a separate population of large pores, or capillary leaks, that are between 24 and 60 nm in diameter. The classification of blood capillary types on the basis of differences in the physiologic upper limits of pore size to transvascular flow highlights the differences in the transcapillary exchange routes for the transvascular transport of endogenous and non-endogenous macromolecules across the capillary walls of different blood capillary types.", "author" : [ { "dropping-particle" : "", "family" : "Sarin", "given" : "Hemant", "non-dropping-particle" : "", "parse-names" : false, "suffix" : "" } ], "container-title" : "Journal of Angiogenesis Research", "id" : "ITEM-1", "issue" : "1", "issued" : { "date-parts" : [ [ "2010" ] ] }, "page" : "1-19", "title" : "Physiologic upper limits of pore size of different blood capillary types and another perspective on the dual pore theory of microvascular permeability", "type" : "article-journal", "volume" : "2" }, "uris" : [ "http://www.mendeley.com/documents/?uuid=d0d550d7-afcd-4418-94b0-6f28322fd87e", "http://www.mendeley.com/documents/?uuid=8bb0a9fd-9faf-4029-89a8-255f34ff5801" ] } ], "mendeley" : { "formattedCitation" : "[32]", "plainTextFormattedCitation" : "[32]", "previouslyFormattedCitation" : "[32]" }, "properties" : { "noteIndex" : 0 }, "schema" : "https://github.com/citation-style-language/schema/raw/master/csl-citation.json" }</w:instrText>
      </w:r>
      <w:r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[32]</w:t>
      </w:r>
      <w:r w:rsidRPr="007721FB">
        <w:rPr>
          <w:rFonts w:ascii="Times New Roman" w:hAnsi="Times New Roman" w:cs="Times New Roman"/>
          <w:sz w:val="24"/>
          <w:szCs w:val="24"/>
        </w:rPr>
        <w:fldChar w:fldCharType="end"/>
      </w:r>
      <w:r w:rsidRPr="007721FB">
        <w:rPr>
          <w:rFonts w:ascii="Times New Roman" w:hAnsi="Times New Roman" w:cs="Times New Roman"/>
          <w:sz w:val="24"/>
          <w:szCs w:val="24"/>
        </w:rPr>
        <w:t>. Overall, the presence of the diaphragm in fenestrae and adjacent patterning of glycocalyx matrix fibers could play a role in delineating the physiologic upper limit of pore size and affect particles accumulation.</w:t>
      </w:r>
      <w:r w:rsidRPr="007721FB">
        <w:rPr>
          <w:rFonts w:ascii="Times New Roman" w:hAnsi="Times New Roman" w:cs="Times New Roman"/>
          <w:sz w:val="24"/>
        </w:rPr>
        <w:t xml:space="preserve"> The type of capillaries also varies between red (hematopoietic) and yellow (</w:t>
      </w:r>
      <w:r w:rsidR="00B02D2F" w:rsidRPr="007721FB">
        <w:rPr>
          <w:rFonts w:ascii="Times New Roman" w:hAnsi="Times New Roman" w:cs="Times New Roman"/>
          <w:sz w:val="24"/>
        </w:rPr>
        <w:t>fatty</w:t>
      </w:r>
      <w:r w:rsidRPr="007721FB">
        <w:rPr>
          <w:rFonts w:ascii="Times New Roman" w:hAnsi="Times New Roman" w:cs="Times New Roman"/>
          <w:sz w:val="24"/>
        </w:rPr>
        <w:t xml:space="preserve">) bone marrow. While vessels in red marrow are characterized by flat reticulum cells with many diaphragmed fenestrations and no basal membrane, in yellow bone marrow the vessels are closed and continuous, akin to those present in other tissues such as the </w:t>
      </w:r>
      <w:r w:rsidRPr="007721FB">
        <w:rPr>
          <w:rFonts w:ascii="Times New Roman" w:hAnsi="Times New Roman" w:cs="Times New Roman"/>
          <w:sz w:val="24"/>
        </w:rPr>
        <w:lastRenderedPageBreak/>
        <w:t xml:space="preserve">muscle </w:t>
      </w:r>
      <w:r w:rsidRPr="007721FB">
        <w:rPr>
          <w:rFonts w:ascii="Times New Roman" w:hAnsi="Times New Roman" w:cs="Times New Roman"/>
          <w:sz w:val="24"/>
        </w:rPr>
        <w:fldChar w:fldCharType="begin" w:fldLock="1"/>
      </w:r>
      <w:r w:rsidR="00B31E12" w:rsidRPr="007721FB">
        <w:rPr>
          <w:rFonts w:ascii="Times New Roman" w:hAnsi="Times New Roman" w:cs="Times New Roman"/>
          <w:sz w:val="24"/>
        </w:rPr>
        <w:instrText>ADDIN CSL_CITATION { "citationItems" : [ { "id" : "ITEM-1", "itemData" : { "DOI" : "https://doi.org/10.1016/B978-0-12-508302-7.50016-3", "ISBN" : "978-0-12-508302-7", "author" : [ { "dropping-particle" : "", "family" : "Williams", "given" : "E Alan", "non-dropping-particle" : "", "parse-names" : false, "suffix" : "" }, { "dropping-particle" : "", "family" : "Fitzgerald Jr.", "given" : "Robert H", "non-dropping-particle" : "", "parse-names" : false, "suffix" : "" }, { "dropping-particle" : "", "family" : "Kelly", "given" : "Patrick J", "non-dropping-particle" : "", "parse-names" : false, "suffix" : "" } ], "container-title" : "The Physiology and Pharmacology of the Microcirculation", "id" : "ITEM-1", "issued" : { "date-parts" : [ [ "1984" ] ] }, "page" : "267-323", "publisher" : "Academic Press", "title" : "8 - Microcirculation of Bone A2 - Mortillaro, Nicholas A. BT - The Physiology and Pharmacology of the Microcirculation", "type" : "chapter" }, "uris" : [ "http://www.mendeley.com/documents/?uuid=26c1090b-0091-4d32-bc30-71dcc84dbe86", "http://www.mendeley.com/documents/?uuid=8d53bfab-071d-402b-999d-5687adb31c01" ] } ], "mendeley" : { "formattedCitation" : "[35]", "plainTextFormattedCitation" : "[35]", "previouslyFormattedCitation" : "[35]" }, "properties" : { "noteIndex" : 0 }, "schema" : "https://github.com/citation-style-language/schema/raw/master/csl-citation.json" }</w:instrText>
      </w:r>
      <w:r w:rsidRPr="007721FB">
        <w:rPr>
          <w:rFonts w:ascii="Times New Roman" w:hAnsi="Times New Roman" w:cs="Times New Roman"/>
          <w:sz w:val="24"/>
        </w:rPr>
        <w:fldChar w:fldCharType="separate"/>
      </w:r>
      <w:r w:rsidR="00B31E12" w:rsidRPr="007721FB">
        <w:rPr>
          <w:rFonts w:ascii="Times New Roman" w:hAnsi="Times New Roman" w:cs="Times New Roman"/>
          <w:noProof/>
          <w:sz w:val="24"/>
        </w:rPr>
        <w:t>[35]</w:t>
      </w:r>
      <w:r w:rsidRPr="007721FB">
        <w:rPr>
          <w:rFonts w:ascii="Times New Roman" w:hAnsi="Times New Roman" w:cs="Times New Roman"/>
          <w:sz w:val="24"/>
        </w:rPr>
        <w:fldChar w:fldCharType="end"/>
      </w:r>
      <w:r w:rsidRPr="007721FB">
        <w:rPr>
          <w:rFonts w:ascii="Times New Roman" w:hAnsi="Times New Roman" w:cs="Times New Roman"/>
          <w:sz w:val="24"/>
        </w:rPr>
        <w:t>. Interestingly, this may help explain the biodistribution pattern that Sou and co</w:t>
      </w:r>
      <w:r w:rsidR="00B02D2F" w:rsidRPr="007721FB">
        <w:rPr>
          <w:rFonts w:ascii="Times New Roman" w:hAnsi="Times New Roman" w:cs="Times New Roman"/>
          <w:sz w:val="24"/>
        </w:rPr>
        <w:t>-</w:t>
      </w:r>
      <w:r w:rsidRPr="007721FB">
        <w:rPr>
          <w:rFonts w:ascii="Times New Roman" w:hAnsi="Times New Roman" w:cs="Times New Roman"/>
          <w:sz w:val="24"/>
        </w:rPr>
        <w:t xml:space="preserve">workers observed after intravenous administration of bone marrow-specific liposomes (216 ± 21 nm) in non-human primates </w:t>
      </w:r>
      <w:r w:rsidRPr="007721FB">
        <w:rPr>
          <w:rFonts w:ascii="Times New Roman" w:hAnsi="Times New Roman" w:cs="Times New Roman"/>
          <w:sz w:val="24"/>
        </w:rPr>
        <w:fldChar w:fldCharType="begin" w:fldLock="1"/>
      </w:r>
      <w:r w:rsidR="00B31E12" w:rsidRPr="007721FB">
        <w:rPr>
          <w:rFonts w:ascii="Times New Roman" w:hAnsi="Times New Roman" w:cs="Times New Roman"/>
          <w:sz w:val="24"/>
        </w:rPr>
        <w:instrText>ADDIN CSL_CITATION { "citationItems" : [ { "id" : "ITEM-1", "itemData" : { "DOI" : "10.2217/nnm.09.78", "ISSN" : "1748-6963", "PMID" : "20025463", "abstract" : "BACKGROUND &amp; AIMS: Recently, we described a novel surface-modified lipid vesicle formulation (liposome) that had very high targeting to bone marrow in normal rabbits. Because the bone marrow is the site of hematopoiesis, bone marrow-targeted drug-delivery systems have many potential applications. In this study we investigated whether these bone marrow-targeted vesicles are also similarly effective for bone marrow targeting in rhesus monkeys, a primate animal model that is more relevant to humans.\\n\\nMATERIALS &amp; METHODS: The preformed vesicles encapsulating 30 mM glutathione were labeled with technetium-99m ((99m)Tc) for scintigraphic imaging. The vesicles were 216 +/- 21 nm in diameter with a negative surface charge composed of DPPC, cholesterol, anionic amphiphile and poly(ethylene glycol)-DSPE (1:1:0.2:0.013 molar ratio).\\n\\nRESULTS: The whole-body images of rhesus monkeys receiving intravenous (99m)Tc vesicles revealed high uptake of the (99m)Tc vesicles in bone marrow. Based on image analysis, we estimated that approximately 70% of the injected dose of the (99m)Tc vesicles was taken up by the bone marrow.\\n\\nCONCLUSION: This finding increases the feasibility of using this bone marrow-specific drug-delivery system for clinical applications.", "author" : [ { "dropping-particle" : "", "family" : "Sou", "given" : "Keitaro", "non-dropping-particle" : "", "parse-names" : false, "suffix" : "" }, { "dropping-particle" : "", "family" : "Goins", "given" : "Beth", "non-dropping-particle" : "", "parse-names" : false, "suffix" : "" }, { "dropping-particle" : "", "family" : "Leland", "given" : "Michelle M", "non-dropping-particle" : "", "parse-names" : false, "suffix" : "" }, { "dropping-particle" : "", "family" : "Tsuchida", "given" : "Eishun", "non-dropping-particle" : "", "parse-names" : false, "suffix" : "" }, { "dropping-particle" : "", "family" : "Phillips", "given" : "William T", "non-dropping-particle" : "", "parse-names" : false, "suffix" : "" } ], "container-title" : "Nanomedicine (London, England)", "id" : "ITEM-1", "issue" : "1", "issued" : { "date-parts" : [ [ "2010" ] ] }, "page" : "41-9", "title" : "Bone marrow-targeted liposomal carriers: a feasibility study in nonhuman primates.", "type" : "article-journal", "volume" : "5" }, "uris" : [ "http://www.mendeley.com/documents/?uuid=2d53828d-eacd-498d-a9c3-c6d5e7ff5446", "http://www.mendeley.com/documents/?uuid=ba61a47c-c306-447f-a9ba-056fc5077a98" ] } ], "mendeley" : { "formattedCitation" : "[36]", "plainTextFormattedCitation" : "[36]", "previouslyFormattedCitation" : "[36]" }, "properties" : { "noteIndex" : 0 }, "schema" : "https://github.com/citation-style-language/schema/raw/master/csl-citation.json" }</w:instrText>
      </w:r>
      <w:r w:rsidRPr="007721FB">
        <w:rPr>
          <w:rFonts w:ascii="Times New Roman" w:hAnsi="Times New Roman" w:cs="Times New Roman"/>
          <w:sz w:val="24"/>
        </w:rPr>
        <w:fldChar w:fldCharType="separate"/>
      </w:r>
      <w:r w:rsidR="00B31E12" w:rsidRPr="007721FB">
        <w:rPr>
          <w:rFonts w:ascii="Times New Roman" w:hAnsi="Times New Roman" w:cs="Times New Roman"/>
          <w:noProof/>
          <w:sz w:val="24"/>
        </w:rPr>
        <w:t>[36]</w:t>
      </w:r>
      <w:r w:rsidRPr="007721FB">
        <w:rPr>
          <w:rFonts w:ascii="Times New Roman" w:hAnsi="Times New Roman" w:cs="Times New Roman"/>
          <w:sz w:val="24"/>
        </w:rPr>
        <w:fldChar w:fldCharType="end"/>
      </w:r>
      <w:r w:rsidRPr="007721FB">
        <w:rPr>
          <w:rFonts w:ascii="Times New Roman" w:hAnsi="Times New Roman" w:cs="Times New Roman"/>
          <w:sz w:val="24"/>
        </w:rPr>
        <w:t>. Besides achieving 70 % of the administered dose accumulated in the bone marrow, the</w:t>
      </w:r>
      <w:r w:rsidR="00127F9B" w:rsidRPr="007721FB">
        <w:rPr>
          <w:rFonts w:ascii="Times New Roman" w:hAnsi="Times New Roman" w:cs="Times New Roman"/>
          <w:sz w:val="24"/>
        </w:rPr>
        <w:t>se researchers</w:t>
      </w:r>
      <w:r w:rsidRPr="007721FB">
        <w:rPr>
          <w:rFonts w:ascii="Times New Roman" w:hAnsi="Times New Roman" w:cs="Times New Roman"/>
          <w:sz w:val="24"/>
        </w:rPr>
        <w:t xml:space="preserve"> observed that liposomes biodistribution in rhesus monkeys was similar to that of the pattern of red marrow in humans. Because red marrow is highly irrigated with sinusoid capillaries, </w:t>
      </w:r>
      <w:r w:rsidR="00E15633" w:rsidRPr="007721FB">
        <w:rPr>
          <w:rFonts w:ascii="Times New Roman" w:hAnsi="Times New Roman" w:cs="Times New Roman"/>
          <w:sz w:val="24"/>
        </w:rPr>
        <w:t xml:space="preserve">one </w:t>
      </w:r>
      <w:r w:rsidRPr="007721FB">
        <w:rPr>
          <w:rFonts w:ascii="Times New Roman" w:hAnsi="Times New Roman" w:cs="Times New Roman"/>
          <w:sz w:val="24"/>
        </w:rPr>
        <w:t>can hypothesize that this reflect</w:t>
      </w:r>
      <w:r w:rsidR="00E15633" w:rsidRPr="007721FB">
        <w:rPr>
          <w:rFonts w:ascii="Times New Roman" w:hAnsi="Times New Roman" w:cs="Times New Roman"/>
          <w:sz w:val="24"/>
        </w:rPr>
        <w:t>s</w:t>
      </w:r>
      <w:r w:rsidRPr="007721FB">
        <w:rPr>
          <w:rFonts w:ascii="Times New Roman" w:hAnsi="Times New Roman" w:cs="Times New Roman"/>
          <w:sz w:val="24"/>
        </w:rPr>
        <w:t xml:space="preserve"> the importance of sinusoids in nanocarriers bone marrow accumulation. </w:t>
      </w:r>
    </w:p>
    <w:p w14:paraId="2AC17822" w14:textId="6CE067E5" w:rsidR="00EE0E61" w:rsidRPr="007721FB" w:rsidRDefault="003E08A9" w:rsidP="00EE0E61">
      <w:pPr>
        <w:spacing w:after="0" w:line="240" w:lineRule="auto"/>
        <w:jc w:val="both"/>
        <w:rPr>
          <w:rFonts w:ascii="Times New Roman" w:hAnsi="Times New Roman" w:cs="Times New Roman"/>
          <w:sz w:val="24"/>
        </w:rPr>
      </w:pPr>
      <w:r w:rsidRPr="007721FB">
        <w:rPr>
          <w:rFonts w:ascii="Times New Roman" w:hAnsi="Times New Roman" w:cs="Times New Roman"/>
          <w:sz w:val="24"/>
          <w:szCs w:val="24"/>
        </w:rPr>
        <w:t xml:space="preserve">   </w:t>
      </w:r>
      <w:r w:rsidR="00590BEE" w:rsidRPr="007721FB">
        <w:rPr>
          <w:rFonts w:ascii="Times New Roman" w:hAnsi="Times New Roman" w:cs="Times New Roman"/>
          <w:sz w:val="24"/>
          <w:szCs w:val="24"/>
        </w:rPr>
        <w:t>The second</w:t>
      </w:r>
      <w:r w:rsidRPr="007721FB">
        <w:rPr>
          <w:rFonts w:ascii="Times New Roman" w:hAnsi="Times New Roman" w:cs="Times New Roman"/>
          <w:sz w:val="24"/>
          <w:szCs w:val="24"/>
        </w:rPr>
        <w:t xml:space="preserve"> aspect that must be considered in the </w:t>
      </w:r>
      <w:r w:rsidR="00590BEE" w:rsidRPr="007721FB">
        <w:rPr>
          <w:rFonts w:ascii="Times New Roman" w:hAnsi="Times New Roman" w:cs="Times New Roman"/>
          <w:sz w:val="24"/>
          <w:szCs w:val="24"/>
        </w:rPr>
        <w:t>paracellular</w:t>
      </w:r>
      <w:r w:rsidRPr="007721FB">
        <w:rPr>
          <w:rFonts w:ascii="Times New Roman" w:hAnsi="Times New Roman" w:cs="Times New Roman"/>
          <w:sz w:val="24"/>
          <w:szCs w:val="24"/>
        </w:rPr>
        <w:t xml:space="preserve"> accumulation pathway </w:t>
      </w:r>
      <w:r w:rsidR="00D47F3D" w:rsidRPr="007721FB">
        <w:rPr>
          <w:rFonts w:ascii="Times New Roman" w:hAnsi="Times New Roman" w:cs="Times New Roman"/>
          <w:sz w:val="24"/>
          <w:szCs w:val="24"/>
        </w:rPr>
        <w:t xml:space="preserve">is </w:t>
      </w:r>
      <w:r w:rsidR="003131F4" w:rsidRPr="007721FB">
        <w:rPr>
          <w:rFonts w:ascii="Times New Roman" w:hAnsi="Times New Roman" w:cs="Times New Roman"/>
          <w:sz w:val="24"/>
          <w:szCs w:val="24"/>
        </w:rPr>
        <w:t>the exact marrow fenestrae</w:t>
      </w:r>
      <w:r w:rsidR="00D64ED9" w:rsidRPr="007721FB">
        <w:rPr>
          <w:rFonts w:ascii="Times New Roman" w:hAnsi="Times New Roman" w:cs="Times New Roman"/>
          <w:sz w:val="24"/>
          <w:szCs w:val="24"/>
        </w:rPr>
        <w:t xml:space="preserve"> dimension</w:t>
      </w:r>
      <w:r w:rsidR="003131F4" w:rsidRPr="007721FB">
        <w:rPr>
          <w:rFonts w:ascii="Times New Roman" w:hAnsi="Times New Roman" w:cs="Times New Roman"/>
          <w:sz w:val="24"/>
          <w:szCs w:val="24"/>
        </w:rPr>
        <w:t xml:space="preserve"> in humans</w:t>
      </w:r>
      <w:r w:rsidR="00021727" w:rsidRPr="007721FB">
        <w:rPr>
          <w:rFonts w:ascii="Times New Roman" w:hAnsi="Times New Roman" w:cs="Times New Roman"/>
          <w:sz w:val="24"/>
          <w:szCs w:val="24"/>
        </w:rPr>
        <w:t>,</w:t>
      </w:r>
      <w:r w:rsidR="00EE657B" w:rsidRPr="007721FB">
        <w:rPr>
          <w:rFonts w:ascii="Times New Roman" w:hAnsi="Times New Roman" w:cs="Times New Roman"/>
          <w:sz w:val="24"/>
          <w:szCs w:val="24"/>
        </w:rPr>
        <w:t xml:space="preserve"> particularly in non-malignant disease,</w:t>
      </w:r>
      <w:r w:rsidR="00021727" w:rsidRPr="007721FB">
        <w:rPr>
          <w:rFonts w:ascii="Times New Roman" w:hAnsi="Times New Roman" w:cs="Times New Roman"/>
          <w:sz w:val="24"/>
          <w:szCs w:val="24"/>
        </w:rPr>
        <w:t xml:space="preserve"> since this</w:t>
      </w:r>
      <w:r w:rsidR="003131F4" w:rsidRPr="007721FB">
        <w:rPr>
          <w:rFonts w:ascii="Times New Roman" w:hAnsi="Times New Roman" w:cs="Times New Roman"/>
          <w:sz w:val="24"/>
          <w:szCs w:val="24"/>
        </w:rPr>
        <w:t xml:space="preserve"> is currently unkno</w:t>
      </w:r>
      <w:r w:rsidR="00B97129" w:rsidRPr="007721FB">
        <w:rPr>
          <w:rFonts w:ascii="Times New Roman" w:hAnsi="Times New Roman" w:cs="Times New Roman"/>
          <w:sz w:val="24"/>
          <w:szCs w:val="24"/>
        </w:rPr>
        <w:t xml:space="preserve">wn to the best of our knowledge. </w:t>
      </w:r>
      <w:r w:rsidR="00B960D1" w:rsidRPr="007721FB">
        <w:rPr>
          <w:rFonts w:ascii="Times New Roman" w:hAnsi="Times New Roman" w:cs="Times New Roman"/>
          <w:sz w:val="24"/>
          <w:szCs w:val="24"/>
        </w:rPr>
        <w:t>T</w:t>
      </w:r>
      <w:r w:rsidR="003131F4" w:rsidRPr="007721FB">
        <w:rPr>
          <w:rFonts w:ascii="Times New Roman" w:hAnsi="Times New Roman" w:cs="Times New Roman"/>
          <w:sz w:val="24"/>
          <w:szCs w:val="24"/>
        </w:rPr>
        <w:t>he reported</w:t>
      </w:r>
      <w:r w:rsidR="00C878D7" w:rsidRPr="007721FB">
        <w:rPr>
          <w:rFonts w:ascii="Times New Roman" w:hAnsi="Times New Roman" w:cs="Times New Roman"/>
          <w:sz w:val="24"/>
          <w:szCs w:val="24"/>
        </w:rPr>
        <w:t xml:space="preserve"> size fenestrae</w:t>
      </w:r>
      <w:r w:rsidR="003131F4" w:rsidRPr="007721FB">
        <w:rPr>
          <w:rFonts w:ascii="Times New Roman" w:hAnsi="Times New Roman" w:cs="Times New Roman"/>
          <w:sz w:val="24"/>
          <w:szCs w:val="24"/>
        </w:rPr>
        <w:t xml:space="preserve"> ranges in the literature a</w:t>
      </w:r>
      <w:r w:rsidR="00B97129" w:rsidRPr="007721FB">
        <w:rPr>
          <w:rFonts w:ascii="Times New Roman" w:hAnsi="Times New Roman" w:cs="Times New Roman"/>
          <w:sz w:val="24"/>
          <w:szCs w:val="24"/>
        </w:rPr>
        <w:t>re extrapolated from a</w:t>
      </w:r>
      <w:r w:rsidR="003131F4" w:rsidRPr="007721FB">
        <w:rPr>
          <w:rFonts w:ascii="Times New Roman" w:hAnsi="Times New Roman" w:cs="Times New Roman"/>
          <w:sz w:val="24"/>
          <w:szCs w:val="24"/>
        </w:rPr>
        <w:t xml:space="preserve"> multitude of studies </w:t>
      </w:r>
      <w:r w:rsidR="00B97129" w:rsidRPr="007721FB">
        <w:rPr>
          <w:rFonts w:ascii="Times New Roman" w:hAnsi="Times New Roman" w:cs="Times New Roman"/>
          <w:sz w:val="24"/>
          <w:szCs w:val="24"/>
        </w:rPr>
        <w:t>performed only in animal</w:t>
      </w:r>
      <w:r w:rsidR="003131F4" w:rsidRPr="007721FB">
        <w:rPr>
          <w:rFonts w:ascii="Times New Roman" w:hAnsi="Times New Roman" w:cs="Times New Roman"/>
          <w:sz w:val="24"/>
          <w:szCs w:val="24"/>
        </w:rPr>
        <w:t xml:space="preserve"> models</w:t>
      </w:r>
      <w:r w:rsidR="00B960D1" w:rsidRPr="007721FB">
        <w:rPr>
          <w:rFonts w:ascii="Times New Roman" w:hAnsi="Times New Roman" w:cs="Times New Roman"/>
          <w:sz w:val="24"/>
          <w:szCs w:val="24"/>
        </w:rPr>
        <w:t xml:space="preserve"> and should be updated</w:t>
      </w:r>
      <w:r w:rsidR="00C878D7" w:rsidRPr="007721FB">
        <w:rPr>
          <w:rFonts w:ascii="Times New Roman" w:hAnsi="Times New Roman" w:cs="Times New Roman"/>
          <w:sz w:val="24"/>
          <w:szCs w:val="24"/>
        </w:rPr>
        <w:t xml:space="preserve"> with robust information from human studies</w:t>
      </w:r>
      <w:r w:rsidR="003131F4" w:rsidRPr="007721FB">
        <w:rPr>
          <w:rFonts w:ascii="Times New Roman" w:hAnsi="Times New Roman" w:cs="Times New Roman"/>
          <w:sz w:val="24"/>
          <w:szCs w:val="24"/>
        </w:rPr>
        <w:t xml:space="preserve">. </w:t>
      </w:r>
      <w:r w:rsidR="00B960D1" w:rsidRPr="007721FB">
        <w:rPr>
          <w:rFonts w:ascii="Times New Roman" w:hAnsi="Times New Roman" w:cs="Times New Roman"/>
          <w:sz w:val="24"/>
          <w:szCs w:val="24"/>
        </w:rPr>
        <w:t xml:space="preserve">The existing </w:t>
      </w:r>
      <w:r w:rsidR="003131F4" w:rsidRPr="007721FB">
        <w:rPr>
          <w:rFonts w:ascii="Times New Roman" w:hAnsi="Times New Roman" w:cs="Times New Roman"/>
          <w:sz w:val="24"/>
          <w:szCs w:val="24"/>
        </w:rPr>
        <w:t>differences in bone</w:t>
      </w:r>
      <w:r w:rsidR="00D64ED9" w:rsidRPr="007721FB">
        <w:rPr>
          <w:rFonts w:ascii="Times New Roman" w:hAnsi="Times New Roman" w:cs="Times New Roman"/>
          <w:sz w:val="24"/>
          <w:szCs w:val="24"/>
        </w:rPr>
        <w:t xml:space="preserve"> vascular</w:t>
      </w:r>
      <w:r w:rsidR="00021727" w:rsidRPr="007721FB">
        <w:rPr>
          <w:rFonts w:ascii="Times New Roman" w:hAnsi="Times New Roman" w:cs="Times New Roman"/>
          <w:sz w:val="24"/>
          <w:szCs w:val="24"/>
        </w:rPr>
        <w:t xml:space="preserve"> microarchitecture</w:t>
      </w:r>
      <w:r w:rsidR="00B97129" w:rsidRPr="007721FB">
        <w:rPr>
          <w:rFonts w:ascii="Times New Roman" w:hAnsi="Times New Roman" w:cs="Times New Roman"/>
          <w:sz w:val="24"/>
          <w:szCs w:val="24"/>
        </w:rPr>
        <w:t xml:space="preserve"> </w:t>
      </w:r>
      <w:r w:rsidR="00EE657B" w:rsidRPr="007721FB">
        <w:rPr>
          <w:rFonts w:ascii="Times New Roman" w:hAnsi="Times New Roman" w:cs="Times New Roman"/>
          <w:sz w:val="24"/>
          <w:szCs w:val="24"/>
        </w:rPr>
        <w:t xml:space="preserve">between species </w:t>
      </w:r>
      <w:r w:rsidR="00B97129" w:rsidRPr="007721FB">
        <w:rPr>
          <w:rFonts w:ascii="Times New Roman" w:hAnsi="Times New Roman" w:cs="Times New Roman"/>
          <w:sz w:val="24"/>
          <w:szCs w:val="24"/>
        </w:rPr>
        <w:t xml:space="preserve">may </w:t>
      </w:r>
      <w:r w:rsidR="00D64ED9" w:rsidRPr="007721FB">
        <w:rPr>
          <w:rFonts w:ascii="Times New Roman" w:hAnsi="Times New Roman" w:cs="Times New Roman"/>
          <w:sz w:val="24"/>
          <w:szCs w:val="24"/>
        </w:rPr>
        <w:t>impact</w:t>
      </w:r>
      <w:r w:rsidR="00B97129" w:rsidRPr="007721FB">
        <w:rPr>
          <w:rFonts w:ascii="Times New Roman" w:hAnsi="Times New Roman" w:cs="Times New Roman"/>
          <w:sz w:val="24"/>
          <w:szCs w:val="24"/>
        </w:rPr>
        <w:t xml:space="preserve"> the analysis of</w:t>
      </w:r>
      <w:r w:rsidR="00C878D7" w:rsidRPr="007721FB">
        <w:rPr>
          <w:rFonts w:ascii="Times New Roman" w:hAnsi="Times New Roman" w:cs="Times New Roman"/>
          <w:sz w:val="24"/>
          <w:szCs w:val="24"/>
        </w:rPr>
        <w:t xml:space="preserve"> the biological performance of</w:t>
      </w:r>
      <w:r w:rsidR="00B97129" w:rsidRPr="007721FB">
        <w:rPr>
          <w:rFonts w:ascii="Times New Roman" w:hAnsi="Times New Roman" w:cs="Times New Roman"/>
          <w:sz w:val="24"/>
          <w:szCs w:val="24"/>
        </w:rPr>
        <w:t xml:space="preserve"> nanocarriers </w:t>
      </w:r>
      <w:r w:rsidR="00EE0E61" w:rsidRPr="007721FB">
        <w:rPr>
          <w:rFonts w:ascii="Times New Roman" w:hAnsi="Times New Roman" w:cs="Times New Roman"/>
          <w:sz w:val="24"/>
          <w:szCs w:val="24"/>
        </w:rPr>
        <w:t>and impair their successful clinical translation in the long run. In fact, there is a clear disparity between the organization of cortical vascularization in long bones among species, with rodents lacking well-developed Harvesian remodeling systems when compared to larger mammals</w:t>
      </w:r>
      <w:r w:rsidR="004F1E65" w:rsidRPr="007721FB">
        <w:rPr>
          <w:rFonts w:ascii="Times New Roman" w:hAnsi="Times New Roman" w:cs="Times New Roman"/>
          <w:sz w:val="24"/>
          <w:szCs w:val="24"/>
        </w:rPr>
        <w:t xml:space="preserve"> </w:t>
      </w:r>
      <w:r w:rsidR="00EE0E61"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"DOI" : "10.1038/bonekey.2015.29", "ISBN" : "2047-6396 (Electronic) 2047-6396 (Linking)", "ISSN" : "2047-6396", "PMID" : "25861447", "abstract" : "Bone is a composite organ that fulfils several interconnected functions, which may conflict with each other in pathological conditions. Bone vascularization is at the interface between these functions. The roles of bone vascularization are better documented in bone development, growth and modeling than in bone remodeling. However, every bone remodeling unit is associated with a capillary in both cortical and trabecular envelopes. Here we summarize the most recent data on vessel involvement in bone remodeling, and we present the characteristics of bone vascularization. Finally, we describe the various techniques used for bone vessel imaging and quantitative assessment, including histology, immunohistochemistry, microtomography and intravital microscopy. Studying the role of vascularization in adult bone should provide benefits for the understanding and treatment of metabolic bone diseases.", "author" : [ { "dropping-particle" : "", "family" : "Lafage-Proust", "given" : "Marie-H\u00e9l\u00e8ne", "non-dropping-particle" : "", "parse-names" : false, "suffix" : "" }, { "dropping-particle" : "", "family" : "Roche", "given" : "Bernard", "non-dropping-particle" : "", "parse-names" : false, "suffix" : "" }, { "dropping-particle" : "", "family" : "Langer", "given" : "Max", "non-dropping-particle" : "", "parse-names" : false, "suffix" : "" }, { "dropping-particle" : "", "family" : "Cleret", "given" : "Damien", "non-dropping-particle" : "", "parse-names" : false, "suffix" : "" }, { "dropping-particle" : "", "family" : "Bossche", "given" : "Arnaud", "non-dropping-particle" : "Vanden", "parse-names" : false, "suffix" : "" }, { "dropping-particle" : "", "family" : "Olivier", "given" : "Thomas", "non-dropping-particle" : "", "parse-names" : false, "suffix" : "" }, { "dropping-particle" : "", "family" : "Vico", "given" : "Laurence", "non-dropping-particle" : "", "parse-names" : false, "suffix" : "" } ], "container-title" : "BoneKEy reports", "id" : "ITEM-1", "issue" : "April", "issued" : { "date-parts" : [ [ "2015" ] ] }, "page" : "662", "title" : "Assessment of bone vascularization and its role in bone remodeling.", "type" : "article-journal", "volume" : "4" }, "uris" : [ "http://www.mendeley.com/documents/?uuid=c497d6a9-b870-42fd-825f-af6e81aa6e54", "http://www.mendeley.com/documents/?uuid=bde33488-1e24-406b-9594-4adedee7c0be" ] } ], "mendeley" : { "formattedCitation" : "[37]", "plainTextFormattedCitation" : "[37]", "previouslyFormattedCitation" : "[37]" }, "properties" : { "noteIndex" : 0 }, "schema" : "https://github.com/citation-style-language/schema/raw/master/csl-citation.json" }</w:instrText>
      </w:r>
      <w:r w:rsidR="00EE0E61"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[37]</w:t>
      </w:r>
      <w:r w:rsidR="00EE0E61" w:rsidRPr="007721FB">
        <w:rPr>
          <w:rFonts w:ascii="Times New Roman" w:hAnsi="Times New Roman" w:cs="Times New Roman"/>
          <w:sz w:val="24"/>
          <w:szCs w:val="24"/>
        </w:rPr>
        <w:fldChar w:fldCharType="end"/>
      </w:r>
      <w:r w:rsidR="00EE0E61" w:rsidRPr="007721FB">
        <w:rPr>
          <w:rFonts w:ascii="Times New Roman" w:hAnsi="Times New Roman" w:cs="Times New Roman"/>
          <w:sz w:val="24"/>
          <w:szCs w:val="24"/>
        </w:rPr>
        <w:t xml:space="preserve">. This type of remodeling is a significant source of cortical porosity and age-related bone loss, being thus important for therapeutics delivery in aged individuals </w:t>
      </w:r>
      <w:r w:rsidR="00EE0E61"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"DOI" : "10.1038/bonekey.2015.29", "ISBN" : "2047-6396 (Electronic) 2047-6396 (Linking)", "ISSN" : "2047-6396", "PMID" : "25861447", "abstract" : "Bone is a composite organ that fulfils several interconnected functions, which may conflict with each other in pathological conditions. Bone vascularization is at the interface between these functions. The roles of bone vascularization are better documented in bone development, growth and modeling than in bone remodeling. However, every bone remodeling unit is associated with a capillary in both cortical and trabecular envelopes. Here we summarize the most recent data on vessel involvement in bone remodeling, and we present the characteristics of bone vascularization. Finally, we describe the various techniques used for bone vessel imaging and quantitative assessment, including histology, immunohistochemistry, microtomography and intravital microscopy. Studying the role of vascularization in adult bone should provide benefits for the understanding and treatment of metabolic bone diseases.", "author" : [ { "dropping-particle" : "", "family" : "Lafage-Proust", "given" : "Marie-H\u00e9l\u00e8ne", "non-dropping-particle" : "", "parse-names" : false, "suffix" : "" }, { "dropping-particle" : "", "family" : "Roche", "given" : "Bernard", "non-dropping-particle" : "", "parse-names" : false, "suffix" : "" }, { "dropping-particle" : "", "family" : "Langer", "given" : "Max", "non-dropping-particle" : "", "parse-names" : false, "suffix" : "" }, { "dropping-particle" : "", "family" : "Cleret", "given" : "Damien", "non-dropping-particle" : "", "parse-names" : false, "suffix" : "" }, { "dropping-particle" : "", "family" : "Bossche", "given" : "Arnaud", "non-dropping-particle" : "Vanden", "parse-names" : false, "suffix" : "" }, { "dropping-particle" : "", "family" : "Olivier", "given" : "Thomas", "non-dropping-particle" : "", "parse-names" : false, "suffix" : "" }, { "dropping-particle" : "", "family" : "Vico", "given" : "Laurence", "non-dropping-particle" : "", "parse-names" : false, "suffix" : "" } ], "container-title" : "BoneKEy reports", "id" : "ITEM-1", "issue" : "April", "issued" : { "date-parts" : [ [ "2015" ] ] }, "page" : "662", "title" : "Assessment of bone vascularization and its role in bone remodeling.", "type" : "article-journal", "volume" : "4" }, "uris" : [ "http://www.mendeley.com/documents/?uuid=c497d6a9-b870-42fd-825f-af6e81aa6e54", "http://www.mendeley.com/documents/?uuid=bde33488-1e24-406b-9594-4adedee7c0be" ] } ], "mendeley" : { "formattedCitation" : "[37]", "plainTextFormattedCitation" : "[37]", "previouslyFormattedCitation" : "[37]" }, "properties" : { "noteIndex" : 0 }, "schema" : "https://github.com/citation-style-language/schema/raw/master/csl-citation.json" }</w:instrText>
      </w:r>
      <w:r w:rsidR="00EE0E61"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[37]</w:t>
      </w:r>
      <w:r w:rsidR="00EE0E61" w:rsidRPr="007721FB">
        <w:rPr>
          <w:rFonts w:ascii="Times New Roman" w:hAnsi="Times New Roman" w:cs="Times New Roman"/>
          <w:sz w:val="24"/>
          <w:szCs w:val="24"/>
        </w:rPr>
        <w:fldChar w:fldCharType="end"/>
      </w:r>
      <w:r w:rsidR="00EE0E61" w:rsidRPr="007721FB">
        <w:rPr>
          <w:rFonts w:ascii="Times New Roman" w:hAnsi="Times New Roman" w:cs="Times New Roman"/>
          <w:sz w:val="24"/>
          <w:szCs w:val="24"/>
        </w:rPr>
        <w:t xml:space="preserve">. Also, rodent marrow and cortical vasculature are thought to be in series, contrasting with parallel vascular networks in humans </w:t>
      </w:r>
      <w:r w:rsidR="00EE0E61"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"DOI" : "10.1016/j.jbiomech.2014.12.013", "ISBN" : "0324141122", "ISSN" : "18732380", "PMID" : "25666410", "abstract" : "There are two main types of fluid in bone tissue, blood and interstitial fluid. The chemical composition of these fluids varies with time and location in bone. Blood arrives through the arterial system containing oxygen and other nutrients and the blood components depart via the venous system containing less oxygen and reduced nutrition. Within the bone, as within other tissues, substances pass from the blood through the arterial walls into the interstitial fluid. The movement of the interstitial fluid carries these substances to the cells within the bone and, at the same time, carries off the waste materials from the cells. Bone tissue would not live without these fluid movements. The development of a model for poroelastic materials with hierarchical pore space architecture for the description of blood flow and interstitial fluid flow in living bone tissue is reviewed. The model is applied to the problem of determining the exchange of pore fluid between the vascular porosity and the lacunar-canalicular porosity in bone tissue due to cyclic mechanical loading and blood pressure. These results are basic to the understanding of interstitial flow in bone tissue that, in turn, is basic to understanding of nutrient transport from the vasculature to the bone cells buried in the bone tissue and to the process of mechanotransduction by these cells.", "author" : [ { "dropping-particle" : "", "family" : "Cowin", "given" : "Stephen C.", "non-dropping-particle" : "", "parse-names" : false, "suffix" : "" }, { "dropping-particle" : "", "family" : "Cardoso", "given" : "Luis", "non-dropping-particle" : "", "parse-names" : false, "suffix" : "" } ], "container-title" : "Journal of Biomechanics", "id" : "ITEM-1", "issue" : "5", "issued" : { "date-parts" : [ [ "2015" ] ] }, "page" : "842-854", "publisher" : "Elsevier", "title" : "Blood and interstitial flow in the hierarchical pore space architecture of bone tissue", "type" : "article-journal", "volume" : "48" }, "uris" : [ "http://www.mendeley.com/documents/?uuid=206560dd-71bd-4ab5-b9f9-86bba83ac340", "http://www.mendeley.com/documents/?uuid=99fc37b5-edb5-443b-ba27-366bbc3cc484" ] } ], "mendeley" : { "formattedCitation" : "[24]", "plainTextFormattedCitation" : "[24]", "previouslyFormattedCitation" : "[24]" }, "properties" : { "noteIndex" : 0 }, "schema" : "https://github.com/citation-style-language/schema/raw/master/csl-citation.json" }</w:instrText>
      </w:r>
      <w:r w:rsidR="00EE0E61"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[24]</w:t>
      </w:r>
      <w:r w:rsidR="00EE0E61" w:rsidRPr="007721FB">
        <w:rPr>
          <w:rFonts w:ascii="Times New Roman" w:hAnsi="Times New Roman" w:cs="Times New Roman"/>
          <w:sz w:val="24"/>
          <w:szCs w:val="24"/>
        </w:rPr>
        <w:fldChar w:fldCharType="end"/>
      </w:r>
      <w:r w:rsidR="00EE0E61" w:rsidRPr="007721FB">
        <w:rPr>
          <w:rFonts w:ascii="Times New Roman" w:hAnsi="Times New Roman" w:cs="Times New Roman"/>
          <w:sz w:val="24"/>
          <w:szCs w:val="24"/>
        </w:rPr>
        <w:t xml:space="preserve">. </w:t>
      </w:r>
      <w:r w:rsidR="00EE0E61" w:rsidRPr="007721FB">
        <w:rPr>
          <w:rFonts w:ascii="Times New Roman" w:hAnsi="Times New Roman" w:cs="Times New Roman"/>
          <w:sz w:val="24"/>
        </w:rPr>
        <w:t xml:space="preserve">In other species, such as rabbit and marmoset (but not humans), perisinal macrophages populate the marrow stroma adjacent to bone sinus endothelium, often extending cytoplasmic processes into the lumen and monitoring circulation </w:t>
      </w:r>
      <w:r w:rsidR="00EE0E61" w:rsidRPr="007721FB">
        <w:rPr>
          <w:rFonts w:ascii="Times New Roman" w:hAnsi="Times New Roman" w:cs="Times New Roman"/>
          <w:sz w:val="24"/>
        </w:rPr>
        <w:fldChar w:fldCharType="begin" w:fldLock="1"/>
      </w:r>
      <w:r w:rsidR="00B31E12" w:rsidRPr="007721FB">
        <w:rPr>
          <w:rFonts w:ascii="Times New Roman" w:hAnsi="Times New Roman" w:cs="Times New Roman"/>
          <w:sz w:val="24"/>
        </w:rPr>
        <w:instrText>ADDIN CSL_CITATION { "citationItems" : [ { "id" : "ITEM-1", "itemData" : { "author" : [ { "dropping-particle" : "", "family" : "Moghimi", "given" : "S M", "non-dropping-particle" : "", "parse-names" : false, "suffix" : "" } ], "container-title" : "Advanced Drug Delivery Reviews", "id" : "ITEM-1", "issue" : "1", "issued" : { "date-parts" : [ [ "1995" ] ] }, "page" : "61-73", "title" : "Exploiting bone marrow microvascular structure for drug delivery and future therapies", "type" : "article-journal", "volume" : "17" }, "uris" : [ "http://www.mendeley.com/documents/?uuid=098930d1-26c5-43fc-9599-b3f12f659b17", "http://www.mendeley.com/documents/?uuid=3950ee20-b984-47ad-80b5-ff0b29f20c32" ] } ], "mendeley" : { "formattedCitation" : "[38]", "plainTextFormattedCitation" : "[38]", "previouslyFormattedCitation" : "[38]" }, "properties" : { "noteIndex" : 0 }, "schema" : "https://github.com/citation-style-language/schema/raw/master/csl-citation.json" }</w:instrText>
      </w:r>
      <w:r w:rsidR="00EE0E61" w:rsidRPr="007721FB">
        <w:rPr>
          <w:rFonts w:ascii="Times New Roman" w:hAnsi="Times New Roman" w:cs="Times New Roman"/>
          <w:sz w:val="24"/>
        </w:rPr>
        <w:fldChar w:fldCharType="separate"/>
      </w:r>
      <w:r w:rsidR="00B31E12" w:rsidRPr="007721FB">
        <w:rPr>
          <w:rFonts w:ascii="Times New Roman" w:hAnsi="Times New Roman" w:cs="Times New Roman"/>
          <w:noProof/>
          <w:sz w:val="24"/>
        </w:rPr>
        <w:t>[38]</w:t>
      </w:r>
      <w:r w:rsidR="00EE0E61" w:rsidRPr="007721FB">
        <w:rPr>
          <w:rFonts w:ascii="Times New Roman" w:hAnsi="Times New Roman" w:cs="Times New Roman"/>
          <w:sz w:val="24"/>
        </w:rPr>
        <w:fldChar w:fldCharType="end"/>
      </w:r>
      <w:r w:rsidR="00EE0E61" w:rsidRPr="007721FB">
        <w:rPr>
          <w:rFonts w:ascii="Times New Roman" w:hAnsi="Times New Roman" w:cs="Times New Roman"/>
          <w:sz w:val="24"/>
        </w:rPr>
        <w:t xml:space="preserve">. </w:t>
      </w:r>
      <w:r w:rsidR="00B26E19" w:rsidRPr="007721FB">
        <w:rPr>
          <w:rFonts w:ascii="Times New Roman" w:hAnsi="Times New Roman" w:cs="Times New Roman"/>
          <w:sz w:val="24"/>
        </w:rPr>
        <w:t>These p</w:t>
      </w:r>
      <w:r w:rsidR="00EE0E61" w:rsidRPr="007721FB">
        <w:rPr>
          <w:rFonts w:ascii="Times New Roman" w:hAnsi="Times New Roman" w:cs="Times New Roman"/>
          <w:sz w:val="24"/>
        </w:rPr>
        <w:t xml:space="preserve">erisinal macrophages are an active component of the marrow-blood barrier and play a key role in the uptake of triglyceride-rich macromolecules. </w:t>
      </w:r>
    </w:p>
    <w:p w14:paraId="1B169EA3" w14:textId="3F3C383C" w:rsidR="00C06A6A" w:rsidRPr="007721FB" w:rsidRDefault="00C06A6A" w:rsidP="00C06A6A">
      <w:pPr>
        <w:spacing w:after="0" w:line="240" w:lineRule="auto"/>
        <w:jc w:val="both"/>
        <w:rPr>
          <w:rFonts w:ascii="Times New Roman" w:hAnsi="Times New Roman" w:cs="Times New Roman"/>
          <w:sz w:val="24"/>
          <w:szCs w:val="24"/>
        </w:rPr>
      </w:pPr>
      <w:r w:rsidRPr="007721FB">
        <w:rPr>
          <w:rFonts w:ascii="Times New Roman" w:hAnsi="Times New Roman" w:cs="Times New Roman"/>
          <w:sz w:val="24"/>
          <w:szCs w:val="24"/>
        </w:rPr>
        <w:t xml:space="preserve">   It is important to emphasize that </w:t>
      </w:r>
      <w:r w:rsidR="008E65F7" w:rsidRPr="007721FB">
        <w:rPr>
          <w:rFonts w:ascii="Times New Roman" w:hAnsi="Times New Roman" w:cs="Times New Roman"/>
          <w:sz w:val="24"/>
          <w:szCs w:val="24"/>
        </w:rPr>
        <w:t>these</w:t>
      </w:r>
      <w:r w:rsidRPr="007721FB">
        <w:rPr>
          <w:rFonts w:ascii="Times New Roman" w:hAnsi="Times New Roman" w:cs="Times New Roman"/>
          <w:sz w:val="24"/>
          <w:szCs w:val="24"/>
        </w:rPr>
        <w:t xml:space="preserve"> vascular and cellular barriers are </w:t>
      </w:r>
      <w:r w:rsidR="008E65F7" w:rsidRPr="007721FB">
        <w:rPr>
          <w:rFonts w:ascii="Times New Roman" w:hAnsi="Times New Roman" w:cs="Times New Roman"/>
          <w:sz w:val="24"/>
          <w:szCs w:val="24"/>
        </w:rPr>
        <w:t xml:space="preserve">altered </w:t>
      </w:r>
      <w:r w:rsidRPr="007721FB">
        <w:rPr>
          <w:rFonts w:ascii="Times New Roman" w:hAnsi="Times New Roman" w:cs="Times New Roman"/>
          <w:sz w:val="24"/>
          <w:szCs w:val="24"/>
        </w:rPr>
        <w:t xml:space="preserve">in </w:t>
      </w:r>
      <w:r w:rsidR="008E65F7" w:rsidRPr="007721FB">
        <w:rPr>
          <w:rFonts w:ascii="Times New Roman" w:hAnsi="Times New Roman" w:cs="Times New Roman"/>
          <w:sz w:val="24"/>
          <w:szCs w:val="24"/>
        </w:rPr>
        <w:t>bone-</w:t>
      </w:r>
      <w:r w:rsidRPr="007721FB">
        <w:rPr>
          <w:rFonts w:ascii="Times New Roman" w:hAnsi="Times New Roman" w:cs="Times New Roman"/>
          <w:sz w:val="24"/>
          <w:szCs w:val="24"/>
        </w:rPr>
        <w:t xml:space="preserve">specific diseases including </w:t>
      </w:r>
      <w:r w:rsidR="008E65F7" w:rsidRPr="007721FB">
        <w:rPr>
          <w:rFonts w:ascii="Times New Roman" w:hAnsi="Times New Roman" w:cs="Times New Roman"/>
          <w:sz w:val="24"/>
          <w:szCs w:val="24"/>
        </w:rPr>
        <w:t xml:space="preserve">bone </w:t>
      </w:r>
      <w:r w:rsidRPr="007721FB">
        <w:rPr>
          <w:rFonts w:ascii="Times New Roman" w:hAnsi="Times New Roman" w:cs="Times New Roman"/>
          <w:sz w:val="24"/>
          <w:szCs w:val="24"/>
        </w:rPr>
        <w:t>cancer</w:t>
      </w:r>
      <w:r w:rsidR="008E65F7" w:rsidRPr="007721FB">
        <w:rPr>
          <w:rFonts w:ascii="Times New Roman" w:hAnsi="Times New Roman" w:cs="Times New Roman"/>
          <w:sz w:val="24"/>
          <w:szCs w:val="24"/>
        </w:rPr>
        <w:t>/metastasis</w:t>
      </w:r>
      <w:r w:rsidRPr="007721FB">
        <w:rPr>
          <w:rFonts w:ascii="Times New Roman" w:hAnsi="Times New Roman" w:cs="Times New Roman"/>
          <w:sz w:val="24"/>
          <w:szCs w:val="24"/>
        </w:rPr>
        <w:t xml:space="preserve">, inflammation or during bone remodeling/regeneration processes. In bone regeneration scenarios, after transposing blood vessels and entering the marrow stroma/extravascular space nanocarriers </w:t>
      </w:r>
      <w:r w:rsidR="004F1E65" w:rsidRPr="007721FB">
        <w:rPr>
          <w:rFonts w:ascii="Times New Roman" w:hAnsi="Times New Roman" w:cs="Times New Roman"/>
          <w:sz w:val="24"/>
          <w:szCs w:val="24"/>
        </w:rPr>
        <w:t>encounter a</w:t>
      </w:r>
      <w:r w:rsidRPr="007721FB">
        <w:rPr>
          <w:rFonts w:ascii="Times New Roman" w:hAnsi="Times New Roman" w:cs="Times New Roman"/>
          <w:sz w:val="24"/>
          <w:szCs w:val="24"/>
        </w:rPr>
        <w:t xml:space="preserve"> complex bone extracellular matrix</w:t>
      </w:r>
      <w:r w:rsidR="004F1E65" w:rsidRPr="007721FB">
        <w:rPr>
          <w:rFonts w:ascii="Times New Roman" w:hAnsi="Times New Roman" w:cs="Times New Roman"/>
          <w:sz w:val="24"/>
          <w:szCs w:val="24"/>
        </w:rPr>
        <w:t xml:space="preserve"> that hinders diffusion</w:t>
      </w:r>
      <w:r w:rsidR="00836B1D" w:rsidRPr="007721FB">
        <w:rPr>
          <w:rFonts w:ascii="Times New Roman" w:hAnsi="Times New Roman" w:cs="Times New Roman"/>
          <w:sz w:val="24"/>
          <w:szCs w:val="24"/>
        </w:rPr>
        <w:t xml:space="preserve"> (Figure 1, ECM)</w:t>
      </w:r>
      <w:r w:rsidRPr="007721FB">
        <w:rPr>
          <w:rFonts w:ascii="Times New Roman" w:hAnsi="Times New Roman" w:cs="Times New Roman"/>
          <w:sz w:val="24"/>
          <w:szCs w:val="24"/>
        </w:rPr>
        <w:t xml:space="preserve">. </w:t>
      </w:r>
      <w:r w:rsidR="004F1E65" w:rsidRPr="007721FB">
        <w:rPr>
          <w:rFonts w:ascii="Times New Roman" w:hAnsi="Times New Roman" w:cs="Times New Roman"/>
          <w:sz w:val="24"/>
          <w:szCs w:val="24"/>
        </w:rPr>
        <w:t>Adding to this</w:t>
      </w:r>
      <w:r w:rsidRPr="007721FB">
        <w:rPr>
          <w:rFonts w:ascii="Times New Roman" w:hAnsi="Times New Roman" w:cs="Times New Roman"/>
          <w:sz w:val="24"/>
          <w:szCs w:val="24"/>
        </w:rPr>
        <w:t xml:space="preserve">, nanotherapeutics </w:t>
      </w:r>
      <w:r w:rsidR="004F1E65" w:rsidRPr="007721FB">
        <w:rPr>
          <w:rFonts w:ascii="Times New Roman" w:hAnsi="Times New Roman" w:cs="Times New Roman"/>
          <w:sz w:val="24"/>
          <w:szCs w:val="24"/>
        </w:rPr>
        <w:t>need to subsequently</w:t>
      </w:r>
      <w:r w:rsidR="00836B1D" w:rsidRPr="007721FB">
        <w:rPr>
          <w:rFonts w:ascii="Times New Roman" w:hAnsi="Times New Roman" w:cs="Times New Roman"/>
          <w:sz w:val="24"/>
          <w:szCs w:val="24"/>
        </w:rPr>
        <w:t xml:space="preserve"> overcome phagocytosis by macrophages and </w:t>
      </w:r>
      <w:r w:rsidR="00B02D2F" w:rsidRPr="007721FB">
        <w:rPr>
          <w:rFonts w:ascii="Times New Roman" w:hAnsi="Times New Roman" w:cs="Times New Roman"/>
          <w:sz w:val="24"/>
          <w:szCs w:val="24"/>
        </w:rPr>
        <w:t xml:space="preserve">avoid </w:t>
      </w:r>
      <w:r w:rsidR="00836B1D" w:rsidRPr="007721FB">
        <w:rPr>
          <w:rFonts w:ascii="Times New Roman" w:hAnsi="Times New Roman" w:cs="Times New Roman"/>
          <w:sz w:val="24"/>
          <w:szCs w:val="24"/>
        </w:rPr>
        <w:t>unspecifi</w:t>
      </w:r>
      <w:r w:rsidR="00B02D2F" w:rsidRPr="007721FB">
        <w:rPr>
          <w:rFonts w:ascii="Times New Roman" w:hAnsi="Times New Roman" w:cs="Times New Roman"/>
          <w:sz w:val="24"/>
          <w:szCs w:val="24"/>
        </w:rPr>
        <w:t>c</w:t>
      </w:r>
      <w:r w:rsidR="00836B1D" w:rsidRPr="007721FB">
        <w:rPr>
          <w:rFonts w:ascii="Times New Roman" w:hAnsi="Times New Roman" w:cs="Times New Roman"/>
          <w:sz w:val="24"/>
          <w:szCs w:val="24"/>
        </w:rPr>
        <w:t xml:space="preserve"> uptake by hematopoietic/mesenchymal stem cells. </w:t>
      </w:r>
      <w:r w:rsidR="00B02D2F" w:rsidRPr="007721FB">
        <w:rPr>
          <w:rFonts w:ascii="Times New Roman" w:hAnsi="Times New Roman" w:cs="Times New Roman"/>
          <w:sz w:val="24"/>
          <w:szCs w:val="24"/>
        </w:rPr>
        <w:t xml:space="preserve">The latter is particularly important to minimize potential toxicities to the hematopoietic niche and could lead to the development of many disorders such as leukemia. </w:t>
      </w:r>
      <w:r w:rsidR="00836B1D" w:rsidRPr="007721FB">
        <w:rPr>
          <w:rFonts w:ascii="Times New Roman" w:hAnsi="Times New Roman" w:cs="Times New Roman"/>
          <w:sz w:val="24"/>
          <w:szCs w:val="24"/>
        </w:rPr>
        <w:t>In bone remodeling areas and regeneration scenarios nanocarriers also need to overcome</w:t>
      </w:r>
      <w:r w:rsidRPr="007721FB">
        <w:rPr>
          <w:rFonts w:ascii="Times New Roman" w:hAnsi="Times New Roman" w:cs="Times New Roman"/>
          <w:sz w:val="24"/>
          <w:szCs w:val="24"/>
        </w:rPr>
        <w:t xml:space="preserve"> osteomac</w:t>
      </w:r>
      <w:r w:rsidR="00DC6A49" w:rsidRPr="007721FB">
        <w:rPr>
          <w:rFonts w:ascii="Times New Roman" w:hAnsi="Times New Roman" w:cs="Times New Roman"/>
          <w:sz w:val="24"/>
          <w:szCs w:val="24"/>
        </w:rPr>
        <w:t>-based</w:t>
      </w:r>
      <w:r w:rsidRPr="007721FB">
        <w:rPr>
          <w:rFonts w:ascii="Times New Roman" w:hAnsi="Times New Roman" w:cs="Times New Roman"/>
          <w:sz w:val="24"/>
          <w:szCs w:val="24"/>
        </w:rPr>
        <w:t xml:space="preserve"> cellular canopy isolating bone remodeling pockets from marrow compartments and </w:t>
      </w:r>
      <w:r w:rsidR="00DC6A49" w:rsidRPr="007721FB">
        <w:rPr>
          <w:rFonts w:ascii="Times New Roman" w:hAnsi="Times New Roman" w:cs="Times New Roman"/>
          <w:sz w:val="24"/>
          <w:szCs w:val="24"/>
        </w:rPr>
        <w:t>get</w:t>
      </w:r>
      <w:r w:rsidRPr="007721FB">
        <w:rPr>
          <w:rFonts w:ascii="Times New Roman" w:hAnsi="Times New Roman" w:cs="Times New Roman"/>
          <w:sz w:val="24"/>
          <w:szCs w:val="24"/>
        </w:rPr>
        <w:t xml:space="preserve"> internalized</w:t>
      </w:r>
      <w:r w:rsidR="0081202D" w:rsidRPr="007721FB">
        <w:rPr>
          <w:rFonts w:ascii="Times New Roman" w:hAnsi="Times New Roman" w:cs="Times New Roman"/>
          <w:sz w:val="24"/>
          <w:szCs w:val="24"/>
        </w:rPr>
        <w:t xml:space="preserve"> for </w:t>
      </w:r>
      <w:r w:rsidR="008E65F7" w:rsidRPr="007721FB">
        <w:rPr>
          <w:rFonts w:ascii="Times New Roman" w:hAnsi="Times New Roman" w:cs="Times New Roman"/>
          <w:sz w:val="24"/>
          <w:szCs w:val="24"/>
        </w:rPr>
        <w:t>example</w:t>
      </w:r>
      <w:r w:rsidRPr="007721FB">
        <w:rPr>
          <w:rFonts w:ascii="Times New Roman" w:hAnsi="Times New Roman" w:cs="Times New Roman"/>
          <w:sz w:val="24"/>
          <w:szCs w:val="24"/>
        </w:rPr>
        <w:t xml:space="preserve"> by target </w:t>
      </w:r>
      <w:r w:rsidR="00836B1D" w:rsidRPr="007721FB">
        <w:rPr>
          <w:rFonts w:ascii="Times New Roman" w:hAnsi="Times New Roman" w:cs="Times New Roman"/>
          <w:sz w:val="24"/>
          <w:szCs w:val="24"/>
        </w:rPr>
        <w:t>osteoblasts (Figure 1, canopy)</w:t>
      </w:r>
      <w:r w:rsidRPr="007721FB">
        <w:rPr>
          <w:rFonts w:ascii="Times New Roman" w:hAnsi="Times New Roman" w:cs="Times New Roman"/>
          <w:sz w:val="24"/>
          <w:szCs w:val="24"/>
        </w:rPr>
        <w:t xml:space="preserve"> </w:t>
      </w:r>
      <w:r w:rsidRPr="007721FB">
        <w:rPr>
          <w:rFonts w:ascii="Times New Roman" w:hAnsi="Times New Roman" w:cs="Times New Roman"/>
          <w:i/>
          <w:sz w:val="24"/>
          <w:szCs w:val="24"/>
        </w:rPr>
        <w:t>via</w:t>
      </w:r>
      <w:r w:rsidRPr="007721FB">
        <w:rPr>
          <w:rFonts w:ascii="Times New Roman" w:hAnsi="Times New Roman" w:cs="Times New Roman"/>
          <w:sz w:val="24"/>
          <w:szCs w:val="24"/>
        </w:rPr>
        <w:t xml:space="preserve"> the various cellular uptake pathways (reviewed in detail by Hillaireau and co-workers</w:t>
      </w:r>
      <w:r w:rsidR="003A4002" w:rsidRPr="007721FB">
        <w:rPr>
          <w:rFonts w:ascii="Times New Roman" w:hAnsi="Times New Roman" w:cs="Times New Roman"/>
          <w:sz w:val="24"/>
          <w:szCs w:val="24"/>
        </w:rPr>
        <w:t xml:space="preserve"> </w:t>
      </w:r>
      <w:r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"DOI" : "10.1007/s00018-009-0053-z", "author" : [ { "dropping-particle" : "", "family" : "Hillaireau", "given" : "Herv\u00e9", "non-dropping-particle" : "", "parse-names" : false, "suffix" : "" }, { "dropping-particle" : "", "family" : "Couvreur", "given" : "Patrick", "non-dropping-particle" : "", "parse-names" : false, "suffix" : "" } ], "container-title" : "Cellular and Molecular Life Sciences", "id" : "ITEM-1", "issued" : { "date-parts" : [ [ "2009" ] ] }, "page" : "2873-2896", "title" : "Nanocarriers\u2019 entry into the cell: relevance to drug delivery", "type" : "article-journal", "volume" : "66" }, "uris" : [ "http://www.mendeley.com/documents/?uuid=96938e36-80e9-4bab-b600-c7f0d5c9b21b", "http://www.mendeley.com/documents/?uuid=eadedc37-ea9e-4c7c-a2be-52db17d47c75" ] } ], "mendeley" : { "formattedCitation" : "[39]", "plainTextFormattedCitation" : "[39]", "previouslyFormattedCitation" : "[39]" }, "properties" : { "noteIndex" : 0 }, "schema" : "https://github.com/citation-style-language/schema/raw/master/csl-citation.json" }</w:instrText>
      </w:r>
      <w:r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[39]</w:t>
      </w:r>
      <w:r w:rsidRPr="007721FB">
        <w:rPr>
          <w:rFonts w:ascii="Times New Roman" w:hAnsi="Times New Roman" w:cs="Times New Roman"/>
          <w:sz w:val="24"/>
          <w:szCs w:val="24"/>
        </w:rPr>
        <w:fldChar w:fldCharType="end"/>
      </w:r>
      <w:r w:rsidRPr="007721FB">
        <w:rPr>
          <w:rFonts w:ascii="Times New Roman" w:hAnsi="Times New Roman" w:cs="Times New Roman"/>
          <w:sz w:val="24"/>
          <w:szCs w:val="24"/>
        </w:rPr>
        <w:t xml:space="preserve">). </w:t>
      </w:r>
      <w:r w:rsidR="00DB1AF7" w:rsidRPr="007721FB">
        <w:rPr>
          <w:rFonts w:ascii="Times New Roman" w:hAnsi="Times New Roman" w:cs="Times New Roman"/>
          <w:sz w:val="24"/>
          <w:szCs w:val="24"/>
        </w:rPr>
        <w:t xml:space="preserve">All these events depend on the </w:t>
      </w:r>
      <w:r w:rsidR="00E15633" w:rsidRPr="007721FB">
        <w:rPr>
          <w:rFonts w:ascii="Times New Roman" w:hAnsi="Times New Roman" w:cs="Times New Roman"/>
          <w:sz w:val="24"/>
          <w:szCs w:val="24"/>
        </w:rPr>
        <w:t>dynamics of bone blood perfusion as it will be discussed.</w:t>
      </w:r>
    </w:p>
    <w:p w14:paraId="128F23A4" w14:textId="37AE552D" w:rsidR="00F82966" w:rsidRPr="007721FB" w:rsidRDefault="00F82966" w:rsidP="00D64ED9">
      <w:pPr>
        <w:spacing w:after="0" w:line="240" w:lineRule="auto"/>
        <w:jc w:val="both"/>
        <w:rPr>
          <w:rFonts w:ascii="Times New Roman" w:hAnsi="Times New Roman" w:cs="Times New Roman"/>
          <w:sz w:val="24"/>
          <w:szCs w:val="24"/>
        </w:rPr>
      </w:pPr>
    </w:p>
    <w:p w14:paraId="36067571" w14:textId="500302D8" w:rsidR="00846ED1" w:rsidRPr="007721FB" w:rsidRDefault="00846ED1" w:rsidP="00D64ED9">
      <w:pPr>
        <w:spacing w:after="0" w:line="240" w:lineRule="auto"/>
        <w:jc w:val="both"/>
        <w:rPr>
          <w:rFonts w:ascii="Times New Roman" w:hAnsi="Times New Roman" w:cs="Times New Roman"/>
          <w:b/>
          <w:sz w:val="28"/>
          <w:szCs w:val="24"/>
        </w:rPr>
      </w:pPr>
      <w:r w:rsidRPr="007721FB">
        <w:rPr>
          <w:rFonts w:ascii="Times New Roman" w:hAnsi="Times New Roman" w:cs="Times New Roman"/>
          <w:b/>
          <w:sz w:val="28"/>
          <w:szCs w:val="24"/>
        </w:rPr>
        <w:t xml:space="preserve">2.1. </w:t>
      </w:r>
      <w:r w:rsidR="00E15633" w:rsidRPr="007721FB">
        <w:rPr>
          <w:rFonts w:ascii="Times New Roman" w:hAnsi="Times New Roman" w:cs="Times New Roman"/>
          <w:b/>
          <w:sz w:val="28"/>
          <w:szCs w:val="24"/>
        </w:rPr>
        <w:t>I</w:t>
      </w:r>
      <w:r w:rsidRPr="007721FB">
        <w:rPr>
          <w:rFonts w:ascii="Times New Roman" w:hAnsi="Times New Roman" w:cs="Times New Roman"/>
          <w:b/>
          <w:sz w:val="28"/>
          <w:szCs w:val="24"/>
        </w:rPr>
        <w:t xml:space="preserve">nfluence of </w:t>
      </w:r>
      <w:r w:rsidR="00681ADB" w:rsidRPr="007721FB">
        <w:rPr>
          <w:rFonts w:ascii="Times New Roman" w:hAnsi="Times New Roman" w:cs="Times New Roman"/>
          <w:b/>
          <w:sz w:val="28"/>
          <w:szCs w:val="24"/>
        </w:rPr>
        <w:t>bone</w:t>
      </w:r>
      <w:r w:rsidRPr="007721FB">
        <w:rPr>
          <w:rFonts w:ascii="Times New Roman" w:hAnsi="Times New Roman" w:cs="Times New Roman"/>
          <w:b/>
          <w:sz w:val="28"/>
          <w:szCs w:val="24"/>
        </w:rPr>
        <w:t xml:space="preserve"> </w:t>
      </w:r>
      <w:r w:rsidR="00681ADB" w:rsidRPr="007721FB">
        <w:rPr>
          <w:rFonts w:ascii="Times New Roman" w:hAnsi="Times New Roman" w:cs="Times New Roman"/>
          <w:b/>
          <w:sz w:val="28"/>
          <w:szCs w:val="24"/>
        </w:rPr>
        <w:t xml:space="preserve">physiological </w:t>
      </w:r>
      <w:r w:rsidRPr="007721FB">
        <w:rPr>
          <w:rFonts w:ascii="Times New Roman" w:hAnsi="Times New Roman" w:cs="Times New Roman"/>
          <w:b/>
          <w:sz w:val="28"/>
          <w:szCs w:val="24"/>
        </w:rPr>
        <w:t>blood flow on nanocarriers accumulation</w:t>
      </w:r>
    </w:p>
    <w:p w14:paraId="4606FEB1" w14:textId="4C3F0610" w:rsidR="00D867DF" w:rsidRPr="007721FB" w:rsidRDefault="00E15633" w:rsidP="00D867DF">
      <w:pPr>
        <w:spacing w:after="0" w:line="240" w:lineRule="auto"/>
        <w:jc w:val="both"/>
        <w:rPr>
          <w:rFonts w:ascii="Times New Roman" w:hAnsi="Times New Roman" w:cs="Times New Roman"/>
          <w:sz w:val="24"/>
        </w:rPr>
      </w:pPr>
      <w:r w:rsidRPr="007721FB">
        <w:rPr>
          <w:rFonts w:ascii="Times New Roman" w:hAnsi="Times New Roman" w:cs="Times New Roman"/>
          <w:sz w:val="24"/>
        </w:rPr>
        <w:t xml:space="preserve">   Skeletal perfusion is</w:t>
      </w:r>
      <w:r w:rsidR="004F1E65" w:rsidRPr="007721FB">
        <w:rPr>
          <w:rFonts w:ascii="Times New Roman" w:hAnsi="Times New Roman" w:cs="Times New Roman"/>
          <w:sz w:val="24"/>
        </w:rPr>
        <w:t xml:space="preserve"> a</w:t>
      </w:r>
      <w:r w:rsidRPr="007721FB">
        <w:rPr>
          <w:rFonts w:ascii="Times New Roman" w:hAnsi="Times New Roman" w:cs="Times New Roman"/>
          <w:sz w:val="24"/>
        </w:rPr>
        <w:t xml:space="preserve"> fundamental</w:t>
      </w:r>
      <w:r w:rsidR="00C35E5B" w:rsidRPr="007721FB">
        <w:rPr>
          <w:rFonts w:ascii="Times New Roman" w:hAnsi="Times New Roman" w:cs="Times New Roman"/>
          <w:sz w:val="24"/>
        </w:rPr>
        <w:t xml:space="preserve"> parameter</w:t>
      </w:r>
      <w:r w:rsidRPr="007721FB">
        <w:rPr>
          <w:rFonts w:ascii="Times New Roman" w:hAnsi="Times New Roman" w:cs="Times New Roman"/>
          <w:sz w:val="24"/>
        </w:rPr>
        <w:t xml:space="preserve"> following nanocarriers parenteral administration</w:t>
      </w:r>
      <w:r w:rsidR="004F1E65" w:rsidRPr="007721FB">
        <w:rPr>
          <w:rFonts w:ascii="Times New Roman" w:hAnsi="Times New Roman" w:cs="Times New Roman"/>
          <w:sz w:val="24"/>
        </w:rPr>
        <w:t xml:space="preserve"> a</w:t>
      </w:r>
      <w:r w:rsidR="00681ADB" w:rsidRPr="007721FB">
        <w:rPr>
          <w:rFonts w:ascii="Times New Roman" w:hAnsi="Times New Roman" w:cs="Times New Roman"/>
          <w:sz w:val="24"/>
        </w:rPr>
        <w:t xml:space="preserve">nd </w:t>
      </w:r>
      <w:r w:rsidR="00401442" w:rsidRPr="007721FB">
        <w:rPr>
          <w:rFonts w:ascii="Times New Roman" w:hAnsi="Times New Roman" w:cs="Times New Roman"/>
          <w:sz w:val="24"/>
        </w:rPr>
        <w:t>influences bone therapeutics accumulation</w:t>
      </w:r>
      <w:r w:rsidR="006260C4" w:rsidRPr="007721FB">
        <w:rPr>
          <w:rFonts w:ascii="Times New Roman" w:hAnsi="Times New Roman" w:cs="Times New Roman"/>
          <w:sz w:val="24"/>
        </w:rPr>
        <w:t xml:space="preserve"> dynamics</w:t>
      </w:r>
      <w:r w:rsidRPr="007721FB">
        <w:rPr>
          <w:rFonts w:ascii="Times New Roman" w:hAnsi="Times New Roman" w:cs="Times New Roman"/>
          <w:sz w:val="24"/>
        </w:rPr>
        <w:t>.</w:t>
      </w:r>
      <w:r w:rsidR="00413534" w:rsidRPr="007721FB">
        <w:rPr>
          <w:rFonts w:ascii="Times New Roman" w:hAnsi="Times New Roman" w:cs="Times New Roman"/>
          <w:sz w:val="24"/>
          <w:szCs w:val="24"/>
        </w:rPr>
        <w:t xml:space="preserve"> </w:t>
      </w:r>
      <w:r w:rsidR="00167A20" w:rsidRPr="007721FB">
        <w:rPr>
          <w:rFonts w:ascii="Times New Roman" w:hAnsi="Times New Roman" w:cs="Times New Roman"/>
          <w:sz w:val="24"/>
          <w:szCs w:val="24"/>
        </w:rPr>
        <w:t>Interestingly</w:t>
      </w:r>
      <w:r w:rsidR="00551CC9" w:rsidRPr="007721FB">
        <w:rPr>
          <w:rFonts w:ascii="Times New Roman" w:hAnsi="Times New Roman" w:cs="Times New Roman"/>
          <w:sz w:val="24"/>
          <w:szCs w:val="24"/>
        </w:rPr>
        <w:t>,</w:t>
      </w:r>
      <w:r w:rsidR="00167A20" w:rsidRPr="007721FB">
        <w:rPr>
          <w:rFonts w:ascii="Times New Roman" w:hAnsi="Times New Roman" w:cs="Times New Roman"/>
          <w:sz w:val="24"/>
          <w:szCs w:val="24"/>
        </w:rPr>
        <w:t xml:space="preserve"> </w:t>
      </w:r>
      <w:r w:rsidR="00351D7A" w:rsidRPr="007721FB">
        <w:rPr>
          <w:rFonts w:ascii="Times New Roman" w:hAnsi="Times New Roman" w:cs="Times New Roman"/>
          <w:sz w:val="24"/>
          <w:szCs w:val="24"/>
        </w:rPr>
        <w:t>t</w:t>
      </w:r>
      <w:r w:rsidR="00677506" w:rsidRPr="007721FB">
        <w:rPr>
          <w:rFonts w:ascii="Times New Roman" w:hAnsi="Times New Roman" w:cs="Times New Roman"/>
          <w:sz w:val="24"/>
          <w:szCs w:val="24"/>
        </w:rPr>
        <w:t>he</w:t>
      </w:r>
      <w:r w:rsidR="00846ED1" w:rsidRPr="007721FB">
        <w:rPr>
          <w:rFonts w:ascii="Times New Roman" w:hAnsi="Times New Roman" w:cs="Times New Roman"/>
          <w:sz w:val="24"/>
        </w:rPr>
        <w:t xml:space="preserve"> values of blood flow</w:t>
      </w:r>
      <w:r w:rsidR="00696BAA" w:rsidRPr="007721FB">
        <w:rPr>
          <w:rFonts w:ascii="Times New Roman" w:hAnsi="Times New Roman" w:cs="Times New Roman"/>
          <w:sz w:val="24"/>
        </w:rPr>
        <w:t xml:space="preserve"> vary significantly amongst different </w:t>
      </w:r>
      <w:r w:rsidR="00681ADB" w:rsidRPr="007721FB">
        <w:rPr>
          <w:rFonts w:ascii="Times New Roman" w:hAnsi="Times New Roman" w:cs="Times New Roman"/>
          <w:sz w:val="24"/>
        </w:rPr>
        <w:t xml:space="preserve">skeletal </w:t>
      </w:r>
      <w:r w:rsidR="00696BAA" w:rsidRPr="007721FB">
        <w:rPr>
          <w:rFonts w:ascii="Times New Roman" w:hAnsi="Times New Roman" w:cs="Times New Roman"/>
          <w:sz w:val="24"/>
        </w:rPr>
        <w:t>regions</w:t>
      </w:r>
      <w:r w:rsidR="00203851" w:rsidRPr="007721FB">
        <w:rPr>
          <w:rFonts w:ascii="Times New Roman" w:hAnsi="Times New Roman" w:cs="Times New Roman"/>
          <w:sz w:val="24"/>
        </w:rPr>
        <w:t>. For instance, trabecular bone experiences approximately 4-fold increased blood perfusion when compared to cortical bone</w:t>
      </w:r>
      <w:r w:rsidR="00C16F0B" w:rsidRPr="007721FB">
        <w:rPr>
          <w:rFonts w:ascii="Times New Roman" w:hAnsi="Times New Roman" w:cs="Times New Roman"/>
          <w:sz w:val="24"/>
        </w:rPr>
        <w:t xml:space="preserve"> </w:t>
      </w:r>
      <w:r w:rsidR="00C16F0B" w:rsidRPr="007721FB">
        <w:rPr>
          <w:rFonts w:ascii="Times New Roman" w:hAnsi="Times New Roman" w:cs="Times New Roman"/>
          <w:sz w:val="24"/>
        </w:rPr>
        <w:fldChar w:fldCharType="begin" w:fldLock="1"/>
      </w:r>
      <w:r w:rsidR="00B31E12" w:rsidRPr="007721FB">
        <w:rPr>
          <w:rFonts w:ascii="Times New Roman" w:hAnsi="Times New Roman" w:cs="Times New Roman"/>
          <w:sz w:val="24"/>
        </w:rPr>
        <w:instrText>ADDIN CSL_CITATION { "citationItems" : [ { "id" : "ITEM-1", "itemData" : { "DOI" : "10.2106/JBJS.F.00890", "ISBN" : "0021-9355", "ISSN" : "0021-9355", "PMID" : "17079361", "abstract" : "INTRODUCTION Bone circulation plays an important role in bone physiology, but has been relatively poorly studied, because most techniques of circulatory research are difficult to apply to bone. This article summarizes briefly some of the important aspects of the physiology of bone blood flow most relevant to orthopaedics. METHODS The gold standard for experimental measurement of bone blood flow is the radioactive microsphere technique, though advances are being made in other techniques, such as positron emission tomography, laser and ultra-sound Doppler velocimetry, and near infrared spectroscopy, that may provide useful clinical measurement in the future. RESULTS Multiple vascular pathways contribute to an adaptive response to traumatic disruption of bone circulation. The microcirculation is not merely a passive conduit for blood flow, but plays an active role in controlling bone processes such as osteochondral ossification. DISCUSSION The pathophysiology of bone circulation has been associated with osteonecrosis, but more and more evidence is pointing to the importance of bone circulation in fracture repair and osteoporosis, both of which are potentially very exciting areas for future studies.", "author" : [ { "dropping-particle" : "", "family" : "McCarthy", "given" : "Ian", "non-dropping-particle" : "", "parse-names" : false, "suffix" : "" } ], "container-title" : "The Journal of bone and joint surgery. American volume", "id" : "ITEM-1", "issue" : "3", "issued" : { "date-parts" : [ [ "2006" ] ] }, "page" : "4-9", "title" : "The physiology of bone blood flow: a review.", "type" : "article-journal", "volume" : "88-A" }, "uris" : [ "http://www.mendeley.com/documents/?uuid=3dbec4eb-006d-42ba-9c25-e9313b64447c", "http://www.mendeley.com/documents/?uuid=a0e902a6-d63f-4938-80db-4595ccad8103" ] } ], "mendeley" : { "formattedCitation" : "[25]", "plainTextFormattedCitation" : "[25]", "previouslyFormattedCitation" : "[25]" }, "properties" : { "noteIndex" : 0 }, "schema" : "https://github.com/citation-style-language/schema/raw/master/csl-citation.json" }</w:instrText>
      </w:r>
      <w:r w:rsidR="00C16F0B" w:rsidRPr="007721FB">
        <w:rPr>
          <w:rFonts w:ascii="Times New Roman" w:hAnsi="Times New Roman" w:cs="Times New Roman"/>
          <w:sz w:val="24"/>
        </w:rPr>
        <w:fldChar w:fldCharType="separate"/>
      </w:r>
      <w:r w:rsidR="00B31E12" w:rsidRPr="007721FB">
        <w:rPr>
          <w:rFonts w:ascii="Times New Roman" w:hAnsi="Times New Roman" w:cs="Times New Roman"/>
          <w:noProof/>
          <w:sz w:val="24"/>
        </w:rPr>
        <w:t>[25]</w:t>
      </w:r>
      <w:r w:rsidR="00C16F0B" w:rsidRPr="007721FB">
        <w:rPr>
          <w:rFonts w:ascii="Times New Roman" w:hAnsi="Times New Roman" w:cs="Times New Roman"/>
          <w:sz w:val="24"/>
        </w:rPr>
        <w:fldChar w:fldCharType="end"/>
      </w:r>
      <w:r w:rsidR="00C16F0B" w:rsidRPr="007721FB">
        <w:rPr>
          <w:rFonts w:ascii="Times New Roman" w:hAnsi="Times New Roman" w:cs="Times New Roman"/>
          <w:sz w:val="24"/>
        </w:rPr>
        <w:t xml:space="preserve">. This </w:t>
      </w:r>
      <w:r w:rsidR="00300C19" w:rsidRPr="007721FB">
        <w:rPr>
          <w:rFonts w:ascii="Times New Roman" w:hAnsi="Times New Roman" w:cs="Times New Roman"/>
          <w:sz w:val="24"/>
        </w:rPr>
        <w:t>vascular diversity s</w:t>
      </w:r>
      <w:r w:rsidR="00696BAA" w:rsidRPr="007721FB">
        <w:rPr>
          <w:rFonts w:ascii="Times New Roman" w:hAnsi="Times New Roman" w:cs="Times New Roman"/>
          <w:sz w:val="24"/>
        </w:rPr>
        <w:t>hould result in different exposures to nanocarrier</w:t>
      </w:r>
      <w:r w:rsidR="00681ADB" w:rsidRPr="007721FB">
        <w:rPr>
          <w:rFonts w:ascii="Times New Roman" w:hAnsi="Times New Roman" w:cs="Times New Roman"/>
          <w:sz w:val="24"/>
        </w:rPr>
        <w:t>s</w:t>
      </w:r>
      <w:r w:rsidR="00C16F0B" w:rsidRPr="007721FB">
        <w:rPr>
          <w:rFonts w:ascii="Times New Roman" w:hAnsi="Times New Roman" w:cs="Times New Roman"/>
          <w:sz w:val="24"/>
        </w:rPr>
        <w:t>. Several</w:t>
      </w:r>
      <w:r w:rsidR="00477DBF" w:rsidRPr="007721FB">
        <w:rPr>
          <w:rFonts w:ascii="Times New Roman" w:hAnsi="Times New Roman" w:cs="Times New Roman"/>
          <w:sz w:val="24"/>
        </w:rPr>
        <w:t xml:space="preserve"> pathological conditions have been associated with impaired blood flow and subsequent bo</w:t>
      </w:r>
      <w:r w:rsidR="0055220E" w:rsidRPr="007721FB">
        <w:rPr>
          <w:rFonts w:ascii="Times New Roman" w:hAnsi="Times New Roman" w:cs="Times New Roman"/>
          <w:sz w:val="24"/>
        </w:rPr>
        <w:t>ne loss, such as osteonecrosis, postmenopausal-</w:t>
      </w:r>
      <w:r w:rsidR="009B1F17" w:rsidRPr="007721FB">
        <w:rPr>
          <w:rFonts w:ascii="Times New Roman" w:hAnsi="Times New Roman" w:cs="Times New Roman"/>
          <w:sz w:val="24"/>
        </w:rPr>
        <w:lastRenderedPageBreak/>
        <w:t>osteoporosis</w:t>
      </w:r>
      <w:r w:rsidR="0055220E" w:rsidRPr="007721FB">
        <w:rPr>
          <w:rFonts w:ascii="Times New Roman" w:hAnsi="Times New Roman" w:cs="Times New Roman"/>
          <w:sz w:val="24"/>
        </w:rPr>
        <w:t xml:space="preserve"> (in both women and ovariectomized mice)</w:t>
      </w:r>
      <w:r w:rsidR="00477DBF" w:rsidRPr="007721FB">
        <w:rPr>
          <w:rFonts w:ascii="Times New Roman" w:hAnsi="Times New Roman" w:cs="Times New Roman"/>
          <w:sz w:val="24"/>
        </w:rPr>
        <w:t xml:space="preserve"> and glucocor</w:t>
      </w:r>
      <w:r w:rsidR="009B1F17" w:rsidRPr="007721FB">
        <w:rPr>
          <w:rFonts w:ascii="Times New Roman" w:hAnsi="Times New Roman" w:cs="Times New Roman"/>
          <w:sz w:val="24"/>
        </w:rPr>
        <w:t>ticoid-induced osteoporosis,</w:t>
      </w:r>
      <w:r w:rsidR="0055220E" w:rsidRPr="007721FB">
        <w:rPr>
          <w:rFonts w:ascii="Times New Roman" w:hAnsi="Times New Roman" w:cs="Times New Roman"/>
          <w:sz w:val="24"/>
        </w:rPr>
        <w:t xml:space="preserve"> w</w:t>
      </w:r>
      <w:r w:rsidR="009B1F17" w:rsidRPr="007721FB">
        <w:rPr>
          <w:rFonts w:ascii="Times New Roman" w:hAnsi="Times New Roman" w:cs="Times New Roman"/>
          <w:sz w:val="24"/>
        </w:rPr>
        <w:t>hich</w:t>
      </w:r>
      <w:r w:rsidR="00477DBF" w:rsidRPr="007721FB">
        <w:rPr>
          <w:rFonts w:ascii="Times New Roman" w:hAnsi="Times New Roman" w:cs="Times New Roman"/>
          <w:sz w:val="24"/>
        </w:rPr>
        <w:t xml:space="preserve"> may be linked with increased conversion of</w:t>
      </w:r>
      <w:r w:rsidR="0055220E" w:rsidRPr="007721FB">
        <w:rPr>
          <w:rFonts w:ascii="Times New Roman" w:hAnsi="Times New Roman" w:cs="Times New Roman"/>
          <w:sz w:val="24"/>
        </w:rPr>
        <w:t xml:space="preserve"> the </w:t>
      </w:r>
      <w:r w:rsidR="009D038B" w:rsidRPr="007721FB">
        <w:rPr>
          <w:rFonts w:ascii="Times New Roman" w:hAnsi="Times New Roman" w:cs="Times New Roman"/>
          <w:sz w:val="24"/>
        </w:rPr>
        <w:t xml:space="preserve">more vascularized </w:t>
      </w:r>
      <w:r w:rsidR="00477DBF" w:rsidRPr="007721FB">
        <w:rPr>
          <w:rFonts w:ascii="Times New Roman" w:hAnsi="Times New Roman" w:cs="Times New Roman"/>
          <w:sz w:val="24"/>
        </w:rPr>
        <w:t xml:space="preserve">red </w:t>
      </w:r>
      <w:r w:rsidR="009D038B" w:rsidRPr="007721FB">
        <w:rPr>
          <w:rFonts w:ascii="Times New Roman" w:hAnsi="Times New Roman" w:cs="Times New Roman"/>
          <w:sz w:val="24"/>
        </w:rPr>
        <w:t xml:space="preserve">marrow </w:t>
      </w:r>
      <w:r w:rsidR="00477DBF" w:rsidRPr="007721FB">
        <w:rPr>
          <w:rFonts w:ascii="Times New Roman" w:hAnsi="Times New Roman" w:cs="Times New Roman"/>
          <w:sz w:val="24"/>
        </w:rPr>
        <w:t>to yellow m</w:t>
      </w:r>
      <w:r w:rsidR="009B1F17" w:rsidRPr="007721FB">
        <w:rPr>
          <w:rFonts w:ascii="Times New Roman" w:hAnsi="Times New Roman" w:cs="Times New Roman"/>
          <w:sz w:val="24"/>
        </w:rPr>
        <w:t xml:space="preserve">arrow </w:t>
      </w:r>
      <w:r w:rsidR="000A0331" w:rsidRPr="007721FB">
        <w:rPr>
          <w:rFonts w:ascii="Times New Roman" w:hAnsi="Times New Roman" w:cs="Times New Roman"/>
          <w:sz w:val="24"/>
        </w:rPr>
        <w:fldChar w:fldCharType="begin" w:fldLock="1"/>
      </w:r>
      <w:r w:rsidR="00B31E12" w:rsidRPr="007721FB">
        <w:rPr>
          <w:rFonts w:ascii="Times New Roman" w:hAnsi="Times New Roman" w:cs="Times New Roman"/>
          <w:sz w:val="24"/>
        </w:rPr>
        <w:instrText>ADDIN CSL_CITATION { "citationItems" : [ { "id" : "ITEM-1", "itemData" : { "DOI" : "10.1016/j.ecl.2012.04.004", "ISSN" : "08898529", "author" : [ { "dropping-particle" : "", "family" : "Weinstein", "given" : "Robert S.", "non-dropping-particle" : "", "parse-names" : false, "suffix" : "" } ], "container-title" : "Endocrinology and Metabolism Clinics of North America", "id" : "ITEM-1", "issue" : "3", "issued" : { "date-parts" : [ [ "2012", "9" ] ] }, "page" : "595-611", "title" : "Glucocorticoid-Induced Osteoporosis and Osteonecrosis", "type" : "article-journal", "volume" : "41" }, "uris" : [ "http://www.mendeley.com/documents/?uuid=84cba9a4-1b78-468a-a52e-e8f4bb401546", "http://www.mendeley.com/documents/?uuid=4cc1f01a-c0ef-4d04-96e2-fea44ee9041b" ] }, { "id" : "ITEM-2", "itemData" : { "DOI" : "10.1038/bonekey.2015.29", "ISBN" : "2047-6396 (Electronic) 2047-6396 (Linking)", "ISSN" : "2047-6396", "PMID" : "25861447", "abstract" : "Bone is a composite organ that fulfils several interconnected functions, which may conflict with each other in pathological conditions. Bone vascularization is at the interface between these functions. The roles of bone vascularization are better documented in bone development, growth and modeling than in bone remodeling. However, every bone remodeling unit is associated with a capillary in both cortical and trabecular envelopes. Here we summarize the most recent data on vessel involvement in bone remodeling, and we present the characteristics of bone vascularization. Finally, we describe the various techniques used for bone vessel imaging and quantitative assessment, including histology, immunohistochemistry, microtomography and intravital microscopy. Studying the role of vascularization in adult bone should provide benefits for the understanding and treatment of metabolic bone diseases.", "author" : [ { "dropping-particle" : "", "family" : "Lafage-Proust", "given" : "Marie-H\u00e9l\u00e8ne", "non-dropping-particle" : "", "parse-names" : false, "suffix" : "" }, { "dropping-particle" : "", "family" : "Roche", "given" : "Bernard", "non-dropping-particle" : "", "parse-names" : false, "suffix" : "" }, { "dropping-particle" : "", "family" : "Langer", "given" : "Max", "non-dropping-particle" : "", "parse-names" : false, "suffix" : "" }, { "dropping-particle" : "", "family" : "Cleret", "given" : "Damien", "non-dropping-particle" : "", "parse-names" : false, "suffix" : "" }, { "dropping-particle" : "", "family" : "Bossche", "given" : "Arnaud", "non-dropping-particle" : "Vanden", "parse-names" : false, "suffix" : "" }, { "dropping-particle" : "", "family" : "Olivier", "given" : "Thomas", "non-dropping-particle" : "", "parse-names" : false, "suffix" : "" }, { "dropping-particle" : "", "family" : "Vico", "given" : "Laurence", "non-dropping-particle" : "", "parse-names" : false, "suffix" : "" } ], "container-title" : "BoneKEy reports", "id" : "ITEM-2", "issue" : "April", "issued" : { "date-parts" : [ [ "2015" ] ] }, "page" : "662", "title" : "Assessment of bone vascularization and its role in bone remodeling.", "type" : "article-journal", "volume" : "4" }, "uris" : [ "http://www.mendeley.com/documents/?uuid=bde33488-1e24-406b-9594-4adedee7c0be", "http://www.mendeley.com/documents/?uuid=c497d6a9-b870-42fd-825f-af6e81aa6e54" ] }, { "id" : "ITEM-3", "itemData" : { "DOI" : "10.1038/ncomms13601", "ISSN" : "2041-1723", "author" : [ { "dropping-particle" : "", "family" : "Ramasamy", "given" : "Saravana K.", "non-dropping-particle" : "", "parse-names" : false, "suffix" : "" }, { "dropping-particle" : "", "family" : "Kusumbe", "given" : "Anjali P.", "non-dropping-particle" : "", "parse-names" : false, "suffix" : "" }, { "dropping-particle" : "", "family" : "Schiller", "given" : "Maria", "non-dropping-particle" : "", "parse-names" : false, "suffix" : "" }, { "dropping-particle" : "", "family" : "Zeuschner", "given" : "Dagmar", "non-dropping-particle" : "", "parse-names" : false, "suffix" : "" }, { "dropping-particle" : "", "family" : "Bixel", "given" : "M. Gabriele", "non-dropping-particle" : "", "parse-names" : false, "suffix" : "" }, { "dropping-particle" : "", "family" : "Milia", "given" : "Carlo", "non-dropping-particle" : "", "parse-names" : false, "suffix" : "" }, { "dropping-particle" : "", "family" : "Gamrekelashvili", "given" : "Jaba", "non-dropping-particle" : "", "parse-names" : false, "suffix" : "" }, { "dropping-particle" : "", "family" : "Limbourg", "given" : "Anne", "non-dropping-particle" : "", "parse-names" : false, "suffix" : "" }, { "dropping-particle" : "", "family" : "Medvinsky", "given" : "Alexander", "non-dropping-particle" : "", "parse-names" : false, "suffix" : "" }, { "dropping-particle" : "", "family" : "Santoro", "given" : "Massimo M.", "non-dropping-particle" : "", "parse-names" : false, "suffix" : "" }, { "dropping-particle" : "", "family" : "Limbourg", "given" : "Florian P.", "non-dropping-particle" : "", "parse-names" : false, "suffix" : "" }, { "dropping-particle" : "", "family" : "Adams", "given" : "Ralf H.", "non-dropping-particle" : "", "parse-names" : false, "suffix" : "" }, { "dropping-particle" : "", "family" : "Karsenty", "given" : "G.", "non-dropping-particle" : "", "parse-names" : false, "suffix" : "" }, { "dropping-particle" : "", "family" : "Wagner", "given" : "E. F.", "non-dropping-particle" : "", "parse-names" : false, "suffix" : "" }, { "dropping-particle" : "", "family" : "Kronenberg", "given" : "H. M.", "non-dropping-particle" : "", "parse-names" : false, "suffix" : "" }, { "dropping-particle" : "", "family" : "Wang", "given" : "Y.", "non-dropping-particle" : "", "parse-names" : false, "suffix" : "" }, { "dropping-particle" : "", "family" : "Eshkar-Oren", "given" : "I.", "non-dropping-particle" : "", "parse-names" : false, "suffix" : "" }, { "dropping-particle" : "", "family" : "Gerber", "given" : "H. P.", "non-dropping-particle" : "", "parse-names" : false, "suffix" : "" }, { "dropping-particle" : "", "family" : "Maes", "given" : "C.", "non-dropping-particle" : "", "parse-names" : false, "suffix" : "" }, { "dropping-particle" : "", "family" : "Maes", "given" : "C.", "non-dropping-particle" : "", "parse-names" : false, "suffix" : "" }, { "dropping-particle" : "", "family" : "Kusumbe", "given" : "A. P.", "non-dropping-particle" : "", "parse-names" : false, "suffix" : "" }, { "dropping-particle" : "", "family" : "Ramasamy", "given" : "S. K.", "non-dropping-particle" : "", "parse-names" : false, "suffix" : "" }, { "dropping-particle" : "", "family" : "Adams", "given" : "R. H.", "non-dropping-particle" : "", "parse-names" : false, "suffix" : "" }, { "dropping-particle" : "", "family" : "Ramasamy", "given" : "S. K.", "non-dropping-particle" : "", "parse-names" : false, "suffix" : "" }, { "dropping-particle" : "", "family" : "Kusumbe", "given" : "A. P.", "non-dropping-particle" : "", "parse-names" : false, "suffix" : "" }, { "dropping-particle" : "", "family" : "Wang", "given" : "L.", "non-dropping-particle" : "", "parse-names" : false, "suffix" : "" }, { "dropping-particle" : "", "family" : "Adams", "given" : "R. H.", "non-dropping-particle" : "", "parse-names" : false, "suffix" : "" }, { "dropping-particle" : "", "family" : "Xie", "given" : "H", "non-dropping-particle" : "", "parse-names" : false, "suffix" : "" }, { "dropping-particle" : "", "family" : "Adams", "given" : "R. H.", "non-dropping-particle" : "", "parse-names" : false, "suffix" : "" }, { "dropping-particle" : "", "family" : "Alitalo", "given" : "K.", "non-dropping-particle" : "", "parse-names" : false, "suffix" : "" }, { "dropping-particle" : "", "family" : "Potente", "given" : "M.", "non-dropping-particle" : "", "parse-names" : false, "suffix" : "" }, { "dropping-particle" : "", "family" : "Gerhardt", "given" : "H.", "non-dropping-particle" : "", "parse-names" : false, "suffix" : "" }, { "dropping-particle" : "", "family" : "Carmeliet", "given" : "P.", "non-dropping-particle" : "", "parse-names" : false, "suffix" : "" }, { "dropping-particle" : "", "family" : "Hellstrom", "given" : "M.", "non-dropping-particle" : "", "parse-names" : false, "suffix" : "" }, { "dropping-particle" : "", "family" : "Lobov", "given" : "I. B.", "non-dropping-particle" : "", "parse-names" : false, "suffix" : "" }, { "dropping-particle" : "", "family" : "Ridgway", "given" : "J.", "non-dropping-particle" : "", "parse-names" : false, "suffix" : "" }, { "dropping-particle" : "", "family" : "Suchting", "given" : "S.", "non-dropping-particle" : "", "parse-names" : false, "suffix" : "" }, { "dropping-particle" : "", "family" : "Nicoli", "given" : "S.", "non-dropping-particle" : "", "parse-names" : false, "suffix" : "" }, { "dropping-particle" : "", "family" : "Yashiro", "given" : "K.", "non-dropping-particle" : "", "parse-names" : false, "suffix" : "" }, { "dropping-particle" : "", "family" : "Shiratori", "given" : "H.", "non-dropping-particle" : "", "parse-names" : false, "suffix" : "" }, { "dropping-particle" : "", "family" : "Hamada", "given" : "H.", "non-dropping-particle" : "", "parse-names" : false, "suffix" : "" }, { "dropping-particle" : "", "family" : "Gimbrone", "given" : "M. A.", "non-dropping-particle" : "", "parse-names" : false, "suffix" : "" }, { "dropping-particle" : "", "family" : "Topper", "given" : "J. N.", "non-dropping-particle" : "", "parse-names" : false, "suffix" : "" }, { "dropping-particle" : "", "family" : "Nagel", "given" : "T.", "non-dropping-particle" : "", "parse-names" : false, "suffix" : "" }, { "dropping-particle" : "", "family" : "Anderson", "given" : "K. R.", "non-dropping-particle" : "", "parse-names" : false, "suffix" : "" }, { "dropping-particle" : "", "family" : "Garcia-Cardena", "given" : "G.", "non-dropping-particle" : "", "parse-names" : false, "suffix" : "" }, { "dropping-particle" : "", "family" : "Whitehead", "given" : "K. J.", "non-dropping-particle" : "", "parse-names" : false, "suffix" : "" }, { "dropping-particle" : "", "family" : "Smith", "given" : "M. C.", "non-dropping-particle" : "", "parse-names" : false, "suffix" : "" }, { "dropping-particle" : "", "family" : "Li", "given" : "D. Y.", "non-dropping-particle" : "", "parse-names" : false, "suffix" : "" }, { "dropping-particle" : "", "family" : "McCarthy", "given" : "I.", "non-dropping-particle" : "", "parse-names" : false, "suffix" : "" }, { "dropping-particle" : "", "family" : "Vogt", "given" : "M. T.", "non-dropping-particle" : "", "parse-names" : false, "suffix" : "" }, { "dropping-particle" : "", "family" : "Cauley", "given" : "J. A.", "non-dropping-particle" : "", "parse-names" : false, "suffix" : "" }, { "dropping-particle" : "", "family" : "Kuller", "given" : "L. H.", "non-dropping-particle" : "", "parse-names" : false, "suffix" : "" }, { "dropping-particle" : "", "family" : "Nevitt", "given" : "M. C.", "non-dropping-particle" : "", "parse-names" : false, "suffix" : "" }, { "dropping-particle" : "", "family" : "Hanley", "given" : "D. A.", "non-dropping-particle" : "", "parse-names" : false, "suffix" : "" }, { "dropping-particle" : "", "family" : "Atsumi", "given" : "T.", "non-dropping-particle" : "", "parse-names" : false, "suffix" : "" }, { "dropping-particle" : "", "family" : "Kuroki", "given" : "Y.", "non-dropping-particle" : "", "parse-names" : false, "suffix" : "" }, { "dropping-particle" : "", "family" : "Trueta", "given" : "J.", "non-dropping-particle" : "", "parse-names" : false, "suffix" : "" }, { "dropping-particle" : "", "family" : "Wan", "given" : "C.", "non-dropping-particle" : "", "parse-names" : false, "suffix" : "" }, { "dropping-particle" : "", "family" : "Tomlinson", "given" : "R. E.", "non-dropping-particle" : "", "parse-names" : false, "suffix" : "" }, { "dropping-particle" : "", "family" : "Silva", "given" : "M. J.", "non-dropping-particle" : "", "parse-names" : false, "suffix" : "" }, { "dropping-particle" : "", "family" : "Limbourg", "given" : "A", "non-dropping-particle" : "", "parse-names" : false, "suffix" : "" }, { "dropping-particle" : "", "family" : "Seifert", "given" : "F. C.", "non-dropping-particle" : "", "parse-names" : false, "suffix" : "" }, { "dropping-particle" : "", "family" : "Banker", "given" : "M.", "non-dropping-particle" : "", "parse-names" : false, "suffix" : "" }, { "dropping-particle" : "", "family" : "Lane", "given" : "B.", "non-dropping-particle" : "", "parse-names" : false, "suffix" : "" }, { "dropping-particle" : "", "family" : "Bagge", "given" : "U.", "non-dropping-particle" : "", "parse-names" : false, "suffix" : "" }, { "dropping-particle" : "", "family" : "Anagnostopoulos", "given" : "C. E.", "non-dropping-particle" : "", "parse-names" : false, "suffix" : "" }, { "dropping-particle" : "", "family" : "Nash", "given" : "D. T.", "non-dropping-particle" : "", "parse-names" : false, "suffix" : "" }, { "dropping-particle" : "", "family" : "Tanaka", "given" : "K.", "non-dropping-particle" : "", "parse-names" : false, "suffix" : "" }, { "dropping-particle" : "", "family" : "Carmeliet", "given" : "P.", "non-dropping-particle" : "", "parse-names" : false, "suffix" : "" }, { "dropping-particle" : "De", "family" : "Smet", "given" : "F.", "non-dropping-particle" : "", "parse-names" : false, "suffix" : "" }, { "dropping-particle" : "", "family" : "Loges", "given" : "S.", "non-dropping-particle" : "", "parse-names" : false, "suffix" : "" }, { "dropping-particle" : "", "family" : "Mazzone", "given" : "M.", "non-dropping-particle" : "", "parse-names" : false, "suffix" : "" }, { "dropping-particle" : "", "family" : "Phng", "given" : "L. K.", "non-dropping-particle" : "", "parse-names" : false, "suffix" : "" }, { "dropping-particle" : "", "family" : "Gerhardt", "given" : "H.", "non-dropping-particle" : "", "parse-names" : false, "suffix" : "" }, { "dropping-particle" : "", "family" : "Conway", "given" : "D. E.", "non-dropping-particle" : "", "parse-names" : false, "suffix" : "" }, { "dropping-particle" : "", "family" : "Tzima", "given" : "E.", "non-dropping-particle" : "", "parse-names" : false, "suffix" : "" }, { "dropping-particle" : "", "family" : "Duncan", "given" : "G. S.", "non-dropping-particle" : "", "parse-names" : false, "suffix" : "" }, { "dropping-particle" : "", "family" : "Benedito", "given" : "R.", "non-dropping-particle" : "", "parse-names" : false, "suffix" : "" }, { "dropping-particle" : "", "family" : "Han", "given" : "H.", "non-dropping-particle" : "", "parse-names" : false, "suffix" : "" }, { "dropping-particle" : "", "family" : "Tanigaki", "given" : "K.", "non-dropping-particle" : "", "parse-names" : false, "suffix" : "" }, { "dropping-particle" : "", "family" : "Honjo", "given" : "T.", "non-dropping-particle" : "", "parse-names" : false, "suffix" : "" }, { "dropping-particle" : "", "family" : "Kusumbe", "given" : "A. P.", "non-dropping-particle" : "", "parse-names" : false, "suffix" : "" }, { "dropping-particle" : "", "family" : "Prisby", "given" : "R. D.", "non-dropping-particle" : "", "parse-names" : false, "suffix" : "" }, { "dropping-particle" : "", "family" : "Murtaugh", "given" : "L. C.", "non-dropping-particle" : "", "parse-names" : false, "suffix" : "" }, { "dropping-particle" : "", "family" : "Stanger", "given" : "B. Z.", "non-dropping-particle" : "", "parse-names" : false, "suffix" : "" }, { "dropping-particle" : "", "family" : "Kwan", "given" : "K. M.", "non-dropping-particle" : "", "parse-names" : false, "suffix" : "" }, { "dropping-particle" : "", "family" : "Melton", "given" : "D. A.", "non-dropping-particle" : "", "parse-names" : false, "suffix" : "" }, { "dropping-particle" : "", "family" : "Hoeck", "given" : "J. D.", "non-dropping-particle" : "", "parse-names" : false, "suffix" : "" }, { "dropping-particle" : "", "family" : "Drake", "given" : "M. T.", "non-dropping-particle" : "", "parse-names" : false, "suffix" : "" }, { "dropping-particle" : "", "family" : "Clarke", "given" : "B. L.", "non-dropping-particle" : "", "parse-names" : false, "suffix" : "" }, { "dropping-particle" : "", "family" : "Khosla", "given" : "S.", "non-dropping-particle" : "", "parse-names" : false, "suffix" : "" }, { "dropping-particle" : "", "family" : "Plotkin", "given" : "L. I.", "non-dropping-particle" : "", "parse-names" : false, "suffix" : "" }, { "dropping-particle" : "", "family" : "Acar", "given" : "M.", "non-dropping-particle" : "", "parse-names" : false, "suffix" : "" }, { "dropping-particle" : "", "family" : "Boulais", "given" : "P. E.", "non-dropping-particle" : "", "parse-names" : false, "suffix" : "" }, { "dropping-particle" : "", "family" : "Frenette", "given" : "P. S.", "non-dropping-particle" : "", "parse-names" : false, "suffix" : "" }, { "dropping-particle" : "", "family" : "Kunisaki", "given" : "Y.", "non-dropping-particle" : "", "parse-names" : false, "suffix" : "" }, { "dropping-particle" : "", "family" : "Morrison", "given" : "S. J.", "non-dropping-particle" : "", "parse-names" : false, "suffix" : "" }, { "dropping-particle" : "", "family" : "Scadden", "given" : "D. T.", "non-dropping-particle" : "", "parse-names" : false, "suffix" : "" }, { "dropping-particle" : "", "family" : "Maes", "given" : "C.", "non-dropping-particle" : "", "parse-names" : false, "suffix" : "" }, { "dropping-particle" : "", "family" : "Stegen", "given" : "S.", "non-dropping-particle" : "", "parse-names" : false, "suffix" : "" }, { "dropping-particle" : "van", "family" : "Gastel", "given" : "N.", "non-dropping-particle" : "", "parse-names" : false, "suffix" : "" }, { "dropping-particle" : "", "family" : "Carmeliet", "given" : "G.", "non-dropping-particle" : "", "parse-names" : false, "suffix" : "" }, { "dropping-particle" : "", "family" : "Berendsen", "given" : "A. D.", "non-dropping-particle" : "", "parse-names" : false, "suffix" : "" }, { "dropping-particle" : "", "family" : "Olsen", "given" : "B. R.", "non-dropping-particle" : "", "parse-names" : false, "suffix" : "" }, { "dropping-particle" : "", "family" : "Klein-Nulend", "given" : "J.", "non-dropping-particle" : "", "parse-names" : false, "suffix" : "" }, { "dropping-particle" : "", "family" : "Bakker", "given" : "A. D.", "non-dropping-particle" : "", "parse-names" : false, "suffix" : "" }, { "dropping-particle" : "", "family" : "Bacabac", "given" : "R. G.", "non-dropping-particle" : "", "parse-names" : false, "suffix" : "" }, { "dropping-particle" : "", "family" : "Vatsa", "given" : "A.", "non-dropping-particle" : "", "parse-names" : false, "suffix" : "" }, { "dropping-particle" : "", "family" : "Weinbaum", "given" : "S.", "non-dropping-particle" : "", "parse-names" : false, "suffix" : "" }, { "dropping-particle" : "", "family" : "Kozhemyakina", "given" : "E.", "non-dropping-particle" : "", "parse-names" : false, "suffix" : "" }, { "dropping-particle" : "", "family" : "Lassar", "given" : "A. B.", "non-dropping-particle" : "", "parse-names" : false, "suffix" : "" }, { "dropping-particle" : "", "family" : "Zelzer", "given" : "E.", "non-dropping-particle" : "", "parse-names" : false, "suffix" : "" }, { "dropping-particle" : "", "family" : "Ohashi", "given" : "N.", "non-dropping-particle" : "", "parse-names" : false, "suffix" : "" }, { "dropping-particle" : "", "family" : "Robling", "given" : "A. G.", "non-dropping-particle" : "", "parse-names" : false, "suffix" : "" }, { "dropping-particle" : "", "family" : "Burr", "given" : "D. B.", "non-dropping-particle" : "", "parse-names" : false, "suffix" : "" }, { "dropping-particle" : "", "family" : "Turner", "given" : "C. H.", "non-dropping-particle" : "", "parse-names" : false, "suffix" : "" }, { "dropping-particle" : "", "family" : "Noguera-Troise", "given" : "I.", "non-dropping-particle" : "", "parse-names" : false, "suffix" : "" }, { "dropping-particle" : "", "family" : "Siekmann", "given" : "A. F.", "non-dropping-particle" : "", "parse-names" : false, "suffix" : "" }, { "dropping-particle" : "", "family" : "Lawson", "given" : "N. D.", "non-dropping-particle" : "", "parse-names" : false, "suffix" : "" }, { "dropping-particle" : "", "family" : "Corada", "given" : "M.", "non-dropping-particle" : "", "parse-names" : false, "suffix" : "" }, { "dropping-particle" : "", "family" : "Morini", "given" : "M. F.", "non-dropping-particle" : "", "parse-names" : false, "suffix" : "" }, { "dropping-particle" : "", "family" : "Dejana", "given" : "E.", "non-dropping-particle" : "", "parse-names" : false, "suffix" : "" }, { "dropping-particle" : "", "family" : "Fish", "given" : "J. E.", "non-dropping-particle" : "", "parse-names" : false, "suffix" : "" }, { "dropping-particle" : "", "family" : "Wythe", "given" : "J. D.", "non-dropping-particle" : "", "parse-names" : false, "suffix" : "" }, { "dropping-particle" : "", "family" : "Obi", "given" : "S.", "non-dropping-particle" : "", "parse-names" : false, "suffix" : "" }, { "dropping-particle" : "", "family" : "Morrow", "given" : "D.", "non-dropping-particle" : "", "parse-names" : false, "suffix" : "" }, { "dropping-particle" : "", "family" : "Cullen", "given" : "J. P.", "non-dropping-particle" : "", "parse-names" : false, "suffix" : "" }, { "dropping-particle" : "", "family" : "Cahill", "given" : "P. A.", "non-dropping-particle" : "", "parse-names" : false, "suffix" : "" }, { "dropping-particle" : "", "family" : "Redmond", "given" : "E. M.", "non-dropping-particle" : "", "parse-names" : false, "suffix" : "" }, { "dropping-particle" : "", "family" : "Jahnsen", "given" : "E. D.", "non-dropping-particle" : "", "parse-names" : false, "suffix" : "" }, { "dropping-particle" : "", "family" : "Watson", "given" : "O.", "non-dropping-particle" : "", "parse-names" : false, "suffix" : "" }, { "dropping-particle" : "", "family" : "Lobov", "given" : "I. B.", "non-dropping-particle" : "", "parse-names" : false, "suffix" : "" }, { "dropping-particle" : "", "family" : "Chang", "given" : "A. C.", "non-dropping-particle" : "", "parse-names" : false, "suffix" : "" }, { "dropping-particle" : "", "family" : "Murphy", "given" : "P. A.", "non-dropping-particle" : "", "parse-names" : false, "suffix" : "" }, { "dropping-particle" : "", "family" : "MacIntyre", "given" : "I.", "non-dropping-particle" : "", "parse-names" : false, "suffix" : "" }, { "dropping-particle" : "", "family" : "Imai", "given" : "S.", "non-dropping-particle" : "", "parse-names" : false, "suffix" : "" }, { "dropping-particle" : "", "family" : "Matsusue", "given" : "Y.", "non-dropping-particle" : "", "parse-names" : false, "suffix" : "" }, { "dropping-particle" : "", "family" : "Hilton", "given" : "M. J.", "non-dropping-particle" : "", "parse-names" : false, "suffix" : "" }, { "dropping-particle" : "", "family" : "Engin", "given" : "F.", "non-dropping-particle" : "", "parse-names" : false, "suffix" : "" }, { "dropping-particle" : "", "family" : "Liu", "given" : "P.", "non-dropping-particle" : "", "parse-names" : false, "suffix" : "" }, { "dropping-particle" : "", "family" : "Marotti", "given" : "G.", "non-dropping-particle" : "", "parse-names" : false, "suffix" : "" }, { "dropping-particle" : "", "family" : "Snippert", "given" : "H. J.", "non-dropping-particle" : "", "parse-names" : false, "suffix" : "" }, { "dropping-particle" : "", "family" : "Wang", "given" : "Y.", "non-dropping-particle" : "", "parse-names" : false, "suffix" : "" }, { "dropping-particle" : "", "family" : "Serrat", "given" : "M. A.", "non-dropping-particle" : "", "parse-names" : false, "suffix" : "" } ], "container-title" : "Nature Communications", "id" : "ITEM-3", "issued" : { "date-parts" : [ [ "2016" ] ] }, "page" : "13601", "publisher" : "Nature Publishing Group", "title" : "Blood flow controls bone vascular function and osteogenesis", "type" : "article-journal", "volume" : "7" }, "uris" : [ "http://www.mendeley.com/documents/?uuid=eec346e3-0990-4c33-bcd6-61c8dbb464dc", "http://www.mendeley.com/documents/?uuid=b77d4c62-0510-426f-9bb5-b0d908c710e3" ] } ], "mendeley" : { "formattedCitation" : "[37,40,41]", "plainTextFormattedCitation" : "[37,40,41]", "previouslyFormattedCitation" : "[37,40,41]" }, "properties" : { "noteIndex" : 0 }, "schema" : "https://github.com/citation-style-language/schema/raw/master/csl-citation.json" }</w:instrText>
      </w:r>
      <w:r w:rsidR="000A0331" w:rsidRPr="007721FB">
        <w:rPr>
          <w:rFonts w:ascii="Times New Roman" w:hAnsi="Times New Roman" w:cs="Times New Roman"/>
          <w:sz w:val="24"/>
        </w:rPr>
        <w:fldChar w:fldCharType="separate"/>
      </w:r>
      <w:r w:rsidR="00B31E12" w:rsidRPr="007721FB">
        <w:rPr>
          <w:rFonts w:ascii="Times New Roman" w:hAnsi="Times New Roman" w:cs="Times New Roman"/>
          <w:noProof/>
          <w:sz w:val="24"/>
        </w:rPr>
        <w:t>[37,40,41]</w:t>
      </w:r>
      <w:r w:rsidR="000A0331" w:rsidRPr="007721FB">
        <w:rPr>
          <w:rFonts w:ascii="Times New Roman" w:hAnsi="Times New Roman" w:cs="Times New Roman"/>
          <w:sz w:val="24"/>
        </w:rPr>
        <w:fldChar w:fldCharType="end"/>
      </w:r>
      <w:r w:rsidR="00C16F0B" w:rsidRPr="007721FB">
        <w:rPr>
          <w:rFonts w:ascii="Times New Roman" w:hAnsi="Times New Roman" w:cs="Times New Roman"/>
          <w:sz w:val="24"/>
        </w:rPr>
        <w:t>.</w:t>
      </w:r>
      <w:r w:rsidR="00300C19" w:rsidRPr="007721FB">
        <w:rPr>
          <w:rFonts w:ascii="Times New Roman" w:hAnsi="Times New Roman" w:cs="Times New Roman"/>
          <w:sz w:val="24"/>
        </w:rPr>
        <w:t xml:space="preserve"> The vessels in fatty bone marrow are closed and less vascularized than those of the red marrow </w:t>
      </w:r>
      <w:r w:rsidR="00300C19" w:rsidRPr="007721FB">
        <w:rPr>
          <w:rFonts w:ascii="Times New Roman" w:hAnsi="Times New Roman" w:cs="Times New Roman"/>
          <w:sz w:val="24"/>
        </w:rPr>
        <w:fldChar w:fldCharType="begin" w:fldLock="1"/>
      </w:r>
      <w:r w:rsidR="00B31E12" w:rsidRPr="007721FB">
        <w:rPr>
          <w:rFonts w:ascii="Times New Roman" w:hAnsi="Times New Roman" w:cs="Times New Roman"/>
          <w:sz w:val="24"/>
        </w:rPr>
        <w:instrText>ADDIN CSL_CITATION { "citationItems" : [ { "id" : "ITEM-1", "itemData" : { "DOI" : "10.1359/jbmr.080233", "ISSN" : "08840431", "author" : [ { "dropping-particle" : "", "family" : "Griffith", "given" : "James F", "non-dropping-particle" : "", "parse-names" : false, "suffix" : "" }, { "dropping-particle" : "", "family" : "Yeung", "given" : "David KW", "non-dropping-particle" : "", "parse-names" : false, "suffix" : "" }, { "dropping-particle" : "", "family" : "Tsang", "given" : "Polly H", "non-dropping-particle" : "", "parse-names" : false, "suffix" : "" }, { "dropping-particle" : "", "family" : "Choi", "given" : "Kai C", "non-dropping-particle" : "", "parse-names" : false, "suffix" : "" }, { "dropping-particle" : "", "family" : "Kwok", "given" : "Timothy CY", "non-dropping-particle" : "", "parse-names" : false, "suffix" : "" }, { "dropping-particle" : "", "family" : "Ahuja", "given" : "Anil T", "non-dropping-particle" : "", "parse-names" : false, "suffix" : "" }, { "dropping-particle" : "", "family" : "Leung", "given" : "Kwok S", "non-dropping-particle" : "", "parse-names" : false, "suffix" : "" }, { "dropping-particle" : "", "family" : "Leung", "given" : "Ping C", "non-dropping-particle" : "", "parse-names" : false, "suffix" : "" } ], "container-title" : "Journal of Bone and Mineral Research", "id" : "ITEM-1", "issue" : "7", "issued" : { "date-parts" : [ [ "2008" ] ] }, "page" : "1068-1075", "title" : "Compromised Bone Marrow Perfusion in Osteoporosis", "type" : "article-journal", "volume" : "23" }, "uris" : [ "http://www.mendeley.com/documents/?uuid=a24b1dab-a6f4-402f-96ef-5943cda5116c", "http://www.mendeley.com/documents/?uuid=432d959a-9ff2-453e-b9e0-35ea41aa94ad" ] } ], "mendeley" : { "formattedCitation" : "[42]", "plainTextFormattedCitation" : "[42]", "previouslyFormattedCitation" : "[42]" }, "properties" : { "noteIndex" : 0 }, "schema" : "https://github.com/citation-style-language/schema/raw/master/csl-citation.json" }</w:instrText>
      </w:r>
      <w:r w:rsidR="00300C19" w:rsidRPr="007721FB">
        <w:rPr>
          <w:rFonts w:ascii="Times New Roman" w:hAnsi="Times New Roman" w:cs="Times New Roman"/>
          <w:sz w:val="24"/>
        </w:rPr>
        <w:fldChar w:fldCharType="separate"/>
      </w:r>
      <w:r w:rsidR="00B31E12" w:rsidRPr="007721FB">
        <w:rPr>
          <w:rFonts w:ascii="Times New Roman" w:hAnsi="Times New Roman" w:cs="Times New Roman"/>
          <w:noProof/>
          <w:sz w:val="24"/>
        </w:rPr>
        <w:t>[42]</w:t>
      </w:r>
      <w:r w:rsidR="00300C19" w:rsidRPr="007721FB">
        <w:rPr>
          <w:rFonts w:ascii="Times New Roman" w:hAnsi="Times New Roman" w:cs="Times New Roman"/>
          <w:sz w:val="24"/>
        </w:rPr>
        <w:fldChar w:fldCharType="end"/>
      </w:r>
      <w:r w:rsidR="00300C19" w:rsidRPr="007721FB">
        <w:rPr>
          <w:rFonts w:ascii="Times New Roman" w:hAnsi="Times New Roman" w:cs="Times New Roman"/>
          <w:sz w:val="24"/>
        </w:rPr>
        <w:t>, such can limit nanoparticle extravasation.</w:t>
      </w:r>
      <w:r w:rsidR="00C16F0B" w:rsidRPr="007721FB">
        <w:rPr>
          <w:rFonts w:ascii="Times New Roman" w:hAnsi="Times New Roman" w:cs="Times New Roman"/>
          <w:sz w:val="24"/>
        </w:rPr>
        <w:t xml:space="preserve"> </w:t>
      </w:r>
      <w:r w:rsidR="00401442" w:rsidRPr="007721FB">
        <w:rPr>
          <w:rFonts w:ascii="Times New Roman" w:hAnsi="Times New Roman" w:cs="Times New Roman"/>
          <w:sz w:val="24"/>
        </w:rPr>
        <w:t>P</w:t>
      </w:r>
      <w:r w:rsidR="00C16F0B" w:rsidRPr="007721FB">
        <w:rPr>
          <w:rFonts w:ascii="Times New Roman" w:hAnsi="Times New Roman" w:cs="Times New Roman"/>
          <w:sz w:val="24"/>
        </w:rPr>
        <w:t>atients suffering from myelodysplastic syndromes</w:t>
      </w:r>
      <w:r w:rsidR="00401442" w:rsidRPr="007721FB">
        <w:rPr>
          <w:rFonts w:ascii="Times New Roman" w:hAnsi="Times New Roman" w:cs="Times New Roman"/>
          <w:sz w:val="24"/>
        </w:rPr>
        <w:t xml:space="preserve"> also </w:t>
      </w:r>
      <w:r w:rsidR="00C16F0B" w:rsidRPr="007721FB">
        <w:rPr>
          <w:rFonts w:ascii="Times New Roman" w:hAnsi="Times New Roman" w:cs="Times New Roman"/>
          <w:sz w:val="24"/>
        </w:rPr>
        <w:t>present an abnormal expansion of sinusoidal compartments</w:t>
      </w:r>
      <w:r w:rsidR="00401442" w:rsidRPr="007721FB">
        <w:rPr>
          <w:rFonts w:ascii="Times New Roman" w:hAnsi="Times New Roman" w:cs="Times New Roman"/>
          <w:sz w:val="24"/>
        </w:rPr>
        <w:t>. N</w:t>
      </w:r>
      <w:r w:rsidR="00C16F0B" w:rsidRPr="007721FB">
        <w:rPr>
          <w:rFonts w:ascii="Times New Roman" w:hAnsi="Times New Roman" w:cs="Times New Roman"/>
          <w:sz w:val="24"/>
        </w:rPr>
        <w:t>anotherapeutics could potentially benefit from facilitated access across the bone-marrow barrier in these scenarios</w:t>
      </w:r>
      <w:r w:rsidR="00401442" w:rsidRPr="007721FB">
        <w:rPr>
          <w:rFonts w:ascii="Times New Roman" w:hAnsi="Times New Roman" w:cs="Times New Roman"/>
          <w:sz w:val="24"/>
        </w:rPr>
        <w:t xml:space="preserve"> akin to what is normally proposed by the </w:t>
      </w:r>
      <w:r w:rsidR="00914347" w:rsidRPr="007721FB">
        <w:rPr>
          <w:rFonts w:ascii="Times New Roman" w:hAnsi="Times New Roman" w:cs="Times New Roman"/>
          <w:sz w:val="24"/>
        </w:rPr>
        <w:t>enhanced permeability an</w:t>
      </w:r>
      <w:r w:rsidR="003E1BA8" w:rsidRPr="007721FB">
        <w:rPr>
          <w:rFonts w:ascii="Times New Roman" w:hAnsi="Times New Roman" w:cs="Times New Roman"/>
          <w:sz w:val="24"/>
        </w:rPr>
        <w:t xml:space="preserve">d retention (EPR) </w:t>
      </w:r>
      <w:r w:rsidR="00401442" w:rsidRPr="007721FB">
        <w:rPr>
          <w:rFonts w:ascii="Times New Roman" w:hAnsi="Times New Roman" w:cs="Times New Roman"/>
          <w:sz w:val="24"/>
        </w:rPr>
        <w:t>effect in cancer</w:t>
      </w:r>
      <w:r w:rsidR="00597781" w:rsidRPr="007721FB">
        <w:rPr>
          <w:rFonts w:ascii="Times New Roman" w:hAnsi="Times New Roman" w:cs="Times New Roman"/>
          <w:sz w:val="24"/>
        </w:rPr>
        <w:t xml:space="preserve"> </w:t>
      </w:r>
      <w:r w:rsidR="00C16F0B" w:rsidRPr="007721FB">
        <w:rPr>
          <w:rFonts w:ascii="Times New Roman" w:hAnsi="Times New Roman" w:cs="Times New Roman"/>
          <w:sz w:val="24"/>
        </w:rPr>
        <w:fldChar w:fldCharType="begin" w:fldLock="1"/>
      </w:r>
      <w:r w:rsidR="00B31E12" w:rsidRPr="007721FB">
        <w:rPr>
          <w:rFonts w:ascii="Times New Roman" w:hAnsi="Times New Roman" w:cs="Times New Roman"/>
          <w:sz w:val="24"/>
        </w:rPr>
        <w:instrText>ADDIN CSL_CITATION { "citationItems" : [ { "id" : "ITEM-1", "itemData" : { "DOI" : "10.3109/10428194.2016.1170829", "ISSN" : "1042-8194", "author" : [ { "dropping-particle" : "", "family" : "Ewalt", "given" : "Mark D.", "non-dropping-particle" : "", "parse-names" : false, "suffix" : "" }, { "dropping-particle" : "", "family" : "Gratzinger", "given" : "Dita", "non-dropping-particle" : "", "parse-names" : false, "suffix" : "" } ], "container-title" : "Leukemia &amp; Lymphoma", "id" : "ITEM-1", "issue" : "12", "issued" : { "date-parts" : [ [ "2016" ] ] }, "page" : "2923-2926", "title" : "Selective quantitation of microvessel density reveals sinusoidal expansion in myelodysplastic syndromes", "type" : "article-journal", "volume" : "57" }, "uris" : [ "http://www.mendeley.com/documents/?uuid=dba748e6-06ac-4114-862e-38c2f1c06599", "http://www.mendeley.com/documents/?uuid=80d9f92e-4d2a-4312-86d0-1be993a88b0c" ] } ], "mendeley" : { "formattedCitation" : "[43]", "plainTextFormattedCitation" : "[43]", "previouslyFormattedCitation" : "[43]" }, "properties" : { "noteIndex" : 0 }, "schema" : "https://github.com/citation-style-language/schema/raw/master/csl-citation.json" }</w:instrText>
      </w:r>
      <w:r w:rsidR="00C16F0B" w:rsidRPr="007721FB">
        <w:rPr>
          <w:rFonts w:ascii="Times New Roman" w:hAnsi="Times New Roman" w:cs="Times New Roman"/>
          <w:sz w:val="24"/>
        </w:rPr>
        <w:fldChar w:fldCharType="separate"/>
      </w:r>
      <w:r w:rsidR="00B31E12" w:rsidRPr="007721FB">
        <w:rPr>
          <w:rFonts w:ascii="Times New Roman" w:hAnsi="Times New Roman" w:cs="Times New Roman"/>
          <w:noProof/>
          <w:sz w:val="24"/>
        </w:rPr>
        <w:t>[43]</w:t>
      </w:r>
      <w:r w:rsidR="00C16F0B" w:rsidRPr="007721FB">
        <w:rPr>
          <w:rFonts w:ascii="Times New Roman" w:hAnsi="Times New Roman" w:cs="Times New Roman"/>
          <w:sz w:val="24"/>
        </w:rPr>
        <w:fldChar w:fldCharType="end"/>
      </w:r>
      <w:r w:rsidR="00C16F0B" w:rsidRPr="007721FB">
        <w:rPr>
          <w:rFonts w:ascii="Times New Roman" w:hAnsi="Times New Roman" w:cs="Times New Roman"/>
          <w:sz w:val="24"/>
        </w:rPr>
        <w:t>.</w:t>
      </w:r>
      <w:r w:rsidR="003E1BA8" w:rsidRPr="007721FB">
        <w:rPr>
          <w:rFonts w:ascii="Times New Roman" w:hAnsi="Times New Roman" w:cs="Times New Roman"/>
          <w:sz w:val="24"/>
        </w:rPr>
        <w:t xml:space="preserve"> However,</w:t>
      </w:r>
      <w:r w:rsidR="00401442" w:rsidRPr="007721FB">
        <w:rPr>
          <w:rFonts w:ascii="Times New Roman" w:hAnsi="Times New Roman" w:cs="Times New Roman"/>
          <w:sz w:val="24"/>
        </w:rPr>
        <w:t xml:space="preserve"> the latter should be addressed carefully as this phenomenon is quite variable from patient to patient and its true impact in therapeutics accumulation is yet to be fully elucidated </w:t>
      </w:r>
      <w:r w:rsidR="00914347" w:rsidRPr="007721FB">
        <w:rPr>
          <w:rFonts w:ascii="Times New Roman" w:hAnsi="Times New Roman" w:cs="Times New Roman"/>
          <w:sz w:val="24"/>
        </w:rPr>
        <w:t xml:space="preserve">in a clinical setting </w:t>
      </w:r>
      <w:r w:rsidR="00914347" w:rsidRPr="007721FB">
        <w:rPr>
          <w:rFonts w:ascii="Times New Roman" w:hAnsi="Times New Roman" w:cs="Times New Roman"/>
          <w:sz w:val="24"/>
        </w:rPr>
        <w:fldChar w:fldCharType="begin" w:fldLock="1"/>
      </w:r>
      <w:r w:rsidR="00B31E12" w:rsidRPr="007721FB">
        <w:rPr>
          <w:rFonts w:ascii="Times New Roman" w:hAnsi="Times New Roman" w:cs="Times New Roman"/>
          <w:sz w:val="24"/>
        </w:rPr>
        <w:instrText>ADDIN CSL_CITATION { "citationItems" : [ { "id" : "ITEM-1", "itemData" : { "ISSN" : "0169-409X", "author" : [ { "dropping-particle" : "", "family" : "Maeda", "given" : "Hiroshi", "non-dropping-particle" : "", "parse-names" : false, "suffix" : "" } ], "container-title" : "Advanced drug delivery reviews", "id" : "ITEM-1", "issued" : { "date-parts" : [ [ "2015" ] ] }, "page" : "3-6", "publisher" : "Elsevier", "title" : "Toward a full understanding of the EPR effect in primary and metastatic tumors as well as issues related to its heterogeneity", "type" : "article-journal", "volume" : "91" }, "uris" : [ "http://www.mendeley.com/documents/?uuid=6a761d8b-2b29-4b55-aed7-af8c523c3048" ] }, { "id" : "ITEM-2", "itemData" : { "DOI" : "https://doi.org/10.1016/j.jconrel.2016.11.015", "ISSN" : "0168-3659", "author" : [ { "dropping-particle" : "", "family" : "Danhier", "given" : "F", "non-dropping-particle" : "", "parse-names" : false, "suffix" : "" } ], "container-title" : "Journal of Controlled Release", "id" : "ITEM-2", "issue" : "Part A", "issued" : { "date-parts" : [ [ "2016" ] ] }, "page" : "108-121", "title" : "To exploit the tumor microenvironment: Since the EPR effect fails in the clinic, what is the future of nanomedicine?", "type" : "article-journal", "volume" : "244" }, "uris" : [ "http://www.mendeley.com/documents/?uuid=04de2f41-6bfd-43a3-8e19-7e60e225400b" ] } ], "mendeley" : { "formattedCitation" : "[44,45]", "plainTextFormattedCitation" : "[44,45]", "previouslyFormattedCitation" : "[44,45]" }, "properties" : { "noteIndex" : 7 }, "schema" : "https://github.com/citation-style-language/schema/raw/master/csl-citation.json" }</w:instrText>
      </w:r>
      <w:r w:rsidR="00914347" w:rsidRPr="007721FB">
        <w:rPr>
          <w:rFonts w:ascii="Times New Roman" w:hAnsi="Times New Roman" w:cs="Times New Roman"/>
          <w:sz w:val="24"/>
        </w:rPr>
        <w:fldChar w:fldCharType="separate"/>
      </w:r>
      <w:r w:rsidR="00B31E12" w:rsidRPr="007721FB">
        <w:rPr>
          <w:rFonts w:ascii="Times New Roman" w:hAnsi="Times New Roman" w:cs="Times New Roman"/>
          <w:noProof/>
          <w:sz w:val="24"/>
        </w:rPr>
        <w:t>[44,45]</w:t>
      </w:r>
      <w:r w:rsidR="00914347" w:rsidRPr="007721FB">
        <w:rPr>
          <w:rFonts w:ascii="Times New Roman" w:hAnsi="Times New Roman" w:cs="Times New Roman"/>
          <w:sz w:val="24"/>
        </w:rPr>
        <w:fldChar w:fldCharType="end"/>
      </w:r>
      <w:r w:rsidR="00914347" w:rsidRPr="007721FB">
        <w:rPr>
          <w:rFonts w:ascii="Times New Roman" w:hAnsi="Times New Roman" w:cs="Times New Roman"/>
          <w:sz w:val="24"/>
        </w:rPr>
        <w:t xml:space="preserve">. Strategies to augment </w:t>
      </w:r>
      <w:r w:rsidR="00D80B2F" w:rsidRPr="007721FB">
        <w:rPr>
          <w:rFonts w:ascii="Times New Roman" w:hAnsi="Times New Roman" w:cs="Times New Roman"/>
          <w:sz w:val="24"/>
        </w:rPr>
        <w:t>the</w:t>
      </w:r>
      <w:r w:rsidR="00914347" w:rsidRPr="007721FB">
        <w:rPr>
          <w:rFonts w:ascii="Times New Roman" w:hAnsi="Times New Roman" w:cs="Times New Roman"/>
          <w:sz w:val="24"/>
        </w:rPr>
        <w:t xml:space="preserve"> EPR through vascular modulators</w:t>
      </w:r>
      <w:r w:rsidR="003A4002" w:rsidRPr="007721FB">
        <w:rPr>
          <w:rFonts w:ascii="Times New Roman" w:hAnsi="Times New Roman" w:cs="Times New Roman"/>
          <w:sz w:val="24"/>
        </w:rPr>
        <w:t xml:space="preserve"> (e.g., nitric oxide, bradykinin </w:t>
      </w:r>
      <w:r w:rsidR="003A4002" w:rsidRPr="007721FB">
        <w:rPr>
          <w:rFonts w:ascii="Times New Roman" w:hAnsi="Times New Roman" w:cs="Times New Roman"/>
          <w:sz w:val="24"/>
        </w:rPr>
        <w:fldChar w:fldCharType="begin" w:fldLock="1"/>
      </w:r>
      <w:r w:rsidR="00B31E12" w:rsidRPr="007721FB">
        <w:rPr>
          <w:rFonts w:ascii="Times New Roman" w:hAnsi="Times New Roman" w:cs="Times New Roman"/>
          <w:sz w:val="24"/>
        </w:rPr>
        <w:instrText>ADDIN CSL_CITATION { "citationItems" : [ { "id" : "ITEM-1", "itemData" : { "DOI" : "10.1111/micc.12228", "ISSN" : "1549-8719", "author" : [ { "dropping-particle" : "", "family" : "Maeda", "given" : "Hiroshi", "non-dropping-particle" : "", "parse-names" : false, "suffix" : "" }, { "dropping-particle" : "", "family" : "Tsukigawa", "given" : "Kenji", "non-dropping-particle" : "", "parse-names" : false, "suffix" : "" }, { "dropping-particle" : "", "family" : "Fang", "given" : "Jun", "non-dropping-particle" : "", "parse-names" : false, "suffix" : "" } ], "container-title" : "Microcirculation", "id" : "ITEM-1", "issue" : "3", "issued" : { "date-parts" : [ [ "2016", "4", "1" ] ] }, "page" : "173-182", "title" : "A Retrospective 30\u00a0Years After Discovery of the Enhanced Permeability and Retention Effect of Solid Tumors: Next-Generation Chemotherapeutics and Photodynamic Therapy\u2014Problems, Solutions, and Prospects", "type" : "article-journal", "volume" : "23" }, "uris" : [ "http://www.mendeley.com/documents/?uuid=5a4869a9-d409-4cbf-9f8c-338e8bad5282" ] } ], "mendeley" : { "formattedCitation" : "[46]", "plainTextFormattedCitation" : "[46]", "previouslyFormattedCitation" : "[46]" }, "properties" : { "noteIndex" : 7 }, "schema" : "https://github.com/citation-style-language/schema/raw/master/csl-citation.json" }</w:instrText>
      </w:r>
      <w:r w:rsidR="003A4002" w:rsidRPr="007721FB">
        <w:rPr>
          <w:rFonts w:ascii="Times New Roman" w:hAnsi="Times New Roman" w:cs="Times New Roman"/>
          <w:sz w:val="24"/>
        </w:rPr>
        <w:fldChar w:fldCharType="separate"/>
      </w:r>
      <w:r w:rsidR="00B31E12" w:rsidRPr="007721FB">
        <w:rPr>
          <w:rFonts w:ascii="Times New Roman" w:hAnsi="Times New Roman" w:cs="Times New Roman"/>
          <w:noProof/>
          <w:sz w:val="24"/>
        </w:rPr>
        <w:t>[46]</w:t>
      </w:r>
      <w:r w:rsidR="003A4002" w:rsidRPr="007721FB">
        <w:rPr>
          <w:rFonts w:ascii="Times New Roman" w:hAnsi="Times New Roman" w:cs="Times New Roman"/>
          <w:sz w:val="24"/>
        </w:rPr>
        <w:fldChar w:fldCharType="end"/>
      </w:r>
      <w:r w:rsidR="003A4002" w:rsidRPr="007721FB">
        <w:rPr>
          <w:rFonts w:ascii="Times New Roman" w:hAnsi="Times New Roman" w:cs="Times New Roman"/>
          <w:sz w:val="24"/>
        </w:rPr>
        <w:t>)</w:t>
      </w:r>
      <w:r w:rsidR="00914347" w:rsidRPr="007721FB">
        <w:rPr>
          <w:rFonts w:ascii="Times New Roman" w:hAnsi="Times New Roman" w:cs="Times New Roman"/>
          <w:sz w:val="24"/>
        </w:rPr>
        <w:t xml:space="preserve"> have been investigated so far for cancer with some promising</w:t>
      </w:r>
      <w:r w:rsidR="003E1BA8" w:rsidRPr="007721FB">
        <w:rPr>
          <w:rFonts w:ascii="Times New Roman" w:hAnsi="Times New Roman" w:cs="Times New Roman"/>
          <w:sz w:val="24"/>
        </w:rPr>
        <w:t xml:space="preserve"> pre-clinical </w:t>
      </w:r>
      <w:r w:rsidR="003E1BA8" w:rsidRPr="007721FB">
        <w:rPr>
          <w:rFonts w:ascii="Times New Roman" w:hAnsi="Times New Roman" w:cs="Times New Roman"/>
          <w:i/>
          <w:sz w:val="24"/>
        </w:rPr>
        <w:t>in vivo</w:t>
      </w:r>
      <w:r w:rsidR="00914347" w:rsidRPr="007721FB">
        <w:rPr>
          <w:rFonts w:ascii="Times New Roman" w:hAnsi="Times New Roman" w:cs="Times New Roman"/>
          <w:sz w:val="24"/>
        </w:rPr>
        <w:t xml:space="preserve"> </w:t>
      </w:r>
      <w:r w:rsidR="003E1BA8" w:rsidRPr="007721FB">
        <w:rPr>
          <w:rFonts w:ascii="Times New Roman" w:hAnsi="Times New Roman" w:cs="Times New Roman"/>
          <w:sz w:val="24"/>
        </w:rPr>
        <w:t>data</w:t>
      </w:r>
      <w:r w:rsidR="003A4002" w:rsidRPr="007721FB">
        <w:rPr>
          <w:rFonts w:ascii="Times New Roman" w:hAnsi="Times New Roman" w:cs="Times New Roman"/>
          <w:sz w:val="24"/>
        </w:rPr>
        <w:t xml:space="preserve"> </w:t>
      </w:r>
      <w:r w:rsidR="00D80B2F" w:rsidRPr="007721FB">
        <w:rPr>
          <w:rFonts w:ascii="Times New Roman" w:hAnsi="Times New Roman" w:cs="Times New Roman"/>
          <w:sz w:val="24"/>
        </w:rPr>
        <w:fldChar w:fldCharType="begin" w:fldLock="1"/>
      </w:r>
      <w:r w:rsidR="00B31E12" w:rsidRPr="007721FB">
        <w:rPr>
          <w:rFonts w:ascii="Times New Roman" w:hAnsi="Times New Roman" w:cs="Times New Roman"/>
          <w:sz w:val="24"/>
        </w:rPr>
        <w:instrText>ADDIN CSL_CITATION { "citationItems" : [ { "id" : "ITEM-1", "itemData" : { "ISSN" : "0142-9612", "author" : [ { "dropping-particle" : "", "family" : "Kinoshita", "given" : "Ryo", "non-dropping-particle" : "", "parse-names" : false, "suffix" : "" }, { "dropping-particle" : "", "family" : "Ishima", "given" : "Yu", "non-dropping-particle" : "", "parse-names" : false, "suffix" : "" }, { "dropping-particle" : "", "family" : "Chuang", "given" : "Victor T G", "non-dropping-particle" : "", "parse-names" : false, "suffix" : "" }, { "dropping-particle" : "", "family" : "Nakamura", "given" : "Hideaki", "non-dropping-particle" : "", "parse-names" : false, "suffix" : "" }, { "dropping-particle" : "", "family" : "Fang", "given" : "Jun", "non-dropping-particle" : "", "parse-names" : false, "suffix" : "" }, { "dropping-particle" : "", "family" : "Watanabe", "given" : "Hiroshi", "non-dropping-particle" : "", "parse-names" : false, "suffix" : "" }, { "dropping-particle" : "", "family" : "Shimizu", "given" : "Taro", "non-dropping-particle" : "", "parse-names" : false, "suffix" : "" }, { "dropping-particle" : "", "family" : "Okuhira", "given" : "Keiichiro", "non-dropping-particle" : "", "parse-names" : false, "suffix" : "" }, { "dropping-particle" : "", "family" : "Ishida", "given" : "Tatsuhiro", "non-dropping-particle" : "", "parse-names" : false, "suffix" : "" }, { "dropping-particle" : "", "family" : "Maeda", "given" : "Hiroshi", "non-dropping-particle" : "", "parse-names" : false, "suffix" : "" } ], "container-title" : "Biomaterials", "id" : "ITEM-1", "issued" : { "date-parts" : [ [ "2017" ] ] }, "page" : "162-169", "publisher" : "Elsevier", "title" : "Improved anticancer effects of albumin-bound paclitaxel nanoparticle via augmentation of EPR effect and albumin-protein interactions using S-nitrosated human serum albumin dimer", "type" : "article-journal", "volume" : "140" }, "uris" : [ "http://www.mendeley.com/documents/?uuid=8d55e8f2-add0-45d6-91dc-64055b838feb" ] } ], "mendeley" : { "formattedCitation" : "[47]", "plainTextFormattedCitation" : "[47]", "previouslyFormattedCitation" : "[47]" }, "properties" : { "noteIndex" : 7 }, "schema" : "https://github.com/citation-style-language/schema/raw/master/csl-citation.json" }</w:instrText>
      </w:r>
      <w:r w:rsidR="00D80B2F" w:rsidRPr="007721FB">
        <w:rPr>
          <w:rFonts w:ascii="Times New Roman" w:hAnsi="Times New Roman" w:cs="Times New Roman"/>
          <w:sz w:val="24"/>
        </w:rPr>
        <w:fldChar w:fldCharType="separate"/>
      </w:r>
      <w:r w:rsidR="00B31E12" w:rsidRPr="007721FB">
        <w:rPr>
          <w:rFonts w:ascii="Times New Roman" w:hAnsi="Times New Roman" w:cs="Times New Roman"/>
          <w:noProof/>
          <w:sz w:val="24"/>
        </w:rPr>
        <w:t>[47]</w:t>
      </w:r>
      <w:r w:rsidR="00D80B2F" w:rsidRPr="007721FB">
        <w:rPr>
          <w:rFonts w:ascii="Times New Roman" w:hAnsi="Times New Roman" w:cs="Times New Roman"/>
          <w:sz w:val="24"/>
        </w:rPr>
        <w:fldChar w:fldCharType="end"/>
      </w:r>
      <w:r w:rsidR="00D80B2F" w:rsidRPr="007721FB">
        <w:rPr>
          <w:rFonts w:ascii="Times New Roman" w:hAnsi="Times New Roman" w:cs="Times New Roman"/>
          <w:sz w:val="24"/>
        </w:rPr>
        <w:t>.</w:t>
      </w:r>
      <w:r w:rsidR="00666D15" w:rsidRPr="007721FB">
        <w:rPr>
          <w:rFonts w:ascii="Times New Roman" w:hAnsi="Times New Roman" w:cs="Times New Roman"/>
          <w:sz w:val="24"/>
        </w:rPr>
        <w:t xml:space="preserve"> T</w:t>
      </w:r>
      <w:r w:rsidR="00D80B2F" w:rsidRPr="007721FB">
        <w:rPr>
          <w:rFonts w:ascii="Times New Roman" w:hAnsi="Times New Roman" w:cs="Times New Roman"/>
          <w:sz w:val="24"/>
        </w:rPr>
        <w:t xml:space="preserve">o the best of our knowledge such </w:t>
      </w:r>
      <w:r w:rsidR="00666D15" w:rsidRPr="007721FB">
        <w:rPr>
          <w:rFonts w:ascii="Times New Roman" w:hAnsi="Times New Roman" w:cs="Times New Roman"/>
          <w:sz w:val="24"/>
        </w:rPr>
        <w:t>h</w:t>
      </w:r>
      <w:r w:rsidR="00D80B2F" w:rsidRPr="007721FB">
        <w:rPr>
          <w:rFonts w:ascii="Times New Roman" w:hAnsi="Times New Roman" w:cs="Times New Roman"/>
          <w:sz w:val="24"/>
        </w:rPr>
        <w:t>as not been explored for other bone disorders</w:t>
      </w:r>
      <w:r w:rsidR="003E1BA8" w:rsidRPr="007721FB">
        <w:rPr>
          <w:rFonts w:ascii="Times New Roman" w:hAnsi="Times New Roman" w:cs="Times New Roman"/>
          <w:sz w:val="24"/>
        </w:rPr>
        <w:t xml:space="preserve"> that could benefit from this strategy. O</w:t>
      </w:r>
      <w:r w:rsidR="00D80B2F" w:rsidRPr="007721FB">
        <w:rPr>
          <w:rFonts w:ascii="Times New Roman" w:hAnsi="Times New Roman" w:cs="Times New Roman"/>
          <w:sz w:val="24"/>
        </w:rPr>
        <w:t xml:space="preserve">ne can postulate that </w:t>
      </w:r>
      <w:r w:rsidR="00C0152F" w:rsidRPr="007721FB">
        <w:rPr>
          <w:rFonts w:ascii="Times New Roman" w:hAnsi="Times New Roman" w:cs="Times New Roman"/>
          <w:sz w:val="24"/>
        </w:rPr>
        <w:t xml:space="preserve">dynamic </w:t>
      </w:r>
      <w:r w:rsidR="00D80B2F" w:rsidRPr="007721FB">
        <w:rPr>
          <w:rFonts w:ascii="Times New Roman" w:hAnsi="Times New Roman" w:cs="Times New Roman"/>
          <w:sz w:val="24"/>
        </w:rPr>
        <w:t xml:space="preserve">studies addressing this </w:t>
      </w:r>
      <w:r w:rsidR="003E1BA8" w:rsidRPr="007721FB">
        <w:rPr>
          <w:rFonts w:ascii="Times New Roman" w:hAnsi="Times New Roman" w:cs="Times New Roman"/>
          <w:sz w:val="24"/>
        </w:rPr>
        <w:t>may</w:t>
      </w:r>
      <w:r w:rsidR="00D80B2F" w:rsidRPr="007721FB">
        <w:rPr>
          <w:rFonts w:ascii="Times New Roman" w:hAnsi="Times New Roman" w:cs="Times New Roman"/>
          <w:sz w:val="24"/>
        </w:rPr>
        <w:t xml:space="preserve"> provide important</w:t>
      </w:r>
      <w:r w:rsidR="003E1BA8" w:rsidRPr="007721FB">
        <w:rPr>
          <w:rFonts w:ascii="Times New Roman" w:hAnsi="Times New Roman" w:cs="Times New Roman"/>
          <w:sz w:val="24"/>
        </w:rPr>
        <w:t xml:space="preserve"> insights </w:t>
      </w:r>
      <w:r w:rsidR="00300C19" w:rsidRPr="007721FB">
        <w:rPr>
          <w:rFonts w:ascii="Times New Roman" w:hAnsi="Times New Roman" w:cs="Times New Roman"/>
          <w:sz w:val="24"/>
        </w:rPr>
        <w:t xml:space="preserve">to </w:t>
      </w:r>
      <w:r w:rsidR="003E1BA8" w:rsidRPr="007721FB">
        <w:rPr>
          <w:rFonts w:ascii="Times New Roman" w:hAnsi="Times New Roman" w:cs="Times New Roman"/>
          <w:sz w:val="24"/>
        </w:rPr>
        <w:t>increase</w:t>
      </w:r>
      <w:r w:rsidR="003A4002" w:rsidRPr="007721FB">
        <w:rPr>
          <w:rFonts w:ascii="Times New Roman" w:hAnsi="Times New Roman" w:cs="Times New Roman"/>
          <w:sz w:val="24"/>
        </w:rPr>
        <w:t xml:space="preserve"> the performance of</w:t>
      </w:r>
      <w:r w:rsidR="00D80B2F" w:rsidRPr="007721FB">
        <w:rPr>
          <w:rFonts w:ascii="Times New Roman" w:hAnsi="Times New Roman" w:cs="Times New Roman"/>
          <w:sz w:val="24"/>
        </w:rPr>
        <w:t xml:space="preserve"> disease-specific nanocarriers.</w:t>
      </w:r>
      <w:r w:rsidR="00D867DF" w:rsidRPr="007721FB">
        <w:rPr>
          <w:rFonts w:ascii="Times New Roman" w:hAnsi="Times New Roman" w:cs="Times New Roman"/>
          <w:sz w:val="24"/>
        </w:rPr>
        <w:t xml:space="preserve"> </w:t>
      </w:r>
    </w:p>
    <w:p w14:paraId="6F7897F4" w14:textId="08D1844F" w:rsidR="00076ABB" w:rsidRPr="007721FB" w:rsidRDefault="00416E5F" w:rsidP="00D64ED9">
      <w:pPr>
        <w:spacing w:after="0" w:line="240" w:lineRule="auto"/>
        <w:jc w:val="both"/>
        <w:rPr>
          <w:rFonts w:ascii="Times New Roman" w:hAnsi="Times New Roman" w:cs="Times New Roman"/>
          <w:sz w:val="24"/>
        </w:rPr>
      </w:pPr>
      <w:r w:rsidRPr="007721FB">
        <w:rPr>
          <w:rFonts w:ascii="Times New Roman" w:hAnsi="Times New Roman" w:cs="Times New Roman"/>
          <w:sz w:val="24"/>
        </w:rPr>
        <w:t>A recent study performed by Ramasamy and co-workers</w:t>
      </w:r>
      <w:r w:rsidR="00666D15" w:rsidRPr="007721FB">
        <w:rPr>
          <w:rFonts w:ascii="Times New Roman" w:hAnsi="Times New Roman" w:cs="Times New Roman"/>
          <w:sz w:val="24"/>
        </w:rPr>
        <w:t xml:space="preserve"> is one of the few that</w:t>
      </w:r>
      <w:r w:rsidRPr="007721FB">
        <w:rPr>
          <w:rFonts w:ascii="Times New Roman" w:hAnsi="Times New Roman" w:cs="Times New Roman"/>
          <w:sz w:val="24"/>
        </w:rPr>
        <w:t xml:space="preserve"> investigated </w:t>
      </w:r>
      <w:r w:rsidR="00401442" w:rsidRPr="007721FB">
        <w:rPr>
          <w:rFonts w:ascii="Times New Roman" w:hAnsi="Times New Roman" w:cs="Times New Roman"/>
          <w:sz w:val="24"/>
        </w:rPr>
        <w:t xml:space="preserve">the fundaments of </w:t>
      </w:r>
      <w:r w:rsidRPr="007721FB">
        <w:rPr>
          <w:rFonts w:ascii="Times New Roman" w:hAnsi="Times New Roman" w:cs="Times New Roman"/>
          <w:sz w:val="24"/>
        </w:rPr>
        <w:t>blood flow dynamics in bone</w:t>
      </w:r>
      <w:r w:rsidR="00401442" w:rsidRPr="007721FB">
        <w:rPr>
          <w:rFonts w:ascii="Times New Roman" w:hAnsi="Times New Roman" w:cs="Times New Roman"/>
          <w:sz w:val="24"/>
        </w:rPr>
        <w:t xml:space="preserve"> by using </w:t>
      </w:r>
      <w:r w:rsidR="00401442" w:rsidRPr="007721FB">
        <w:rPr>
          <w:rFonts w:ascii="Times New Roman" w:hAnsi="Times New Roman" w:cs="Times New Roman"/>
          <w:i/>
          <w:sz w:val="24"/>
        </w:rPr>
        <w:t>in vivo</w:t>
      </w:r>
      <w:r w:rsidR="00401442" w:rsidRPr="007721FB">
        <w:rPr>
          <w:rFonts w:ascii="Times New Roman" w:hAnsi="Times New Roman" w:cs="Times New Roman"/>
          <w:sz w:val="24"/>
        </w:rPr>
        <w:t xml:space="preserve"> </w:t>
      </w:r>
      <w:r w:rsidR="00914AA4" w:rsidRPr="007721FB">
        <w:rPr>
          <w:rFonts w:ascii="Times New Roman" w:hAnsi="Times New Roman" w:cs="Times New Roman"/>
          <w:sz w:val="24"/>
        </w:rPr>
        <w:t xml:space="preserve">fluorescence </w:t>
      </w:r>
      <w:r w:rsidR="00AC380E" w:rsidRPr="007721FB">
        <w:rPr>
          <w:rFonts w:ascii="Times New Roman" w:hAnsi="Times New Roman" w:cs="Times New Roman"/>
          <w:sz w:val="24"/>
        </w:rPr>
        <w:t>intravit</w:t>
      </w:r>
      <w:r w:rsidR="00401442" w:rsidRPr="007721FB">
        <w:rPr>
          <w:rFonts w:ascii="Times New Roman" w:hAnsi="Times New Roman" w:cs="Times New Roman"/>
          <w:sz w:val="24"/>
        </w:rPr>
        <w:t>al imaging</w:t>
      </w:r>
      <w:r w:rsidRPr="007721FB">
        <w:rPr>
          <w:rFonts w:ascii="Times New Roman" w:hAnsi="Times New Roman" w:cs="Times New Roman"/>
          <w:sz w:val="24"/>
        </w:rPr>
        <w:t xml:space="preserve">. </w:t>
      </w:r>
      <w:r w:rsidR="00401442" w:rsidRPr="007721FB">
        <w:rPr>
          <w:rFonts w:ascii="Times New Roman" w:hAnsi="Times New Roman" w:cs="Times New Roman"/>
          <w:sz w:val="24"/>
        </w:rPr>
        <w:t>The</w:t>
      </w:r>
      <w:r w:rsidR="003E1BA8" w:rsidRPr="007721FB">
        <w:rPr>
          <w:rFonts w:ascii="Times New Roman" w:hAnsi="Times New Roman" w:cs="Times New Roman"/>
          <w:sz w:val="24"/>
        </w:rPr>
        <w:t xml:space="preserve"> reported results indicate</w:t>
      </w:r>
      <w:r w:rsidR="00401442" w:rsidRPr="007721FB">
        <w:rPr>
          <w:rFonts w:ascii="Times New Roman" w:hAnsi="Times New Roman" w:cs="Times New Roman"/>
          <w:sz w:val="24"/>
        </w:rPr>
        <w:t xml:space="preserve"> that </w:t>
      </w:r>
      <w:r w:rsidR="00CD0F1D" w:rsidRPr="007721FB">
        <w:rPr>
          <w:rFonts w:ascii="Times New Roman" w:hAnsi="Times New Roman" w:cs="Times New Roman"/>
          <w:sz w:val="24"/>
        </w:rPr>
        <w:t>bl</w:t>
      </w:r>
      <w:r w:rsidR="00101A84" w:rsidRPr="007721FB">
        <w:rPr>
          <w:rFonts w:ascii="Times New Roman" w:hAnsi="Times New Roman" w:cs="Times New Roman"/>
          <w:sz w:val="24"/>
        </w:rPr>
        <w:t xml:space="preserve">ood velocity in type H capillaries is about 6-fold higher than </w:t>
      </w:r>
      <w:r w:rsidR="006B64D6" w:rsidRPr="007721FB">
        <w:rPr>
          <w:rFonts w:ascii="Times New Roman" w:hAnsi="Times New Roman" w:cs="Times New Roman"/>
          <w:sz w:val="24"/>
        </w:rPr>
        <w:t>that of</w:t>
      </w:r>
      <w:r w:rsidR="00101A84" w:rsidRPr="007721FB">
        <w:rPr>
          <w:rFonts w:ascii="Times New Roman" w:hAnsi="Times New Roman" w:cs="Times New Roman"/>
          <w:sz w:val="24"/>
        </w:rPr>
        <w:t xml:space="preserve"> sinusoidal type L </w:t>
      </w:r>
      <w:r w:rsidR="00CD0F1D" w:rsidRPr="007721FB">
        <w:rPr>
          <w:rFonts w:ascii="Times New Roman" w:hAnsi="Times New Roman" w:cs="Times New Roman"/>
          <w:sz w:val="24"/>
        </w:rPr>
        <w:t>vessels</w:t>
      </w:r>
      <w:r w:rsidR="00C16F0B" w:rsidRPr="007721FB">
        <w:rPr>
          <w:rFonts w:ascii="Times New Roman" w:hAnsi="Times New Roman" w:cs="Times New Roman"/>
          <w:sz w:val="24"/>
        </w:rPr>
        <w:t xml:space="preserve"> </w:t>
      </w:r>
      <w:r w:rsidR="00401442" w:rsidRPr="007721FB">
        <w:rPr>
          <w:rFonts w:ascii="Times New Roman" w:hAnsi="Times New Roman" w:cs="Times New Roman"/>
          <w:sz w:val="24"/>
        </w:rPr>
        <w:t xml:space="preserve">(Figure </w:t>
      </w:r>
      <w:r w:rsidR="00914AA4" w:rsidRPr="007721FB">
        <w:rPr>
          <w:rFonts w:ascii="Times New Roman" w:hAnsi="Times New Roman" w:cs="Times New Roman"/>
          <w:sz w:val="24"/>
        </w:rPr>
        <w:t>2</w:t>
      </w:r>
      <w:r w:rsidR="00401442" w:rsidRPr="007721FB">
        <w:rPr>
          <w:rFonts w:ascii="Times New Roman" w:hAnsi="Times New Roman" w:cs="Times New Roman"/>
          <w:sz w:val="24"/>
        </w:rPr>
        <w:t>)</w:t>
      </w:r>
      <w:r w:rsidR="003E1BA8" w:rsidRPr="007721FB">
        <w:rPr>
          <w:rFonts w:ascii="Times New Roman" w:hAnsi="Times New Roman" w:cs="Times New Roman"/>
          <w:sz w:val="24"/>
        </w:rPr>
        <w:t xml:space="preserve"> </w:t>
      </w:r>
      <w:r w:rsidR="003E1BA8" w:rsidRPr="007721FB">
        <w:rPr>
          <w:rFonts w:ascii="Times New Roman" w:hAnsi="Times New Roman" w:cs="Times New Roman"/>
          <w:sz w:val="24"/>
        </w:rPr>
        <w:fldChar w:fldCharType="begin" w:fldLock="1"/>
      </w:r>
      <w:r w:rsidR="00B31E12" w:rsidRPr="007721FB">
        <w:rPr>
          <w:rFonts w:ascii="Times New Roman" w:hAnsi="Times New Roman" w:cs="Times New Roman"/>
          <w:sz w:val="24"/>
        </w:rPr>
        <w:instrText>ADDIN CSL_CITATION { "citationItems" : [ { "id" : "ITEM-1", "itemData" : { "DOI" : "10.1038/ncomms13601", "ISSN" : "2041-1723", "author" : [ { "dropping-particle" : "", "family" : "Ramasamy", "given" : "Saravana K.", "non-dropping-particle" : "", "parse-names" : false, "suffix" : "" }, { "dropping-particle" : "", "family" : "Kusumbe", "given" : "Anjali P.", "non-dropping-particle" : "", "parse-names" : false, "suffix" : "" }, { "dropping-particle" : "", "family" : "Schiller", "given" : "Maria", "non-dropping-particle" : "", "parse-names" : false, "suffix" : "" }, { "dropping-particle" : "", "family" : "Zeuschner", "given" : "Dagmar", "non-dropping-particle" : "", "parse-names" : false, "suffix" : "" }, { "dropping-particle" : "", "family" : "Bixel", "given" : "M. Gabriele", "non-dropping-particle" : "", "parse-names" : false, "suffix" : "" }, { "dropping-particle" : "", "family" : "Milia", "given" : "Carlo", "non-dropping-particle" : "", "parse-names" : false, "suffix" : "" }, { "dropping-particle" : "", "family" : "Gamrekelashvili", "given" : "Jaba", "non-dropping-particle" : "", "parse-names" : false, "suffix" : "" }, { "dropping-particle" : "", "family" : "Limbourg", "given" : "Anne", "non-dropping-particle" : "", "parse-names" : false, "suffix" : "" }, { "dropping-particle" : "", "family" : "Medvinsky", "given" : "Alexander", "non-dropping-particle" : "", "parse-names" : false, "suffix" : "" }, { "dropping-particle" : "", "family" : "Santoro", "given" : "Massimo M.", "non-dropping-particle" : "", "parse-names" : false, "suffix" : "" }, { "dropping-particle" : "", "family" : "Limbourg", "given" : "Florian P.", "non-dropping-particle" : "", "parse-names" : false, "suffix" : "" }, { "dropping-particle" : "", "family" : "Adams", "given" : "Ralf H.", "non-dropping-particle" : "", "parse-names" : false, "suffix" : "" }, { "dropping-particle" : "", "family" : "Karsenty", "given" : "G.", "non-dropping-particle" : "", "parse-names" : false, "suffix" : "" }, { "dropping-particle" : "", "family" : "Wagner", "given" : "E. F.", "non-dropping-particle" : "", "parse-names" : false, "suffix" : "" }, { "dropping-particle" : "", "family" : "Kronenberg", "given" : "H. M.", "non-dropping-particle" : "", "parse-names" : false, "suffix" : "" }, { "dropping-particle" : "", "family" : "Wang", "given" : "Y.", "non-dropping-particle" : "", "parse-names" : false, "suffix" : "" }, { "dropping-particle" : "", "family" : "Eshkar-Oren", "given" : "I.", "non-dropping-particle" : "", "parse-names" : false, "suffix" : "" }, { "dropping-particle" : "", "family" : "Gerber", "given" : "H. P.", "non-dropping-particle" : "", "parse-names" : false, "suffix" : "" }, { "dropping-particle" : "", "family" : "Maes", "given" : "C.", "non-dropping-particle" : "", "parse-names" : false, "suffix" : "" }, { "dropping-particle" : "", "family" : "Maes", "given" : "C.", "non-dropping-particle" : "", "parse-names" : false, "suffix" : "" }, { "dropping-particle" : "", "family" : "Kusumbe", "given" : "A. P.", "non-dropping-particle" : "", "parse-names" : false, "suffix" : "" }, { "dropping-particle" : "", "family" : "Ramasamy", "given" : "S. K.", "non-dropping-particle" : "", "parse-names" : false, "suffix" : "" }, { "dropping-particle" : "", "family" : "Adams", "given" : "R. H.", "non-dropping-particle" : "", "parse-names" : false, "suffix" : "" }, { "dropping-particle" : "", "family" : "Ramasamy", "given" : "S. K.", "non-dropping-particle" : "", "parse-names" : false, "suffix" : "" }, { "dropping-particle" : "", "family" : "Kusumbe", "given" : "A. P.", "non-dropping-particle" : "", "parse-names" : false, "suffix" : "" }, { "dropping-particle" : "", "family" : "Wang", "given" : "L.", "non-dropping-particle" : "", "parse-names" : false, "suffix" : "" }, { "dropping-particle" : "", "family" : "Adams", "given" : "R. H.", "non-dropping-particle" : "", "parse-names" : false, "suffix" : "" }, { "dropping-particle" : "", "family" : "Xie", "given" : "H", "non-dropping-particle" : "", "parse-names" : false, "suffix" : "" }, { "dropping-particle" : "", "family" : "Adams", "given" : "R. H.", "non-dropping-particle" : "", "parse-names" : false, "suffix" : "" }, { "dropping-particle" : "", "family" : "Alitalo", "given" : "K.", "non-dropping-particle" : "", "parse-names" : false, "suffix" : "" }, { "dropping-particle" : "", "family" : "Potente", "given" : "M.", "non-dropping-particle" : "", "parse-names" : false, "suffix" : "" }, { "dropping-particle" : "", "family" : "Gerhardt", "given" : "H.", "non-dropping-particle" : "", "parse-names" : false, "suffix" : "" }, { "dropping-particle" : "", "family" : "Carmeliet", "given" : "P.", "non-dropping-particle" : "", "parse-names" : false, "suffix" : "" }, { "dropping-particle" : "", "family" : "Hellstrom", "given" : "M.", "non-dropping-particle" : "", "parse-names" : false, "suffix" : "" }, { "dropping-particle" : "", "family" : "Lobov", "given" : "I. B.", "non-dropping-particle" : "", "parse-names" : false, "suffix" : "" }, { "dropping-particle" : "", "family" : "Ridgway", "given" : "J.", "non-dropping-particle" : "", "parse-names" : false, "suffix" : "" }, { "dropping-particle" : "", "family" : "Suchting", "given" : "S.", "non-dropping-particle" : "", "parse-names" : false, "suffix" : "" }, { "dropping-particle" : "", "family" : "Nicoli", "given" : "S.", "non-dropping-particle" : "", "parse-names" : false, "suffix" : "" }, { "dropping-particle" : "", "family" : "Yashiro", "given" : "K.", "non-dropping-particle" : "", "parse-names" : false, "suffix" : "" }, { "dropping-particle" : "", "family" : "Shiratori", "given" : "H.", "non-dropping-particle" : "", "parse-names" : false, "suffix" : "" }, { "dropping-particle" : "", "family" : "Hamada", "given" : "H.", "non-dropping-particle" : "", "parse-names" : false, "suffix" : "" }, { "dropping-particle" : "", "family" : "Gimbrone", "given" : "M. A.", "non-dropping-particle" : "", "parse-names" : false, "suffix" : "" }, { "dropping-particle" : "", "family" : "Topper", "given" : "J. N.", "non-dropping-particle" : "", "parse-names" : false, "suffix" : "" }, { "dropping-particle" : "", "family" : "Nagel", "given" : "T.", "non-dropping-particle" : "", "parse-names" : false, "suffix" : "" }, { "dropping-particle" : "", "family" : "Anderson", "given" : "K. R.", "non-dropping-particle" : "", "parse-names" : false, "suffix" : "" }, { "dropping-particle" : "", "family" : "Garcia-Cardena", "given" : "G.", "non-dropping-particle" : "", "parse-names" : false, "suffix" : "" }, { "dropping-particle" : "", "family" : "Whitehead", "given" : "K. J.", "non-dropping-particle" : "", "parse-names" : false, "suffix" : "" }, { "dropping-particle" : "", "family" : "Smith", "given" : "M. C.", "non-dropping-particle" : "", "parse-names" : false, "suffix" : "" }, { "dropping-particle" : "", "family" : "Li", "given" : "D. Y.", "non-dropping-particle" : "", "parse-names" : false, "suffix" : "" }, { "dropping-particle" : "", "family" : "McCarthy", "given" : "I.", "non-dropping-particle" : "", "parse-names" : false, "suffix" : "" }, { "dropping-particle" : "", "family" : "Vogt", "given" : "M. T.", "non-dropping-particle" : "", "parse-names" : false, "suffix" : "" }, { "dropping-particle" : "", "family" : "Cauley", "given" : "J. A.", "non-dropping-particle" : "", "parse-names" : false, "suffix" : "" }, { "dropping-particle" : "", "family" : "Kuller", "given" : "L. H.", "non-dropping-particle" : "", "parse-names" : false, "suffix" : "" }, { "dropping-particle" : "", "family" : "Nevitt", "given" : "M. C.", "non-dropping-particle" : "", "parse-names" : false, "suffix" : "" }, { "dropping-particle" : "", "family" : "Hanley", "given" : "D. A.", "non-dropping-particle" : "", "parse-names" : false, "suffix" : "" }, { "dropping-particle" : "", "family" : "Atsumi", "given" : "T.", "non-dropping-particle" : "", "parse-names" : false, "suffix" : "" }, { "dropping-particle" : "", "family" : "Kuroki", "given" : "Y.", "non-dropping-particle" : "", "parse-names" : false, "suffix" : "" }, { "dropping-particle" : "", "family" : "Trueta", "given" : "J.", "non-dropping-particle" : "", "parse-names" : false, "suffix" : "" }, { "dropping-particle" : "", "family" : "Wan", "given" : "C.", "non-dropping-particle" : "", "parse-names" : false, "suffix" : "" }, { "dropping-particle" : "", "family" : "Tomlinson", "given" : "R. E.", "non-dropping-particle" : "", "parse-names" : false, "suffix" : "" }, { "dropping-particle" : "", "family" : "Silva", "given" : "M. J.", "non-dropping-particle" : "", "parse-names" : false, "suffix" : "" }, { "dropping-particle" : "", "family" : "Limbourg", "given" : "A", "non-dropping-particle" : "", "parse-names" : false, "suffix" : "" }, { "dropping-particle" : "", "family" : "Seifert", "given" : "F. C.", "non-dropping-particle" : "", "parse-names" : false, "suffix" : "" }, { "dropping-particle" : "", "family" : "Banker", "given" : "M.", "non-dropping-particle" : "", "parse-names" : false, "suffix" : "" }, { "dropping-particle" : "", "family" : "Lane", "given" : "B.", "non-dropping-particle" : "", "parse-names" : false, "suffix" : "" }, { "dropping-particle" : "", "family" : "Bagge", "given" : "U.", "non-dropping-particle" : "", "parse-names" : false, "suffix" : "" }, { "dropping-particle" : "", "family" : "Anagnostopoulos", "given" : "C. E.", "non-dropping-particle" : "", "parse-names" : false, "suffix" : "" }, { "dropping-particle" : "", "family" : "Nash", "given" : "D. T.", "non-dropping-particle" : "", "parse-names" : false, "suffix" : "" }, { "dropping-particle" : "", "family" : "Tanaka", "given" : "K.", "non-dropping-particle" : "", "parse-names" : false, "suffix" : "" }, { "dropping-particle" : "", "family" : "Carmeliet", "given" : "P.", "non-dropping-particle" : "", "parse-names" : false, "suffix" : "" }, { "dropping-particle" : "De", "family" : "Smet", "given" : "F.", "non-dropping-particle" : "", "parse-names" : false, "suffix" : "" }, { "dropping-particle" : "", "family" : "Loges", "given" : "S.", "non-dropping-particle" : "", "parse-names" : false, "suffix" : "" }, { "dropping-particle" : "", "family" : "Mazzone", "given" : "M.", "non-dropping-particle" : "", "parse-names" : false, "suffix" : "" }, { "dropping-particle" : "", "family" : "Phng", "given" : "L. K.", "non-dropping-particle" : "", "parse-names" : false, "suffix" : "" }, { "dropping-particle" : "", "family" : "Gerhardt", "given" : "H.", "non-dropping-particle" : "", "parse-names" : false, "suffix" : "" }, { "dropping-particle" : "", "family" : "Conway", "given" : "D. E.", "non-dropping-particle" : "", "parse-names" : false, "suffix" : "" }, { "dropping-particle" : "", "family" : "Tzima", "given" : "E.", "non-dropping-particle" : "", "parse-names" : false, "suffix" : "" }, { "dropping-particle" : "", "family" : "Duncan", "given" : "G. S.", "non-dropping-particle" : "", "parse-names" : false, "suffix" : "" }, { "dropping-particle" : "", "family" : "Benedito", "given" : "R.", "non-dropping-particle" : "", "parse-names" : false, "suffix" : "" }, { "dropping-particle" : "", "family" : "Han", "given" : "H.", "non-dropping-particle" : "", "parse-names" : false, "suffix" : "" }, { "dropping-particle" : "", "family" : "Tanigaki", "given" : "K.", "non-dropping-particle" : "", "parse-names" : false, "suffix" : "" }, { "dropping-particle" : "", "family" : "Honjo", "given" : "T.", "non-dropping-particle" : "", "parse-names" : false, "suffix" : "" }, { "dropping-particle" : "", "family" : "Kusumbe", "given" : "A. P.", "non-dropping-particle" : "", "parse-names" : false, "suffix" : "" }, { "dropping-particle" : "", "family" : "Prisby", "given" : "R. D.", "non-dropping-particle" : "", "parse-names" : false, "suffix" : "" }, { "dropping-particle" : "", "family" : "Murtaugh", "given" : "L. C.", "non-dropping-particle" : "", "parse-names" : false, "suffix" : "" }, { "dropping-particle" : "", "family" : "Stanger", "given" : "B. Z.", "non-dropping-particle" : "", "parse-names" : false, "suffix" : "" }, { "dropping-particle" : "", "family" : "Kwan", "given" : "K. M.", "non-dropping-particle" : "", "parse-names" : false, "suffix" : "" }, { "dropping-particle" : "", "family" : "Melton", "given" : "D. A.", "non-dropping-particle" : "", "parse-names" : false, "suffix" : "" }, { "dropping-particle" : "", "family" : "Hoeck", "given" : "J. D.", "non-dropping-particle" : "", "parse-names" : false, "suffix" : "" }, { "dropping-particle" : "", "family" : "Drake", "given" : "M. T.", "non-dropping-particle" : "", "parse-names" : false, "suffix" : "" }, { "dropping-particle" : "", "family" : "Clarke", "given" : "B. L.", "non-dropping-particle" : "", "parse-names" : false, "suffix" : "" }, { "dropping-particle" : "", "family" : "Khosla", "given" : "S.", "non-dropping-particle" : "", "parse-names" : false, "suffix" : "" }, { "dropping-particle" : "", "family" : "Plotkin", "given" : "L. I.", "non-dropping-particle" : "", "parse-names" : false, "suffix" : "" }, { "dropping-particle" : "", "family" : "Acar", "given" : "M.", "non-dropping-particle" : "", "parse-names" : false, "suffix" : "" }, { "dropping-particle" : "", "family" : "Boulais", "given" : "P. E.", "non-dropping-particle" : "", "parse-names" : false, "suffix" : "" }, { "dropping-particle" : "", "family" : "Frenette", "given" : "P. S.", "non-dropping-particle" : "", "parse-names" : false, "suffix" : "" }, { "dropping-particle" : "", "family" : "Kunisaki", "given" : "Y.", "non-dropping-particle" : "", "parse-names" : false, "suffix" : "" }, { "dropping-particle" : "", "family" : "Morrison", "given" : "S. J.", "non-dropping-particle" : "", "parse-names" : false, "suffix" : "" }, { "dropping-particle" : "", "family" : "Scadden", "given" : "D. T.", "non-dropping-particle" : "", "parse-names" : false, "suffix" : "" }, { "dropping-particle" : "", "family" : "Maes", "given" : "C.", "non-dropping-particle" : "", "parse-names" : false, "suffix" : "" }, { "dropping-particle" : "", "family" : "Stegen", "given" : "S.", "non-dropping-particle" : "", "parse-names" : false, "suffix" : "" }, { "dropping-particle" : "van", "family" : "Gastel", "given" : "N.", "non-dropping-particle" : "", "parse-names" : false, "suffix" : "" }, { "dropping-particle" : "", "family" : "Carmeliet", "given" : "G.", "non-dropping-particle" : "", "parse-names" : false, "suffix" : "" }, { "dropping-particle" : "", "family" : "Berendsen", "given" : "A. D.", "non-dropping-particle" : "", "parse-names" : false, "suffix" : "" }, { "dropping-particle" : "", "family" : "Olsen", "given" : "B. R.", "non-dropping-particle" : "", "parse-names" : false, "suffix" : "" }, { "dropping-particle" : "", "family" : "Klein-Nulend", "given" : "J.", "non-dropping-particle" : "", "parse-names" : false, "suffix" : "" }, { "dropping-particle" : "", "family" : "Bakker", "given" : "A. D.", "non-dropping-particle" : "", "parse-names" : false, "suffix" : "" }, { "dropping-particle" : "", "family" : "Bacabac", "given" : "R. G.", "non-dropping-particle" : "", "parse-names" : false, "suffix" : "" }, { "dropping-particle" : "", "family" : "Vatsa", "given" : "A.", "non-dropping-particle" : "", "parse-names" : false, "suffix" : "" }, { "dropping-particle" : "", "family" : "Weinbaum", "given" : "S.", "non-dropping-particle" : "", "parse-names" : false, "suffix" : "" }, { "dropping-particle" : "", "family" : "Kozhemyakina", "given" : "E.", "non-dropping-particle" : "", "parse-names" : false, "suffix" : "" }, { "dropping-particle" : "", "family" : "Lassar", "given" : "A. B.", "non-dropping-particle" : "", "parse-names" : false, "suffix" : "" }, { "dropping-particle" : "", "family" : "Zelzer", "given" : "E.", "non-dropping-particle" : "", "parse-names" : false, "suffix" : "" }, { "dropping-particle" : "", "family" : "Ohashi", "given" : "N.", "non-dropping-particle" : "", "parse-names" : false, "suffix" : "" }, { "dropping-particle" : "", "family" : "Robling", "given" : "A. G.", "non-dropping-particle" : "", "parse-names" : false, "suffix" : "" }, { "dropping-particle" : "", "family" : "Burr", "given" : "D. B.", "non-dropping-particle" : "", "parse-names" : false, "suffix" : "" }, { "dropping-particle" : "", "family" : "Turner", "given" : "C. H.", "non-dropping-particle" : "", "parse-names" : false, "suffix" : "" }, { "dropping-particle" : "", "family" : "Noguera-Troise", "given" : "I.", "non-dropping-particle" : "", "parse-names" : false, "suffix" : "" }, { "dropping-particle" : "", "family" : "Siekmann", "given" : "A. F.", "non-dropping-particle" : "", "parse-names" : false, "suffix" : "" }, { "dropping-particle" : "", "family" : "Lawson", "given" : "N. D.", "non-dropping-particle" : "", "parse-names" : false, "suffix" : "" }, { "dropping-particle" : "", "family" : "Corada", "given" : "M.", "non-dropping-particle" : "", "parse-names" : false, "suffix" : "" }, { "dropping-particle" : "", "family" : "Morini", "given" : "M. F.", "non-dropping-particle" : "", "parse-names" : false, "suffix" : "" }, { "dropping-particle" : "", "family" : "Dejana", "given" : "E.", "non-dropping-particle" : "", "parse-names" : false, "suffix" : "" }, { "dropping-particle" : "", "family" : "Fish", "given" : "J. E.", "non-dropping-particle" : "", "parse-names" : false, "suffix" : "" }, { "dropping-particle" : "", "family" : "Wythe", "given" : "J. D.", "non-dropping-particle" : "", "parse-names" : false, "suffix" : "" }, { "dropping-particle" : "", "family" : "Obi", "given" : "S.", "non-dropping-particle" : "", "parse-names" : false, "suffix" : "" }, { "dropping-particle" : "", "family" : "Morrow", "given" : "D.", "non-dropping-particle" : "", "parse-names" : false, "suffix" : "" }, { "dropping-particle" : "", "family" : "Cullen", "given" : "J. P.", "non-dropping-particle" : "", "parse-names" : false, "suffix" : "" }, { "dropping-particle" : "", "family" : "Cahill", "given" : "P. A.", "non-dropping-particle" : "", "parse-names" : false, "suffix" : "" }, { "dropping-particle" : "", "family" : "Redmond", "given" : "E. M.", "non-dropping-particle" : "", "parse-names" : false, "suffix" : "" }, { "dropping-particle" : "", "family" : "Jahnsen", "given" : "E. D.", "non-dropping-particle" : "", "parse-names" : false, "suffix" : "" }, { "dropping-particle" : "", "family" : "Watson", "given" : "O.", "non-dropping-particle" : "", "parse-names" : false, "suffix" : "" }, { "dropping-particle" : "", "family" : "Lobov", "given" : "I. B.", "non-dropping-particle" : "", "parse-names" : false, "suffix" : "" }, { "dropping-particle" : "", "family" : "Chang", "given" : "A. C.", "non-dropping-particle" : "", "parse-names" : false, "suffix" : "" }, { "dropping-particle" : "", "family" : "Murphy", "given" : "P. A.", "non-dropping-particle" : "", "parse-names" : false, "suffix" : "" }, { "dropping-particle" : "", "family" : "MacIntyre", "given" : "I.", "non-dropping-particle" : "", "parse-names" : false, "suffix" : "" }, { "dropping-particle" : "", "family" : "Imai", "given" : "S.", "non-dropping-particle" : "", "parse-names" : false, "suffix" : "" }, { "dropping-particle" : "", "family" : "Matsusue", "given" : "Y.", "non-dropping-particle" : "", "parse-names" : false, "suffix" : "" }, { "dropping-particle" : "", "family" : "Hilton", "given" : "M. J.", "non-dropping-particle" : "", "parse-names" : false, "suffix" : "" }, { "dropping-particle" : "", "family" : "Engin", "given" : "F.", "non-dropping-particle" : "", "parse-names" : false, "suffix" : "" }, { "dropping-particle" : "", "family" : "Liu", "given" : "P.", "non-dropping-particle" : "", "parse-names" : false, "suffix" : "" }, { "dropping-particle" : "", "family" : "Marotti", "given" : "G.", "non-dropping-particle" : "", "parse-names" : false, "suffix" : "" }, { "dropping-particle" : "", "family" : "Snippert", "given" : "H. J.", "non-dropping-particle" : "", "parse-names" : false, "suffix" : "" }, { "dropping-particle" : "", "family" : "Wang", "given" : "Y.", "non-dropping-particle" : "", "parse-names" : false, "suffix" : "" }, { "dropping-particle" : "", "family" : "Serrat", "given" : "M. A.", "non-dropping-particle" : "", "parse-names" : false, "suffix" : "" } ], "container-title" : "Nature Communications", "id" : "ITEM-1", "issued" : { "date-parts" : [ [ "2016" ] ] }, "page" : "13601", "publisher" : "Nature Publishing Group", "title" : "Blood flow controls bone vascular function and osteogenesis", "type" : "article-journal", "volume" : "7" }, "uris" : [ "http://www.mendeley.com/documents/?uuid=b77d4c62-0510-426f-9bb5-b0d908c710e3", "http://www.mendeley.com/documents/?uuid=eec346e3-0990-4c33-bcd6-61c8dbb464dc" ] } ], "mendeley" : { "formattedCitation" : "[41]", "plainTextFormattedCitation" : "[41]", "previouslyFormattedCitation" : "[41]" }, "properties" : { "noteIndex" : 0 }, "schema" : "https://github.com/citation-style-language/schema/raw/master/csl-citation.json" }</w:instrText>
      </w:r>
      <w:r w:rsidR="003E1BA8" w:rsidRPr="007721FB">
        <w:rPr>
          <w:rFonts w:ascii="Times New Roman" w:hAnsi="Times New Roman" w:cs="Times New Roman"/>
          <w:sz w:val="24"/>
        </w:rPr>
        <w:fldChar w:fldCharType="separate"/>
      </w:r>
      <w:r w:rsidR="00B31E12" w:rsidRPr="007721FB">
        <w:rPr>
          <w:rFonts w:ascii="Times New Roman" w:hAnsi="Times New Roman" w:cs="Times New Roman"/>
          <w:noProof/>
          <w:sz w:val="24"/>
        </w:rPr>
        <w:t>[41]</w:t>
      </w:r>
      <w:r w:rsidR="003E1BA8" w:rsidRPr="007721FB">
        <w:rPr>
          <w:rFonts w:ascii="Times New Roman" w:hAnsi="Times New Roman" w:cs="Times New Roman"/>
          <w:sz w:val="24"/>
        </w:rPr>
        <w:fldChar w:fldCharType="end"/>
      </w:r>
      <w:r w:rsidR="00C16F0B" w:rsidRPr="007721FB">
        <w:rPr>
          <w:rFonts w:ascii="Times New Roman" w:hAnsi="Times New Roman" w:cs="Times New Roman"/>
          <w:sz w:val="24"/>
        </w:rPr>
        <w:t>.</w:t>
      </w:r>
      <w:r w:rsidR="00415CCF" w:rsidRPr="007721FB">
        <w:rPr>
          <w:rFonts w:ascii="Times New Roman" w:hAnsi="Times New Roman" w:cs="Times New Roman"/>
          <w:sz w:val="24"/>
        </w:rPr>
        <w:t xml:space="preserve"> However, it is worth noting that this set of data pertains to 4-week-old mice tibial vasculature and thus could lead to importance differences in blood flow in more matured animals.</w:t>
      </w:r>
    </w:p>
    <w:p w14:paraId="2F6FC018" w14:textId="77777777" w:rsidR="00076ABB" w:rsidRPr="007721FB" w:rsidRDefault="00076ABB" w:rsidP="00D64ED9">
      <w:pPr>
        <w:spacing w:after="0" w:line="240" w:lineRule="auto"/>
        <w:jc w:val="both"/>
        <w:rPr>
          <w:rFonts w:ascii="Times New Roman" w:hAnsi="Times New Roman" w:cs="Times New Roman"/>
          <w:sz w:val="24"/>
        </w:rPr>
      </w:pPr>
    </w:p>
    <w:p w14:paraId="5C276FB7" w14:textId="03EC81C2" w:rsidR="00666D15" w:rsidRPr="007721FB" w:rsidRDefault="00D039D2" w:rsidP="00D867DF">
      <w:pPr>
        <w:spacing w:after="0" w:line="240" w:lineRule="auto"/>
        <w:jc w:val="center"/>
        <w:rPr>
          <w:rFonts w:ascii="Times New Roman" w:hAnsi="Times New Roman" w:cs="Times New Roman"/>
          <w:sz w:val="24"/>
        </w:rPr>
      </w:pPr>
      <w:r w:rsidRPr="007721FB">
        <w:rPr>
          <w:noProof/>
        </w:rPr>
        <w:drawing>
          <wp:inline distT="0" distB="0" distL="0" distR="0" wp14:anchorId="233A965E" wp14:editId="01F16A74">
            <wp:extent cx="4770408" cy="4335233"/>
            <wp:effectExtent l="0" t="0" r="0" b="825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89"/>
                    <a:stretch/>
                  </pic:blipFill>
                  <pic:spPr bwMode="auto">
                    <a:xfrm>
                      <a:off x="0" y="0"/>
                      <a:ext cx="4792013" cy="4354867"/>
                    </a:xfrm>
                    <a:prstGeom prst="rect">
                      <a:avLst/>
                    </a:prstGeom>
                    <a:ln>
                      <a:noFill/>
                    </a:ln>
                    <a:extLst>
                      <a:ext uri="{53640926-AAD7-44D8-BBD7-CCE9431645EC}">
                        <a14:shadowObscured xmlns:a14="http://schemas.microsoft.com/office/drawing/2010/main"/>
                      </a:ext>
                    </a:extLst>
                  </pic:spPr>
                </pic:pic>
              </a:graphicData>
            </a:graphic>
          </wp:inline>
        </w:drawing>
      </w:r>
    </w:p>
    <w:p w14:paraId="3B0782D1" w14:textId="1CFC664A" w:rsidR="00666D15" w:rsidRPr="007721FB" w:rsidRDefault="00914AA4" w:rsidP="00D64ED9">
      <w:pPr>
        <w:spacing w:after="0" w:line="240" w:lineRule="auto"/>
        <w:jc w:val="both"/>
        <w:rPr>
          <w:rFonts w:ascii="Times New Roman" w:hAnsi="Times New Roman" w:cs="Times New Roman"/>
          <w:b/>
        </w:rPr>
      </w:pPr>
      <w:r w:rsidRPr="007721FB">
        <w:rPr>
          <w:rFonts w:ascii="Times New Roman" w:hAnsi="Times New Roman" w:cs="Times New Roman"/>
          <w:b/>
        </w:rPr>
        <w:t xml:space="preserve">Figure 2. </w:t>
      </w:r>
      <w:r w:rsidR="00364DC2" w:rsidRPr="007721FB">
        <w:rPr>
          <w:rFonts w:ascii="Times New Roman" w:hAnsi="Times New Roman" w:cs="Times New Roman"/>
        </w:rPr>
        <w:t xml:space="preserve">Fluorescence microscopy </w:t>
      </w:r>
      <w:r w:rsidR="00406849" w:rsidRPr="007721FB">
        <w:rPr>
          <w:rFonts w:ascii="Times New Roman" w:hAnsi="Times New Roman" w:cs="Times New Roman"/>
        </w:rPr>
        <w:t>imaging</w:t>
      </w:r>
      <w:r w:rsidR="00364DC2" w:rsidRPr="007721FB">
        <w:rPr>
          <w:rFonts w:ascii="Times New Roman" w:hAnsi="Times New Roman" w:cs="Times New Roman"/>
        </w:rPr>
        <w:t xml:space="preserve"> of </w:t>
      </w:r>
      <w:r w:rsidR="00624B5E" w:rsidRPr="007721FB">
        <w:rPr>
          <w:rFonts w:ascii="Times New Roman" w:hAnsi="Times New Roman" w:cs="Times New Roman"/>
        </w:rPr>
        <w:t xml:space="preserve">4-week-old </w:t>
      </w:r>
      <w:r w:rsidR="00364DC2" w:rsidRPr="007721FB">
        <w:rPr>
          <w:rFonts w:ascii="Times New Roman" w:hAnsi="Times New Roman" w:cs="Times New Roman"/>
        </w:rPr>
        <w:t>tibial</w:t>
      </w:r>
      <w:r w:rsidR="0039301F" w:rsidRPr="007721FB">
        <w:rPr>
          <w:rFonts w:ascii="Times New Roman" w:hAnsi="Times New Roman" w:cs="Times New Roman"/>
        </w:rPr>
        <w:t xml:space="preserve"> C57BL/6J mice</w:t>
      </w:r>
      <w:r w:rsidR="00364DC2" w:rsidRPr="007721FB">
        <w:rPr>
          <w:rFonts w:ascii="Times New Roman" w:hAnsi="Times New Roman" w:cs="Times New Roman"/>
        </w:rPr>
        <w:t xml:space="preserve"> vasculature. </w:t>
      </w:r>
      <w:r w:rsidR="008821BB" w:rsidRPr="007721FB">
        <w:rPr>
          <w:rFonts w:ascii="Times New Roman" w:hAnsi="Times New Roman" w:cs="Times New Roman"/>
        </w:rPr>
        <w:t>(A</w:t>
      </w:r>
      <w:r w:rsidR="00364DC2" w:rsidRPr="007721FB">
        <w:rPr>
          <w:rFonts w:ascii="Times New Roman" w:hAnsi="Times New Roman" w:cs="Times New Roman"/>
        </w:rPr>
        <w:t>) Im</w:t>
      </w:r>
      <w:r w:rsidR="009E1898" w:rsidRPr="007721FB">
        <w:rPr>
          <w:rFonts w:ascii="Times New Roman" w:hAnsi="Times New Roman" w:cs="Times New Roman"/>
        </w:rPr>
        <w:t>m</w:t>
      </w:r>
      <w:r w:rsidR="00364DC2" w:rsidRPr="007721FB">
        <w:rPr>
          <w:rFonts w:ascii="Times New Roman" w:hAnsi="Times New Roman" w:cs="Times New Roman"/>
        </w:rPr>
        <w:t xml:space="preserve">unostaining of smooth muscle actin containing arteries (α-SMA positive cells, green channel), Endomucin (Emcn, red channel) and cell </w:t>
      </w:r>
      <w:r w:rsidR="000628B8" w:rsidRPr="007721FB">
        <w:rPr>
          <w:rFonts w:ascii="Times New Roman" w:hAnsi="Times New Roman" w:cs="Times New Roman"/>
        </w:rPr>
        <w:t>nuclei</w:t>
      </w:r>
      <w:r w:rsidR="00364DC2" w:rsidRPr="007721FB">
        <w:rPr>
          <w:rFonts w:ascii="Times New Roman" w:hAnsi="Times New Roman" w:cs="Times New Roman"/>
        </w:rPr>
        <w:t xml:space="preserve"> (DAPI, b</w:t>
      </w:r>
      <w:r w:rsidR="004309AC" w:rsidRPr="007721FB">
        <w:rPr>
          <w:rFonts w:ascii="Times New Roman" w:hAnsi="Times New Roman" w:cs="Times New Roman"/>
        </w:rPr>
        <w:t>l</w:t>
      </w:r>
      <w:r w:rsidR="00364DC2" w:rsidRPr="007721FB">
        <w:rPr>
          <w:rFonts w:ascii="Times New Roman" w:hAnsi="Times New Roman" w:cs="Times New Roman"/>
        </w:rPr>
        <w:t>ue channel). mp</w:t>
      </w:r>
      <w:r w:rsidR="004309AC" w:rsidRPr="007721FB">
        <w:rPr>
          <w:rFonts w:ascii="Times New Roman" w:hAnsi="Times New Roman" w:cs="Times New Roman"/>
        </w:rPr>
        <w:t>-</w:t>
      </w:r>
      <w:r w:rsidR="00B02D2F" w:rsidRPr="007721FB">
        <w:rPr>
          <w:rFonts w:ascii="Times New Roman" w:hAnsi="Times New Roman" w:cs="Times New Roman"/>
        </w:rPr>
        <w:t xml:space="preserve"> </w:t>
      </w:r>
      <w:r w:rsidR="00364DC2" w:rsidRPr="007721FB">
        <w:rPr>
          <w:rFonts w:ascii="Times New Roman" w:hAnsi="Times New Roman" w:cs="Times New Roman"/>
        </w:rPr>
        <w:t xml:space="preserve">represents </w:t>
      </w:r>
      <w:r w:rsidR="00364DC2" w:rsidRPr="007721FB">
        <w:rPr>
          <w:rFonts w:ascii="Times New Roman" w:hAnsi="Times New Roman" w:cs="Times New Roman"/>
        </w:rPr>
        <w:lastRenderedPageBreak/>
        <w:t>metaphyseal plate; gp- represents growth plate. White arrows indicate α-SMA cells connection to metaphyseal H-type vessels</w:t>
      </w:r>
      <w:r w:rsidRPr="007721FB">
        <w:rPr>
          <w:rFonts w:ascii="Times New Roman" w:hAnsi="Times New Roman" w:cs="Times New Roman"/>
        </w:rPr>
        <w:t>.</w:t>
      </w:r>
      <w:r w:rsidR="00364DC2" w:rsidRPr="007721FB">
        <w:rPr>
          <w:rFonts w:ascii="Times New Roman" w:hAnsi="Times New Roman" w:cs="Times New Roman"/>
        </w:rPr>
        <w:t xml:space="preserve"> </w:t>
      </w:r>
      <w:r w:rsidR="008821BB" w:rsidRPr="007721FB">
        <w:rPr>
          <w:rFonts w:ascii="Times New Roman" w:hAnsi="Times New Roman" w:cs="Times New Roman"/>
        </w:rPr>
        <w:t>(B, C</w:t>
      </w:r>
      <w:r w:rsidR="004309AC" w:rsidRPr="007721FB">
        <w:rPr>
          <w:rFonts w:ascii="Times New Roman" w:hAnsi="Times New Roman" w:cs="Times New Roman"/>
        </w:rPr>
        <w:t>) Confocal images proximal to the growth plate (b, top panel) or to diaphysis (c, top)</w:t>
      </w:r>
      <w:r w:rsidR="0039301F" w:rsidRPr="007721FB">
        <w:rPr>
          <w:rFonts w:ascii="Times New Roman" w:hAnsi="Times New Roman" w:cs="Times New Roman"/>
        </w:rPr>
        <w:t xml:space="preserve">. </w:t>
      </w:r>
      <w:r w:rsidR="00526E53" w:rsidRPr="007721FB">
        <w:rPr>
          <w:rFonts w:ascii="Times New Roman" w:hAnsi="Times New Roman" w:cs="Times New Roman"/>
        </w:rPr>
        <w:t>CD31+ and Emcn-</w:t>
      </w:r>
      <w:r w:rsidR="000038F6" w:rsidRPr="007721FB">
        <w:rPr>
          <w:rFonts w:ascii="Times New Roman" w:hAnsi="Times New Roman" w:cs="Times New Roman"/>
        </w:rPr>
        <w:t>arteries terminate in type H vessel</w:t>
      </w:r>
      <w:r w:rsidR="00526E53" w:rsidRPr="007721FB">
        <w:rPr>
          <w:rFonts w:ascii="Times New Roman" w:hAnsi="Times New Roman" w:cs="Times New Roman"/>
        </w:rPr>
        <w:t>s in metaphysis (CD31+ and Emcn</w:t>
      </w:r>
      <w:r w:rsidR="000038F6" w:rsidRPr="007721FB">
        <w:rPr>
          <w:rFonts w:ascii="Times New Roman" w:hAnsi="Times New Roman" w:cs="Times New Roman"/>
        </w:rPr>
        <w:t>+) and endosteum (es)</w:t>
      </w:r>
      <w:r w:rsidR="007C266F" w:rsidRPr="007721FB">
        <w:rPr>
          <w:rFonts w:ascii="Times New Roman" w:hAnsi="Times New Roman" w:cs="Times New Roman"/>
        </w:rPr>
        <w:t>. No interaction with L-type vessels in diaphysis was observed. Blue arrows indicate blood flow from metaphyseal vesse</w:t>
      </w:r>
      <w:r w:rsidR="008821BB" w:rsidRPr="007721FB">
        <w:rPr>
          <w:rFonts w:ascii="Times New Roman" w:hAnsi="Times New Roman" w:cs="Times New Roman"/>
        </w:rPr>
        <w:t>l columns (B</w:t>
      </w:r>
      <w:r w:rsidR="007C266F" w:rsidRPr="007721FB">
        <w:rPr>
          <w:rFonts w:ascii="Times New Roman" w:hAnsi="Times New Roman" w:cs="Times New Roman"/>
        </w:rPr>
        <w:t xml:space="preserve">) and </w:t>
      </w:r>
      <w:r w:rsidR="0039301F" w:rsidRPr="007721FB">
        <w:rPr>
          <w:rFonts w:ascii="Times New Roman" w:hAnsi="Times New Roman" w:cs="Times New Roman"/>
        </w:rPr>
        <w:t>endosteum</w:t>
      </w:r>
      <w:r w:rsidR="008821BB" w:rsidRPr="007721FB">
        <w:rPr>
          <w:rFonts w:ascii="Times New Roman" w:hAnsi="Times New Roman" w:cs="Times New Roman"/>
        </w:rPr>
        <w:t xml:space="preserve"> (C</w:t>
      </w:r>
      <w:r w:rsidR="007C266F" w:rsidRPr="007721FB">
        <w:rPr>
          <w:rFonts w:ascii="Times New Roman" w:hAnsi="Times New Roman" w:cs="Times New Roman"/>
        </w:rPr>
        <w:t xml:space="preserve">), respectively. </w:t>
      </w:r>
      <w:r w:rsidR="008821BB" w:rsidRPr="007721FB">
        <w:rPr>
          <w:rFonts w:ascii="Times New Roman" w:hAnsi="Times New Roman" w:cs="Times New Roman"/>
        </w:rPr>
        <w:t>(D</w:t>
      </w:r>
      <w:r w:rsidR="00C47B36" w:rsidRPr="007721FB">
        <w:rPr>
          <w:rFonts w:ascii="Times New Roman" w:hAnsi="Times New Roman" w:cs="Times New Roman"/>
        </w:rPr>
        <w:t xml:space="preserve">) </w:t>
      </w:r>
      <w:r w:rsidR="0039301F" w:rsidRPr="007721FB">
        <w:rPr>
          <w:rFonts w:ascii="Times New Roman" w:hAnsi="Times New Roman" w:cs="Times New Roman"/>
        </w:rPr>
        <w:t>Transversal tibial sections where sinusoidal L-type vessels (arrowheads) connect to the large central vein (v). Dashed lines represent compact bone. From these images</w:t>
      </w:r>
      <w:r w:rsidR="00B02D2F" w:rsidRPr="007721FB">
        <w:rPr>
          <w:rFonts w:ascii="Times New Roman" w:hAnsi="Times New Roman" w:cs="Times New Roman"/>
        </w:rPr>
        <w:t>,</w:t>
      </w:r>
      <w:r w:rsidR="0039301F" w:rsidRPr="007721FB">
        <w:rPr>
          <w:rFonts w:ascii="Times New Roman" w:hAnsi="Times New Roman" w:cs="Times New Roman"/>
        </w:rPr>
        <w:t xml:space="preserve"> it is clear that CD31+ Emnc-arteries </w:t>
      </w:r>
      <w:r w:rsidR="008821BB" w:rsidRPr="007721FB">
        <w:rPr>
          <w:rFonts w:ascii="Times New Roman" w:hAnsi="Times New Roman" w:cs="Times New Roman"/>
        </w:rPr>
        <w:t xml:space="preserve">containing multiple smooth muscle cells cross the diaphysis. (E) Schematics of arterial (green arrows), </w:t>
      </w:r>
      <w:r w:rsidR="00526E53" w:rsidRPr="007721FB">
        <w:rPr>
          <w:rFonts w:ascii="Times New Roman" w:hAnsi="Times New Roman" w:cs="Times New Roman"/>
        </w:rPr>
        <w:t xml:space="preserve">H-type (red arrows) and sinusoidal/venous blood flow (blue arrows) of murin long bones. (F) Erythrocytes velocity data demonstrating the differences between type H and type L vessels. </w:t>
      </w:r>
      <w:r w:rsidRPr="007721FB">
        <w:rPr>
          <w:rFonts w:ascii="Times New Roman" w:hAnsi="Times New Roman" w:cs="Times New Roman"/>
        </w:rPr>
        <w:t xml:space="preserve">Adapted from </w:t>
      </w:r>
      <w:r w:rsidR="00364DC2" w:rsidRPr="007721FB">
        <w:rPr>
          <w:rFonts w:ascii="Times New Roman" w:hAnsi="Times New Roman" w:cs="Times New Roman"/>
        </w:rPr>
        <w:fldChar w:fldCharType="begin" w:fldLock="1"/>
      </w:r>
      <w:r w:rsidR="00B31E12" w:rsidRPr="007721FB">
        <w:rPr>
          <w:rFonts w:ascii="Times New Roman" w:hAnsi="Times New Roman" w:cs="Times New Roman"/>
        </w:rPr>
        <w:instrText>ADDIN CSL_CITATION { "citationItems" : [ { "id" : "ITEM-1", "itemData" : { "DOI" : "10.1038/ncomms13601", "ISSN" : "2041-1723", "author" : [ { "dropping-particle" : "", "family" : "Ramasamy", "given" : "Saravana K.", "non-dropping-particle" : "", "parse-names" : false, "suffix" : "" }, { "dropping-particle" : "", "family" : "Kusumbe", "given" : "Anjali P.", "non-dropping-particle" : "", "parse-names" : false, "suffix" : "" }, { "dropping-particle" : "", "family" : "Schiller", "given" : "Maria", "non-dropping-particle" : "", "parse-names" : false, "suffix" : "" }, { "dropping-particle" : "", "family" : "Zeuschner", "given" : "Dagmar", "non-dropping-particle" : "", "parse-names" : false, "suffix" : "" }, { "dropping-particle" : "", "family" : "Bixel", "given" : "M. Gabriele", "non-dropping-particle" : "", "parse-names" : false, "suffix" : "" }, { "dropping-particle" : "", "family" : "Milia", "given" : "Carlo", "non-dropping-particle" : "", "parse-names" : false, "suffix" : "" }, { "dropping-particle" : "", "family" : "Gamrekelashvili", "given" : "Jaba", "non-dropping-particle" : "", "parse-names" : false, "suffix" : "" }, { "dropping-particle" : "", "family" : "Limbourg", "given" : "Anne", "non-dropping-particle" : "", "parse-names" : false, "suffix" : "" }, { "dropping-particle" : "", "family" : "Medvinsky", "given" : "Alexander", "non-dropping-particle" : "", "parse-names" : false, "suffix" : "" }, { "dropping-particle" : "", "family" : "Santoro", "given" : "Massimo M.", "non-dropping-particle" : "", "parse-names" : false, "suffix" : "" }, { "dropping-particle" : "", "family" : "Limbourg", "given" : "Florian P.", "non-dropping-particle" : "", "parse-names" : false, "suffix" : "" }, { "dropping-particle" : "", "family" : "Adams", "given" : "Ralf H.", "non-dropping-particle" : "", "parse-names" : false, "suffix" : "" }, { "dropping-particle" : "", "family" : "Karsenty", "given" : "G.", "non-dropping-particle" : "", "parse-names" : false, "suffix" : "" }, { "dropping-particle" : "", "family" : "Wagner", "given" : "E. F.", "non-dropping-particle" : "", "parse-names" : false, "suffix" : "" }, { "dropping-particle" : "", "family" : "Kronenberg", "given" : "H. M.", "non-dropping-particle" : "", "parse-names" : false, "suffix" : "" }, { "dropping-particle" : "", "family" : "Wang", "given" : "Y.", "non-dropping-particle" : "", "parse-names" : false, "suffix" : "" }, { "dropping-particle" : "", "family" : "Eshkar-Oren", "given" : "I.", "non-dropping-particle" : "", "parse-names" : false, "suffix" : "" }, { "dropping-particle" : "", "family" : "Gerber", "given" : "H. P.", "non-dropping-particle" : "", "parse-names" : false, "suffix" : "" }, { "dropping-particle" : "", "family" : "Maes", "given" : "C.", "non-dropping-particle" : "", "parse-names" : false, "suffix" : "" }, { "dropping-particle" : "", "family" : "Maes", "given" : "C.", "non-dropping-particle" : "", "parse-names" : false, "suffix" : "" }, { "dropping-particle" : "", "family" : "Kusumbe", "given" : "A. P.", "non-dropping-particle" : "", "parse-names" : false, "suffix" : "" }, { "dropping-particle" : "", "family" : "Ramasamy", "given" : "S. K.", "non-dropping-particle" : "", "parse-names" : false, "suffix" : "" }, { "dropping-particle" : "", "family" : "Adams", "given" : "R. H.", "non-dropping-particle" : "", "parse-names" : false, "suffix" : "" }, { "dropping-particle" : "", "family" : "Ramasamy", "given" : "S. K.", "non-dropping-particle" : "", "parse-names" : false, "suffix" : "" }, { "dropping-particle" : "", "family" : "Kusumbe", "given" : "A. P.", "non-dropping-particle" : "", "parse-names" : false, "suffix" : "" }, { "dropping-particle" : "", "family" : "Wang", "given" : "L.", "non-dropping-particle" : "", "parse-names" : false, "suffix" : "" }, { "dropping-particle" : "", "family" : "Adams", "given" : "R. H.", "non-dropping-particle" : "", "parse-names" : false, "suffix" : "" }, { "dropping-particle" : "", "family" : "Xie", "given" : "H", "non-dropping-particle" : "", "parse-names" : false, "suffix" : "" }, { "dropping-particle" : "", "family" : "Adams", "given" : "R. H.", "non-dropping-particle" : "", "parse-names" : false, "suffix" : "" }, { "dropping-particle" : "", "family" : "Alitalo", "given" : "K.", "non-dropping-particle" : "", "parse-names" : false, "suffix" : "" }, { "dropping-particle" : "", "family" : "Potente", "given" : "M.", "non-dropping-particle" : "", "parse-names" : false, "suffix" : "" }, { "dropping-particle" : "", "family" : "Gerhardt", "given" : "H.", "non-dropping-particle" : "", "parse-names" : false, "suffix" : "" }, { "dropping-particle" : "", "family" : "Carmeliet", "given" : "P.", "non-dropping-particle" : "", "parse-names" : false, "suffix" : "" }, { "dropping-particle" : "", "family" : "Hellstrom", "given" : "M.", "non-dropping-particle" : "", "parse-names" : false, "suffix" : "" }, { "dropping-particle" : "", "family" : "Lobov", "given" : "I. B.", "non-dropping-particle" : "", "parse-names" : false, "suffix" : "" }, { "dropping-particle" : "", "family" : "Ridgway", "given" : "J.", "non-dropping-particle" : "", "parse-names" : false, "suffix" : "" }, { "dropping-particle" : "", "family" : "Suchting", "given" : "S.", "non-dropping-particle" : "", "parse-names" : false, "suffix" : "" }, { "dropping-particle" : "", "family" : "Nicoli", "given" : "S.", "non-dropping-particle" : "", "parse-names" : false, "suffix" : "" }, { "dropping-particle" : "", "family" : "Yashiro", "given" : "K.", "non-dropping-particle" : "", "parse-names" : false, "suffix" : "" }, { "dropping-particle" : "", "family" : "Shiratori", "given" : "H.", "non-dropping-particle" : "", "parse-names" : false, "suffix" : "" }, { "dropping-particle" : "", "family" : "Hamada", "given" : "H.", "non-dropping-particle" : "", "parse-names" : false, "suffix" : "" }, { "dropping-particle" : "", "family" : "Gimbrone", "given" : "M. A.", "non-dropping-particle" : "", "parse-names" : false, "suffix" : "" }, { "dropping-particle" : "", "family" : "Topper", "given" : "J. N.", "non-dropping-particle" : "", "parse-names" : false, "suffix" : "" }, { "dropping-particle" : "", "family" : "Nagel", "given" : "T.", "non-dropping-particle" : "", "parse-names" : false, "suffix" : "" }, { "dropping-particle" : "", "family" : "Anderson", "given" : "K. R.", "non-dropping-particle" : "", "parse-names" : false, "suffix" : "" }, { "dropping-particle" : "", "family" : "Garcia-Cardena", "given" : "G.", "non-dropping-particle" : "", "parse-names" : false, "suffix" : "" }, { "dropping-particle" : "", "family" : "Whitehead", "given" : "K. J.", "non-dropping-particle" : "", "parse-names" : false, "suffix" : "" }, { "dropping-particle" : "", "family" : "Smith", "given" : "M. C.", "non-dropping-particle" : "", "parse-names" : false, "suffix" : "" }, { "dropping-particle" : "", "family" : "Li", "given" : "D. Y.", "non-dropping-particle" : "", "parse-names" : false, "suffix" : "" }, { "dropping-particle" : "", "family" : "McCarthy", "given" : "I.", "non-dropping-particle" : "", "parse-names" : false, "suffix" : "" }, { "dropping-particle" : "", "family" : "Vogt", "given" : "M. T.", "non-dropping-particle" : "", "parse-names" : false, "suffix" : "" }, { "dropping-particle" : "", "family" : "Cauley", "given" : "J. A.", "non-dropping-particle" : "", "parse-names" : false, "suffix" : "" }, { "dropping-particle" : "", "family" : "Kuller", "given" : "L. H.", "non-dropping-particle" : "", "parse-names" : false, "suffix" : "" }, { "dropping-particle" : "", "family" : "Nevitt", "given" : "M. C.", "non-dropping-particle" : "", "parse-names" : false, "suffix" : "" }, { "dropping-particle" : "", "family" : "Hanley", "given" : "D. A.", "non-dropping-particle" : "", "parse-names" : false, "suffix" : "" }, { "dropping-particle" : "", "family" : "Atsumi", "given" : "T.", "non-dropping-particle" : "", "parse-names" : false, "suffix" : "" }, { "dropping-particle" : "", "family" : "Kuroki", "given" : "Y.", "non-dropping-particle" : "", "parse-names" : false, "suffix" : "" }, { "dropping-particle" : "", "family" : "Trueta", "given" : "J.", "non-dropping-particle" : "", "parse-names" : false, "suffix" : "" }, { "dropping-particle" : "", "family" : "Wan", "given" : "C.", "non-dropping-particle" : "", "parse-names" : false, "suffix" : "" }, { "dropping-particle" : "", "family" : "Tomlinson", "given" : "R. E.", "non-dropping-particle" : "", "parse-names" : false, "suffix" : "" }, { "dropping-particle" : "", "family" : "Silva", "given" : "M. J.", "non-dropping-particle" : "", "parse-names" : false, "suffix" : "" }, { "dropping-particle" : "", "family" : "Limbourg", "given" : "A", "non-dropping-particle" : "", "parse-names" : false, "suffix" : "" }, { "dropping-particle" : "", "family" : "Seifert", "given" : "F. C.", "non-dropping-particle" : "", "parse-names" : false, "suffix" : "" }, { "dropping-particle" : "", "family" : "Banker", "given" : "M.", "non-dropping-particle" : "", "parse-names" : false, "suffix" : "" }, { "dropping-particle" : "", "family" : "Lane", "given" : "B.", "non-dropping-particle" : "", "parse-names" : false, "suffix" : "" }, { "dropping-particle" : "", "family" : "Bagge", "given" : "U.", "non-dropping-particle" : "", "parse-names" : false, "suffix" : "" }, { "dropping-particle" : "", "family" : "Anagnostopoulos", "given" : "C. E.", "non-dropping-particle" : "", "parse-names" : false, "suffix" : "" }, { "dropping-particle" : "", "family" : "Nash", "given" : "D. T.", "non-dropping-particle" : "", "parse-names" : false, "suffix" : "" }, { "dropping-particle" : "", "family" : "Tanaka", "given" : "K.", "non-dropping-particle" : "", "parse-names" : false, "suffix" : "" }, { "dropping-particle" : "", "family" : "Carmeliet", "given" : "P.", "non-dropping-particle" : "", "parse-names" : false, "suffix" : "" }, { "dropping-particle" : "De", "family" : "Smet", "given" : "F.", "non-dropping-particle" : "", "parse-names" : false, "suffix" : "" }, { "dropping-particle" : "", "family" : "Loges", "given" : "S.", "non-dropping-particle" : "", "parse-names" : false, "suffix" : "" }, { "dropping-particle" : "", "family" : "Mazzone", "given" : "M.", "non-dropping-particle" : "", "parse-names" : false, "suffix" : "" }, { "dropping-particle" : "", "family" : "Phng", "given" : "L. K.", "non-dropping-particle" : "", "parse-names" : false, "suffix" : "" }, { "dropping-particle" : "", "family" : "Gerhardt", "given" : "H.", "non-dropping-particle" : "", "parse-names" : false, "suffix" : "" }, { "dropping-particle" : "", "family" : "Conway", "given" : "D. E.", "non-dropping-particle" : "", "parse-names" : false, "suffix" : "" }, { "dropping-particle" : "", "family" : "Tzima", "given" : "E.", "non-dropping-particle" : "", "parse-names" : false, "suffix" : "" }, { "dropping-particle" : "", "family" : "Duncan", "given" : "G. S.", "non-dropping-particle" : "", "parse-names" : false, "suffix" : "" }, { "dropping-particle" : "", "family" : "Benedito", "given" : "R.", "non-dropping-particle" : "", "parse-names" : false, "suffix" : "" }, { "dropping-particle" : "", "family" : "Han", "given" : "H.", "non-dropping-particle" : "", "parse-names" : false, "suffix" : "" }, { "dropping-particle" : "", "family" : "Tanigaki", "given" : "K.", "non-dropping-particle" : "", "parse-names" : false, "suffix" : "" }, { "dropping-particle" : "", "family" : "Honjo", "given" : "T.", "non-dropping-particle" : "", "parse-names" : false, "suffix" : "" }, { "dropping-particle" : "", "family" : "Kusumbe", "given" : "A. P.", "non-dropping-particle" : "", "parse-names" : false, "suffix" : "" }, { "dropping-particle" : "", "family" : "Prisby", "given" : "R. D.", "non-dropping-particle" : "", "parse-names" : false, "suffix" : "" }, { "dropping-particle" : "", "family" : "Murtaugh", "given" : "L. C.", "non-dropping-particle" : "", "parse-names" : false, "suffix" : "" }, { "dropping-particle" : "", "family" : "Stanger", "given" : "B. Z.", "non-dropping-particle" : "", "parse-names" : false, "suffix" : "" }, { "dropping-particle" : "", "family" : "Kwan", "given" : "K. M.", "non-dropping-particle" : "", "parse-names" : false, "suffix" : "" }, { "dropping-particle" : "", "family" : "Melton", "given" : "D. A.", "non-dropping-particle" : "", "parse-names" : false, "suffix" : "" }, { "dropping-particle" : "", "family" : "Hoeck", "given" : "J. D.", "non-dropping-particle" : "", "parse-names" : false, "suffix" : "" }, { "dropping-particle" : "", "family" : "Drake", "given" : "M. T.", "non-dropping-particle" : "", "parse-names" : false, "suffix" : "" }, { "dropping-particle" : "", "family" : "Clarke", "given" : "B. L.", "non-dropping-particle" : "", "parse-names" : false, "suffix" : "" }, { "dropping-particle" : "", "family" : "Khosla", "given" : "S.", "non-dropping-particle" : "", "parse-names" : false, "suffix" : "" }, { "dropping-particle" : "", "family" : "Plotkin", "given" : "L. I.", "non-dropping-particle" : "", "parse-names" : false, "suffix" : "" }, { "dropping-particle" : "", "family" : "Acar", "given" : "M.", "non-dropping-particle" : "", "parse-names" : false, "suffix" : "" }, { "dropping-particle" : "", "family" : "Boulais", "given" : "P. E.", "non-dropping-particle" : "", "parse-names" : false, "suffix" : "" }, { "dropping-particle" : "", "family" : "Frenette", "given" : "P. S.", "non-dropping-particle" : "", "parse-names" : false, "suffix" : "" }, { "dropping-particle" : "", "family" : "Kunisaki", "given" : "Y.", "non-dropping-particle" : "", "parse-names" : false, "suffix" : "" }, { "dropping-particle" : "", "family" : "Morrison", "given" : "S. J.", "non-dropping-particle" : "", "parse-names" : false, "suffix" : "" }, { "dropping-particle" : "", "family" : "Scadden", "given" : "D. T.", "non-dropping-particle" : "", "parse-names" : false, "suffix" : "" }, { "dropping-particle" : "", "family" : "Maes", "given" : "C.", "non-dropping-particle" : "", "parse-names" : false, "suffix" : "" }, { "dropping-particle" : "", "family" : "Stegen", "given" : "S.", "non-dropping-particle" : "", "parse-names" : false, "suffix" : "" }, { "dropping-particle" : "van", "family" : "Gastel", "given" : "N.", "non-dropping-particle" : "", "parse-names" : false, "suffix" : "" }, { "dropping-particle" : "", "family" : "Carmeliet", "given" : "G.", "non-dropping-particle" : "", "parse-names" : false, "suffix" : "" }, { "dropping-particle" : "", "family" : "Berendsen", "given" : "A. D.", "non-dropping-particle" : "", "parse-names" : false, "suffix" : "" }, { "dropping-particle" : "", "family" : "Olsen", "given" : "B. R.", "non-dropping-particle" : "", "parse-names" : false, "suffix" : "" }, { "dropping-particle" : "", "family" : "Klein-Nulend", "given" : "J.", "non-dropping-particle" : "", "parse-names" : false, "suffix" : "" }, { "dropping-particle" : "", "family" : "Bakker", "given" : "A. D.", "non-dropping-particle" : "", "parse-names" : false, "suffix" : "" }, { "dropping-particle" : "", "family" : "Bacabac", "given" : "R. G.", "non-dropping-particle" : "", "parse-names" : false, "suffix" : "" }, { "dropping-particle" : "", "family" : "Vatsa", "given" : "A.", "non-dropping-particle" : "", "parse-names" : false, "suffix" : "" }, { "dropping-particle" : "", "family" : "Weinbaum", "given" : "S.", "non-dropping-particle" : "", "parse-names" : false, "suffix" : "" }, { "dropping-particle" : "", "family" : "Kozhemyakina", "given" : "E.", "non-dropping-particle" : "", "parse-names" : false, "suffix" : "" }, { "dropping-particle" : "", "family" : "Lassar", "given" : "A. B.", "non-dropping-particle" : "", "parse-names" : false, "suffix" : "" }, { "dropping-particle" : "", "family" : "Zelzer", "given" : "E.", "non-dropping-particle" : "", "parse-names" : false, "suffix" : "" }, { "dropping-particle" : "", "family" : "Ohashi", "given" : "N.", "non-dropping-particle" : "", "parse-names" : false, "suffix" : "" }, { "dropping-particle" : "", "family" : "Robling", "given" : "A. G.", "non-dropping-particle" : "", "parse-names" : false, "suffix" : "" }, { "dropping-particle" : "", "family" : "Burr", "given" : "D. B.", "non-dropping-particle" : "", "parse-names" : false, "suffix" : "" }, { "dropping-particle" : "", "family" : "Turner", "given" : "C. H.", "non-dropping-particle" : "", "parse-names" : false, "suffix" : "" }, { "dropping-particle" : "", "family" : "Noguera-Troise", "given" : "I.", "non-dropping-particle" : "", "parse-names" : false, "suffix" : "" }, { "dropping-particle" : "", "family" : "Siekmann", "given" : "A. F.", "non-dropping-particle" : "", "parse-names" : false, "suffix" : "" }, { "dropping-particle" : "", "family" : "Lawson", "given" : "N. D.", "non-dropping-particle" : "", "parse-names" : false, "suffix" : "" }, { "dropping-particle" : "", "family" : "Corada", "given" : "M.", "non-dropping-particle" : "", "parse-names" : false, "suffix" : "" }, { "dropping-particle" : "", "family" : "Morini", "given" : "M. F.", "non-dropping-particle" : "", "parse-names" : false, "suffix" : "" }, { "dropping-particle" : "", "family" : "Dejana", "given" : "E.", "non-dropping-particle" : "", "parse-names" : false, "suffix" : "" }, { "dropping-particle" : "", "family" : "Fish", "given" : "J. E.", "non-dropping-particle" : "", "parse-names" : false, "suffix" : "" }, { "dropping-particle" : "", "family" : "Wythe", "given" : "J. D.", "non-dropping-particle" : "", "parse-names" : false, "suffix" : "" }, { "dropping-particle" : "", "family" : "Obi", "given" : "S.", "non-dropping-particle" : "", "parse-names" : false, "suffix" : "" }, { "dropping-particle" : "", "family" : "Morrow", "given" : "D.", "non-dropping-particle" : "", "parse-names" : false, "suffix" : "" }, { "dropping-particle" : "", "family" : "Cullen", "given" : "J. P.", "non-dropping-particle" : "", "parse-names" : false, "suffix" : "" }, { "dropping-particle" : "", "family" : "Cahill", "given" : "P. A.", "non-dropping-particle" : "", "parse-names" : false, "suffix" : "" }, { "dropping-particle" : "", "family" : "Redmond", "given" : "E. M.", "non-dropping-particle" : "", "parse-names" : false, "suffix" : "" }, { "dropping-particle" : "", "family" : "Jahnsen", "given" : "E. D.", "non-dropping-particle" : "", "parse-names" : false, "suffix" : "" }, { "dropping-particle" : "", "family" : "Watson", "given" : "O.", "non-dropping-particle" : "", "parse-names" : false, "suffix" : "" }, { "dropping-particle" : "", "family" : "Lobov", "given" : "I. B.", "non-dropping-particle" : "", "parse-names" : false, "suffix" : "" }, { "dropping-particle" : "", "family" : "Chang", "given" : "A. C.", "non-dropping-particle" : "", "parse-names" : false, "suffix" : "" }, { "dropping-particle" : "", "family" : "Murphy", "given" : "P. A.", "non-dropping-particle" : "", "parse-names" : false, "suffix" : "" }, { "dropping-particle" : "", "family" : "MacIntyre", "given" : "I.", "non-dropping-particle" : "", "parse-names" : false, "suffix" : "" }, { "dropping-particle" : "", "family" : "Imai", "given" : "S.", "non-dropping-particle" : "", "parse-names" : false, "suffix" : "" }, { "dropping-particle" : "", "family" : "Matsusue", "given" : "Y.", "non-dropping-particle" : "", "parse-names" : false, "suffix" : "" }, { "dropping-particle" : "", "family" : "Hilton", "given" : "M. J.", "non-dropping-particle" : "", "parse-names" : false, "suffix" : "" }, { "dropping-particle" : "", "family" : "Engin", "given" : "F.", "non-dropping-particle" : "", "parse-names" : false, "suffix" : "" }, { "dropping-particle" : "", "family" : "Liu", "given" : "P.", "non-dropping-particle" : "", "parse-names" : false, "suffix" : "" }, { "dropping-particle" : "", "family" : "Marotti", "given" : "G.", "non-dropping-particle" : "", "parse-names" : false, "suffix" : "" }, { "dropping-particle" : "", "family" : "Snippert", "given" : "H. J.", "non-dropping-particle" : "", "parse-names" : false, "suffix" : "" }, { "dropping-particle" : "", "family" : "Wang", "given" : "Y.", "non-dropping-particle" : "", "parse-names" : false, "suffix" : "" }, { "dropping-particle" : "", "family" : "Serrat", "given" : "M. A.", "non-dropping-particle" : "", "parse-names" : false, "suffix" : "" } ], "container-title" : "Nature Communications", "id" : "ITEM-1", "issued" : { "date-parts" : [ [ "2016" ] ] }, "page" : "13601", "publisher" : "Nature Publishing Group", "title" : "Blood flow controls bone vascular function and osteogenesis", "type" : "article-journal", "volume" : "7" }, "uris" : [ "http://www.mendeley.com/documents/?uuid=b77d4c62-0510-426f-9bb5-b0d908c710e3" ] } ], "mendeley" : { "formattedCitation" : "[41]", "plainTextFormattedCitation" : "[41]", "previouslyFormattedCitation" : "[41]" }, "properties" : { "noteIndex" : 8 }, "schema" : "https://github.com/citation-style-language/schema/raw/master/csl-citation.json" }</w:instrText>
      </w:r>
      <w:r w:rsidR="00364DC2" w:rsidRPr="007721FB">
        <w:rPr>
          <w:rFonts w:ascii="Times New Roman" w:hAnsi="Times New Roman" w:cs="Times New Roman"/>
        </w:rPr>
        <w:fldChar w:fldCharType="separate"/>
      </w:r>
      <w:r w:rsidR="00B31E12" w:rsidRPr="007721FB">
        <w:rPr>
          <w:rFonts w:ascii="Times New Roman" w:hAnsi="Times New Roman" w:cs="Times New Roman"/>
          <w:noProof/>
        </w:rPr>
        <w:t>[41]</w:t>
      </w:r>
      <w:r w:rsidR="00364DC2" w:rsidRPr="007721FB">
        <w:rPr>
          <w:rFonts w:ascii="Times New Roman" w:hAnsi="Times New Roman" w:cs="Times New Roman"/>
        </w:rPr>
        <w:fldChar w:fldCharType="end"/>
      </w:r>
      <w:r w:rsidRPr="007721FB">
        <w:rPr>
          <w:rFonts w:ascii="Times New Roman" w:hAnsi="Times New Roman" w:cs="Times New Roman"/>
          <w:b/>
        </w:rPr>
        <w:t xml:space="preserve"> </w:t>
      </w:r>
      <w:r w:rsidRPr="007721FB">
        <w:rPr>
          <w:rFonts w:ascii="Times New Roman" w:hAnsi="Times New Roman" w:cs="Times New Roman"/>
        </w:rPr>
        <w:t>under Creative Commons Attribution 4.0 International License.</w:t>
      </w:r>
    </w:p>
    <w:p w14:paraId="2DEA9D64" w14:textId="073392B6" w:rsidR="00666D15" w:rsidRPr="007721FB" w:rsidRDefault="00666D15" w:rsidP="00D64ED9">
      <w:pPr>
        <w:spacing w:after="0" w:line="240" w:lineRule="auto"/>
        <w:jc w:val="both"/>
        <w:rPr>
          <w:rFonts w:ascii="Times New Roman" w:hAnsi="Times New Roman" w:cs="Times New Roman"/>
          <w:sz w:val="24"/>
        </w:rPr>
      </w:pPr>
    </w:p>
    <w:p w14:paraId="41165DB9" w14:textId="748FFE09" w:rsidR="001034A5" w:rsidRPr="007721FB" w:rsidRDefault="00666D15" w:rsidP="00D64ED9">
      <w:pPr>
        <w:spacing w:after="0" w:line="240" w:lineRule="auto"/>
        <w:jc w:val="both"/>
        <w:rPr>
          <w:rFonts w:ascii="Times New Roman" w:hAnsi="Times New Roman" w:cs="Times New Roman"/>
          <w:sz w:val="24"/>
        </w:rPr>
      </w:pPr>
      <w:r w:rsidRPr="007721FB">
        <w:rPr>
          <w:rFonts w:ascii="Times New Roman" w:hAnsi="Times New Roman" w:cs="Times New Roman"/>
          <w:sz w:val="24"/>
        </w:rPr>
        <w:t xml:space="preserve">   Considering </w:t>
      </w:r>
      <w:r w:rsidR="00300C19" w:rsidRPr="007721FB">
        <w:rPr>
          <w:rFonts w:ascii="Times New Roman" w:hAnsi="Times New Roman" w:cs="Times New Roman"/>
          <w:sz w:val="24"/>
        </w:rPr>
        <w:t xml:space="preserve">that osteoporosis and aging </w:t>
      </w:r>
      <w:r w:rsidR="00962F2B" w:rsidRPr="007721FB">
        <w:rPr>
          <w:rFonts w:ascii="Times New Roman" w:hAnsi="Times New Roman" w:cs="Times New Roman"/>
          <w:sz w:val="24"/>
        </w:rPr>
        <w:t>diminish</w:t>
      </w:r>
      <w:r w:rsidR="00401442" w:rsidRPr="007721FB">
        <w:rPr>
          <w:rFonts w:ascii="Times New Roman" w:hAnsi="Times New Roman" w:cs="Times New Roman"/>
          <w:sz w:val="24"/>
        </w:rPr>
        <w:t xml:space="preserve"> bone perfusion</w:t>
      </w:r>
      <w:r w:rsidR="00962F2B" w:rsidRPr="007721FB">
        <w:rPr>
          <w:rFonts w:ascii="Times New Roman" w:hAnsi="Times New Roman" w:cs="Times New Roman"/>
          <w:sz w:val="24"/>
        </w:rPr>
        <w:t>,</w:t>
      </w:r>
      <w:r w:rsidR="00401442" w:rsidRPr="007721FB">
        <w:rPr>
          <w:rFonts w:ascii="Times New Roman" w:hAnsi="Times New Roman" w:cs="Times New Roman"/>
          <w:sz w:val="24"/>
        </w:rPr>
        <w:t xml:space="preserve"> associated with the reduction of type H capillaries</w:t>
      </w:r>
      <w:r w:rsidR="00D039D2" w:rsidRPr="007721FB">
        <w:rPr>
          <w:rFonts w:ascii="Times New Roman" w:hAnsi="Times New Roman" w:cs="Times New Roman"/>
          <w:sz w:val="24"/>
        </w:rPr>
        <w:t>, these a</w:t>
      </w:r>
      <w:r w:rsidR="00681ADB" w:rsidRPr="007721FB">
        <w:rPr>
          <w:rFonts w:ascii="Times New Roman" w:hAnsi="Times New Roman" w:cs="Times New Roman"/>
          <w:sz w:val="24"/>
        </w:rPr>
        <w:t>spects must be taken into cons</w:t>
      </w:r>
      <w:r w:rsidR="00D039D2" w:rsidRPr="007721FB">
        <w:rPr>
          <w:rFonts w:ascii="Times New Roman" w:hAnsi="Times New Roman" w:cs="Times New Roman"/>
          <w:sz w:val="24"/>
        </w:rPr>
        <w:t>ideration during particles pre-clinical design and investigation of optimal dose/treatment regime</w:t>
      </w:r>
      <w:r w:rsidR="00681ADB" w:rsidRPr="007721FB">
        <w:rPr>
          <w:rFonts w:ascii="Times New Roman" w:hAnsi="Times New Roman" w:cs="Times New Roman"/>
          <w:sz w:val="24"/>
        </w:rPr>
        <w:t>.</w:t>
      </w:r>
      <w:r w:rsidR="003E3FE1" w:rsidRPr="007721FB">
        <w:rPr>
          <w:rFonts w:ascii="Times New Roman" w:hAnsi="Times New Roman" w:cs="Times New Roman"/>
          <w:sz w:val="24"/>
        </w:rPr>
        <w:t xml:space="preserve"> </w:t>
      </w:r>
      <w:r w:rsidR="00300C19" w:rsidRPr="007721FB">
        <w:rPr>
          <w:rFonts w:ascii="Times New Roman" w:hAnsi="Times New Roman" w:cs="Times New Roman"/>
          <w:sz w:val="24"/>
        </w:rPr>
        <w:t>A</w:t>
      </w:r>
      <w:r w:rsidR="001034A5" w:rsidRPr="007721FB">
        <w:rPr>
          <w:rFonts w:ascii="Times New Roman" w:hAnsi="Times New Roman" w:cs="Times New Roman"/>
          <w:sz w:val="24"/>
        </w:rPr>
        <w:t xml:space="preserve">ge-induced increase in vascular stiffness and calcification of muscle vessels </w:t>
      </w:r>
      <w:r w:rsidR="00C0152F" w:rsidRPr="007721FB">
        <w:rPr>
          <w:rFonts w:ascii="Times New Roman" w:hAnsi="Times New Roman" w:cs="Times New Roman"/>
          <w:sz w:val="24"/>
        </w:rPr>
        <w:t xml:space="preserve">has also </w:t>
      </w:r>
      <w:r w:rsidR="006E139A" w:rsidRPr="007721FB">
        <w:rPr>
          <w:rFonts w:ascii="Times New Roman" w:hAnsi="Times New Roman" w:cs="Times New Roman"/>
          <w:sz w:val="24"/>
        </w:rPr>
        <w:t xml:space="preserve">shown to </w:t>
      </w:r>
      <w:r w:rsidR="00C0152F" w:rsidRPr="007721FB">
        <w:rPr>
          <w:rFonts w:ascii="Times New Roman" w:hAnsi="Times New Roman" w:cs="Times New Roman"/>
          <w:sz w:val="24"/>
        </w:rPr>
        <w:t>contribute</w:t>
      </w:r>
      <w:r w:rsidR="001034A5" w:rsidRPr="007721FB">
        <w:rPr>
          <w:rFonts w:ascii="Times New Roman" w:hAnsi="Times New Roman" w:cs="Times New Roman"/>
          <w:sz w:val="24"/>
        </w:rPr>
        <w:t xml:space="preserve"> to an impaired vascular function in humans</w:t>
      </w:r>
      <w:r w:rsidR="00764B82" w:rsidRPr="007721FB">
        <w:rPr>
          <w:rFonts w:ascii="Times New Roman" w:hAnsi="Times New Roman" w:cs="Times New Roman"/>
          <w:sz w:val="24"/>
        </w:rPr>
        <w:t xml:space="preserve"> </w:t>
      </w:r>
      <w:r w:rsidR="00764B82" w:rsidRPr="007721FB">
        <w:rPr>
          <w:rFonts w:ascii="Times New Roman" w:hAnsi="Times New Roman" w:cs="Times New Roman"/>
          <w:sz w:val="24"/>
        </w:rPr>
        <w:fldChar w:fldCharType="begin" w:fldLock="1"/>
      </w:r>
      <w:r w:rsidR="00B31E12" w:rsidRPr="007721FB">
        <w:rPr>
          <w:rFonts w:ascii="Times New Roman" w:hAnsi="Times New Roman" w:cs="Times New Roman"/>
          <w:sz w:val="24"/>
        </w:rPr>
        <w:instrText>ADDIN CSL_CITATION { "citationItems" : [ { "id" : "ITEM-1", "itemData" : { "DOI" : "10.4248/BR201303001", "ISSN" : "2095-4700", "abstract" : "The importance of the vascular supply for bone is well-known to orthopaedists but is still rather overlooked within the wider field of skeletal research. Blood supplies oxygen, nutrients and regulatory factors to tissues, as well as removing metabolic waste products such as carbon dioxide and acid. Bone receives up to about 10% of cardiac output, and this blood supply permits a much higher degree of cellularity, remodelling and repair than is possible in cartilage, which is avascular. The blood supply to bone is delivered to the endosteal cavity by nutrient arteries, then flows through marrow sinusoids before exiting via numerous small vessels that ramify through the cortex. The marrow cavity affords a range of vascular niches that are thought to regulate the growth and differentiation of hematopoietic and stromal cells, in part via gradients of oxygen tension. The quality of vascular supply to bone tends to decline with age and may be compromised in common pathological settings, including diabetes, anaemias, chronic airway diseases and immobility, as well as by tumours. Reductions in vascular supply are associated with bone loss. This may be due in part to the direct effects of hypoxia, which blocks osteoblast function and bone formation but causes reciprocal increases in osteoclastogenesis and bone resorption. Common regulatory factors such as parathyroid hormone or nitrates, both of which are potent vasodilators, might exert their osteogenic effects on bone via the vasculature. These observations suggest that the bone vasculature will be a fruitful area for future research. ", "author" : [ { "dropping-particle" : "", "family" : "Marenzana", "given" : "Massimo", "non-dropping-particle" : "", "parse-names" : false, "suffix" : "" }, { "dropping-particle" : "", "family" : "Arnett", "given" : "Timothy R", "non-dropping-particle" : "", "parse-names" : false, "suffix" : "" } ], "container-title" : "Bone Research", "id" : "ITEM-1", "issue" : "3", "issued" : { "date-parts" : [ [ "2013", "9", "25" ] ] }, "page" : "203-215", "publisher" : "Nature Publishing Group", "title" : "The Key Role of the Blood Supply to Bone", "type" : "article-journal", "volume" : "1" }, "uris" : [ "http://www.mendeley.com/documents/?uuid=204eb308-e0c3-45dd-a8e3-3ffcd831f85c" ] } ], "mendeley" : { "formattedCitation" : "[48]", "plainTextFormattedCitation" : "[48]", "previouslyFormattedCitation" : "[48]" }, "properties" : { "noteIndex" : 8 }, "schema" : "https://github.com/citation-style-language/schema/raw/master/csl-citation.json" }</w:instrText>
      </w:r>
      <w:r w:rsidR="00764B82" w:rsidRPr="007721FB">
        <w:rPr>
          <w:rFonts w:ascii="Times New Roman" w:hAnsi="Times New Roman" w:cs="Times New Roman"/>
          <w:sz w:val="24"/>
        </w:rPr>
        <w:fldChar w:fldCharType="separate"/>
      </w:r>
      <w:r w:rsidR="00B31E12" w:rsidRPr="007721FB">
        <w:rPr>
          <w:rFonts w:ascii="Times New Roman" w:hAnsi="Times New Roman" w:cs="Times New Roman"/>
          <w:noProof/>
          <w:sz w:val="24"/>
        </w:rPr>
        <w:t>[48]</w:t>
      </w:r>
      <w:r w:rsidR="00764B82" w:rsidRPr="007721FB">
        <w:rPr>
          <w:rFonts w:ascii="Times New Roman" w:hAnsi="Times New Roman" w:cs="Times New Roman"/>
          <w:sz w:val="24"/>
        </w:rPr>
        <w:fldChar w:fldCharType="end"/>
      </w:r>
      <w:r w:rsidR="001034A5" w:rsidRPr="007721FB">
        <w:rPr>
          <w:rFonts w:ascii="Times New Roman" w:hAnsi="Times New Roman" w:cs="Times New Roman"/>
          <w:sz w:val="24"/>
        </w:rPr>
        <w:t>. Such is corroborated by ultrasound doppler data that indicates a 30</w:t>
      </w:r>
      <w:r w:rsidR="00764B82" w:rsidRPr="007721FB">
        <w:rPr>
          <w:rFonts w:ascii="Times New Roman" w:hAnsi="Times New Roman" w:cs="Times New Roman"/>
          <w:sz w:val="24"/>
        </w:rPr>
        <w:t xml:space="preserve"> </w:t>
      </w:r>
      <w:r w:rsidR="001034A5" w:rsidRPr="007721FB">
        <w:rPr>
          <w:rFonts w:ascii="Times New Roman" w:hAnsi="Times New Roman" w:cs="Times New Roman"/>
          <w:sz w:val="24"/>
        </w:rPr>
        <w:t>% lower femoral artery blood flow in aged</w:t>
      </w:r>
      <w:r w:rsidR="000B3962" w:rsidRPr="007721FB">
        <w:rPr>
          <w:rFonts w:ascii="Times New Roman" w:hAnsi="Times New Roman" w:cs="Times New Roman"/>
          <w:sz w:val="24"/>
        </w:rPr>
        <w:t xml:space="preserve"> human</w:t>
      </w:r>
      <w:r w:rsidR="001034A5" w:rsidRPr="007721FB">
        <w:rPr>
          <w:rFonts w:ascii="Times New Roman" w:hAnsi="Times New Roman" w:cs="Times New Roman"/>
          <w:sz w:val="24"/>
        </w:rPr>
        <w:t xml:space="preserve"> male patients (</w:t>
      </w:r>
      <w:r w:rsidR="007E554A" w:rsidRPr="007721FB">
        <w:rPr>
          <w:rFonts w:ascii="Times New Roman" w:hAnsi="Times New Roman" w:cs="Times New Roman"/>
          <w:sz w:val="24"/>
        </w:rPr>
        <w:t>average of 64 years) in comparison with those of</w:t>
      </w:r>
      <w:r w:rsidR="001034A5" w:rsidRPr="007721FB">
        <w:rPr>
          <w:rFonts w:ascii="Times New Roman" w:hAnsi="Times New Roman" w:cs="Times New Roman"/>
          <w:sz w:val="24"/>
        </w:rPr>
        <w:t xml:space="preserve"> young men in their mid-twenties</w:t>
      </w:r>
      <w:r w:rsidR="00C0152F" w:rsidRPr="007721FB">
        <w:rPr>
          <w:rFonts w:ascii="Times New Roman" w:hAnsi="Times New Roman" w:cs="Times New Roman"/>
          <w:sz w:val="24"/>
        </w:rPr>
        <w:t xml:space="preserve"> </w:t>
      </w:r>
      <w:r w:rsidR="00764B82" w:rsidRPr="007721FB">
        <w:rPr>
          <w:rFonts w:ascii="Times New Roman" w:hAnsi="Times New Roman" w:cs="Times New Roman"/>
          <w:sz w:val="24"/>
        </w:rPr>
        <w:fldChar w:fldCharType="begin" w:fldLock="1"/>
      </w:r>
      <w:r w:rsidR="00B31E12" w:rsidRPr="007721FB">
        <w:rPr>
          <w:rFonts w:ascii="Times New Roman" w:hAnsi="Times New Roman" w:cs="Times New Roman"/>
          <w:sz w:val="24"/>
        </w:rPr>
        <w:instrText>ADDIN CSL_CITATION { "citationItems" : [ { "id" : "ITEM-1", "itemData" : { "DOI" : "10.1111/j.1469-7793.2001.00977.x", "ISSN" : "0022-3751", "abstract" : "Basal whole-limb blood flow and vascular conductance decrease with age in men. We determined whether these age-associated changes in limb haemodynamics are mediated by tonically augmented sympathetic \u03b1-adrenergic vasoconstriction. Seven young (28 \u00b1 2 years; mean \u00b1s.e.m.) and eight older (64 \u00b1 2 years) healthy, normotensive adult men were studied. Baseline femoral artery blood flow (Doppler ultrasound) and calculated vascular conductance were 29 and 31 % lower, respectively, and vascular resistance was 53 % higher in the older men (all P &lt; 0.001). Local (intra-femoral artery) \u03b1-adrenergic receptor blockade with phentolamine evoked greater increases in femoral blood flow (105 \u00b1 11 vs. 60 \u00b1 6 %) and vascular conductance (125 \u00b1 13 vs. 66 \u00b1 7 %), and reductions in vascular resistance (55 \u00b1 2 vs. 39 \u00b1 3 %) in the experimental limb of the older compared with the young men (all P &lt; 0.001). As a result, \u03b1-adrenergic receptor blockade eliminated the significance of the age-associated differences in absolute levels of femoral blood flow (500 \u00b1 51 vs. 551 \u00b1 35 ml min(\u22121)), vascular conductance (6.02 \u00b1 0.73 vs. 6.33 \u00b1 0.26 U), and vascular resistance (0.17 \u00b1 0.03 vs. 0.16 \u00b1 0.01 U; P = 0.4\u20130.8, n.s.). Femoral haemodynamics in the control limb were unaffected by phentolamine administration in the contralateral (experimental) limb. Complete \u03b1-adrenergic receptor blockade was demonstrated by the absence of vasoconstriction in the experimental limb in response to the cold pressor test. Local propranolol was administered to control for any \u03b2-adrenergic effects of phentolamine. Propranolol did not affect haemodynamics in the experimental or control limbs. Our results indicate that the age-related reductions in basal limb blood flow and vascular conductance are mediated largely by chronically elevated sympathetic \u03b1-adrenergic vasoconstriction. This may have important physiological and pathophysiological implications for the ageing human.  ", "author" : [ { "dropping-particle" : "", "family" : "Dinenno", "given" : "Frank A", "non-dropping-particle" : "", "parse-names" : false, "suffix" : "" }, { "dropping-particle" : "", "family" : "Tanaka", "given" : "Hirofumi", "non-dropping-particle" : "", "parse-names" : false, "suffix" : "" }, { "dropping-particle" : "", "family" : "Stauffer", "given" : "Brian L", "non-dropping-particle" : "", "parse-names" : false, "suffix" : "" }, { "dropping-particle" : "", "family" : "Seals", "given" : "Douglas R", "non-dropping-particle" : "", "parse-names" : false, "suffix" : "" } ], "container-title" : "The Journal of Physiology", "id" : "ITEM-1", "issue" : "Pt 3", "issued" : { "date-parts" : [ [ "2001", "11", "1" ] ] }, "page" : "977-983", "publisher" : "Blackwell Science Inc", "title" : "Reductions in basal limb blood flow and vascular conductance with human ageing: role for augmented \u03b1-adrenergic vasoconstriction", "type" : "article-journal", "volume" : "536" }, "uris" : [ "http://www.mendeley.com/documents/?uuid=30f11d9e-c3b5-4843-a886-0639d1b306ee" ] } ], "mendeley" : { "formattedCitation" : "[49]", "plainTextFormattedCitation" : "[49]", "previouslyFormattedCitation" : "[49]" }, "properties" : { "noteIndex" : 8 }, "schema" : "https://github.com/citation-style-language/schema/raw/master/csl-citation.json" }</w:instrText>
      </w:r>
      <w:r w:rsidR="00764B82" w:rsidRPr="007721FB">
        <w:rPr>
          <w:rFonts w:ascii="Times New Roman" w:hAnsi="Times New Roman" w:cs="Times New Roman"/>
          <w:sz w:val="24"/>
        </w:rPr>
        <w:fldChar w:fldCharType="separate"/>
      </w:r>
      <w:r w:rsidR="00B31E12" w:rsidRPr="007721FB">
        <w:rPr>
          <w:rFonts w:ascii="Times New Roman" w:hAnsi="Times New Roman" w:cs="Times New Roman"/>
          <w:noProof/>
          <w:sz w:val="24"/>
        </w:rPr>
        <w:t>[49]</w:t>
      </w:r>
      <w:r w:rsidR="00764B82" w:rsidRPr="007721FB">
        <w:rPr>
          <w:rFonts w:ascii="Times New Roman" w:hAnsi="Times New Roman" w:cs="Times New Roman"/>
          <w:sz w:val="24"/>
        </w:rPr>
        <w:fldChar w:fldCharType="end"/>
      </w:r>
      <w:r w:rsidR="00764B82" w:rsidRPr="007721FB">
        <w:rPr>
          <w:rFonts w:ascii="Times New Roman" w:hAnsi="Times New Roman" w:cs="Times New Roman"/>
          <w:sz w:val="24"/>
        </w:rPr>
        <w:t>.</w:t>
      </w:r>
      <w:r w:rsidR="00300C19" w:rsidRPr="007721FB">
        <w:rPr>
          <w:rFonts w:ascii="Times New Roman" w:hAnsi="Times New Roman" w:cs="Times New Roman"/>
          <w:sz w:val="24"/>
        </w:rPr>
        <w:t xml:space="preserve"> </w:t>
      </w:r>
      <w:r w:rsidR="00764B82" w:rsidRPr="007721FB">
        <w:rPr>
          <w:rFonts w:ascii="Times New Roman" w:hAnsi="Times New Roman" w:cs="Times New Roman"/>
          <w:sz w:val="24"/>
        </w:rPr>
        <w:t>It is</w:t>
      </w:r>
      <w:r w:rsidR="00300C19" w:rsidRPr="007721FB">
        <w:rPr>
          <w:rFonts w:ascii="Times New Roman" w:hAnsi="Times New Roman" w:cs="Times New Roman"/>
          <w:sz w:val="24"/>
        </w:rPr>
        <w:t xml:space="preserve"> therefore</w:t>
      </w:r>
      <w:r w:rsidR="00764B82" w:rsidRPr="007721FB">
        <w:rPr>
          <w:rFonts w:ascii="Times New Roman" w:hAnsi="Times New Roman" w:cs="Times New Roman"/>
          <w:sz w:val="24"/>
        </w:rPr>
        <w:t xml:space="preserve"> clear that bone vascular complexity and the blood-marrow interface</w:t>
      </w:r>
      <w:r w:rsidR="00300C19" w:rsidRPr="007721FB">
        <w:rPr>
          <w:rFonts w:ascii="Times New Roman" w:hAnsi="Times New Roman" w:cs="Times New Roman"/>
          <w:sz w:val="24"/>
        </w:rPr>
        <w:t xml:space="preserve"> pose</w:t>
      </w:r>
      <w:r w:rsidR="00764B82" w:rsidRPr="007721FB">
        <w:rPr>
          <w:rFonts w:ascii="Times New Roman" w:hAnsi="Times New Roman" w:cs="Times New Roman"/>
          <w:sz w:val="24"/>
        </w:rPr>
        <w:t xml:space="preserve"> significant barrier</w:t>
      </w:r>
      <w:r w:rsidR="00300C19" w:rsidRPr="007721FB">
        <w:rPr>
          <w:rFonts w:ascii="Times New Roman" w:hAnsi="Times New Roman" w:cs="Times New Roman"/>
          <w:sz w:val="24"/>
        </w:rPr>
        <w:t>s</w:t>
      </w:r>
      <w:r w:rsidR="00764B82" w:rsidRPr="007721FB">
        <w:rPr>
          <w:rFonts w:ascii="Times New Roman" w:hAnsi="Times New Roman" w:cs="Times New Roman"/>
          <w:sz w:val="24"/>
        </w:rPr>
        <w:t xml:space="preserve"> for nanotherapeutics</w:t>
      </w:r>
      <w:r w:rsidR="00300C19" w:rsidRPr="007721FB">
        <w:rPr>
          <w:rFonts w:ascii="Times New Roman" w:hAnsi="Times New Roman" w:cs="Times New Roman"/>
          <w:sz w:val="24"/>
        </w:rPr>
        <w:t xml:space="preserve"> delivery</w:t>
      </w:r>
      <w:r w:rsidR="00764B82" w:rsidRPr="007721FB">
        <w:rPr>
          <w:rFonts w:ascii="Times New Roman" w:hAnsi="Times New Roman" w:cs="Times New Roman"/>
          <w:sz w:val="24"/>
        </w:rPr>
        <w:t xml:space="preserve">. </w:t>
      </w:r>
      <w:r w:rsidR="006E139A" w:rsidRPr="007721FB">
        <w:rPr>
          <w:rFonts w:ascii="Times New Roman" w:hAnsi="Times New Roman" w:cs="Times New Roman"/>
          <w:sz w:val="24"/>
        </w:rPr>
        <w:t>To overcome these barriers v</w:t>
      </w:r>
      <w:r w:rsidR="00C0152F" w:rsidRPr="007721FB">
        <w:rPr>
          <w:rFonts w:ascii="Times New Roman" w:hAnsi="Times New Roman" w:cs="Times New Roman"/>
          <w:sz w:val="24"/>
        </w:rPr>
        <w:t>arious p</w:t>
      </w:r>
      <w:r w:rsidR="00764B82" w:rsidRPr="007721FB">
        <w:rPr>
          <w:rFonts w:ascii="Times New Roman" w:hAnsi="Times New Roman" w:cs="Times New Roman"/>
          <w:sz w:val="24"/>
        </w:rPr>
        <w:t>articles physicochemical parameters</w:t>
      </w:r>
      <w:r w:rsidR="006E139A" w:rsidRPr="007721FB">
        <w:rPr>
          <w:rFonts w:ascii="Times New Roman" w:hAnsi="Times New Roman" w:cs="Times New Roman"/>
          <w:sz w:val="24"/>
        </w:rPr>
        <w:t xml:space="preserve"> should be optimized</w:t>
      </w:r>
      <w:r w:rsidR="00C0152F" w:rsidRPr="007721FB">
        <w:rPr>
          <w:rFonts w:ascii="Times New Roman" w:hAnsi="Times New Roman" w:cs="Times New Roman"/>
          <w:sz w:val="24"/>
        </w:rPr>
        <w:t xml:space="preserve">, </w:t>
      </w:r>
      <w:r w:rsidR="00962F2B" w:rsidRPr="007721FB">
        <w:rPr>
          <w:rFonts w:ascii="Times New Roman" w:hAnsi="Times New Roman" w:cs="Times New Roman"/>
          <w:sz w:val="24"/>
        </w:rPr>
        <w:t xml:space="preserve">including surface charge, shape and </w:t>
      </w:r>
      <w:r w:rsidR="00764B82" w:rsidRPr="007721FB">
        <w:rPr>
          <w:rFonts w:ascii="Times New Roman" w:hAnsi="Times New Roman" w:cs="Times New Roman"/>
          <w:sz w:val="24"/>
        </w:rPr>
        <w:t>size</w:t>
      </w:r>
      <w:r w:rsidR="00962F2B" w:rsidRPr="007721FB">
        <w:rPr>
          <w:rFonts w:ascii="Times New Roman" w:hAnsi="Times New Roman" w:cs="Times New Roman"/>
          <w:sz w:val="24"/>
        </w:rPr>
        <w:t>. The latter is</w:t>
      </w:r>
      <w:r w:rsidR="00C0152F" w:rsidRPr="007721FB">
        <w:rPr>
          <w:rFonts w:ascii="Times New Roman" w:hAnsi="Times New Roman" w:cs="Times New Roman"/>
          <w:sz w:val="24"/>
        </w:rPr>
        <w:t xml:space="preserve"> </w:t>
      </w:r>
      <w:r w:rsidR="00764B82" w:rsidRPr="007721FB">
        <w:rPr>
          <w:rFonts w:ascii="Times New Roman" w:hAnsi="Times New Roman" w:cs="Times New Roman"/>
          <w:sz w:val="24"/>
        </w:rPr>
        <w:t>one of the most important aspects that need</w:t>
      </w:r>
      <w:r w:rsidR="00C0152F" w:rsidRPr="007721FB">
        <w:rPr>
          <w:rFonts w:ascii="Times New Roman" w:hAnsi="Times New Roman" w:cs="Times New Roman"/>
          <w:sz w:val="24"/>
        </w:rPr>
        <w:t>s</w:t>
      </w:r>
      <w:r w:rsidR="006E139A" w:rsidRPr="007721FB">
        <w:rPr>
          <w:rFonts w:ascii="Times New Roman" w:hAnsi="Times New Roman" w:cs="Times New Roman"/>
          <w:sz w:val="24"/>
        </w:rPr>
        <w:t xml:space="preserve"> to be considered to improve therapeutics</w:t>
      </w:r>
      <w:r w:rsidR="008E65F7" w:rsidRPr="007721FB">
        <w:rPr>
          <w:rFonts w:ascii="Times New Roman" w:hAnsi="Times New Roman" w:cs="Times New Roman"/>
          <w:sz w:val="24"/>
        </w:rPr>
        <w:t xml:space="preserve"> pharmacokinetics and</w:t>
      </w:r>
      <w:r w:rsidR="006E139A" w:rsidRPr="007721FB">
        <w:rPr>
          <w:rFonts w:ascii="Times New Roman" w:hAnsi="Times New Roman" w:cs="Times New Roman"/>
          <w:sz w:val="24"/>
        </w:rPr>
        <w:t xml:space="preserve"> performance in the bone</w:t>
      </w:r>
      <w:r w:rsidR="00962F2B" w:rsidRPr="007721FB">
        <w:rPr>
          <w:rFonts w:ascii="Times New Roman" w:hAnsi="Times New Roman" w:cs="Times New Roman"/>
          <w:sz w:val="24"/>
        </w:rPr>
        <w:t xml:space="preserve"> blood-marrow </w:t>
      </w:r>
      <w:r w:rsidR="006E139A" w:rsidRPr="007721FB">
        <w:rPr>
          <w:rFonts w:ascii="Times New Roman" w:hAnsi="Times New Roman" w:cs="Times New Roman"/>
          <w:sz w:val="24"/>
        </w:rPr>
        <w:t>microenvironment.</w:t>
      </w:r>
    </w:p>
    <w:p w14:paraId="4F275563" w14:textId="7D56FC39" w:rsidR="00FA270B" w:rsidRPr="007721FB" w:rsidRDefault="00FA270B" w:rsidP="00D64ED9">
      <w:pPr>
        <w:spacing w:after="0" w:line="240" w:lineRule="auto"/>
        <w:jc w:val="both"/>
        <w:rPr>
          <w:rFonts w:ascii="Times New Roman" w:hAnsi="Times New Roman" w:cs="Times New Roman"/>
          <w:sz w:val="24"/>
        </w:rPr>
      </w:pPr>
    </w:p>
    <w:p w14:paraId="0D170CA6" w14:textId="1B05D8FA" w:rsidR="00FA270B" w:rsidRPr="007721FB" w:rsidRDefault="000E6598" w:rsidP="00D64ED9">
      <w:pPr>
        <w:spacing w:after="0" w:line="240" w:lineRule="auto"/>
        <w:jc w:val="both"/>
        <w:rPr>
          <w:rFonts w:ascii="Times New Roman" w:hAnsi="Times New Roman" w:cs="Times New Roman"/>
          <w:b/>
          <w:sz w:val="28"/>
        </w:rPr>
      </w:pPr>
      <w:r w:rsidRPr="007721FB">
        <w:rPr>
          <w:rFonts w:ascii="Times New Roman" w:hAnsi="Times New Roman" w:cs="Times New Roman"/>
          <w:b/>
          <w:sz w:val="28"/>
        </w:rPr>
        <w:t>2.2. Nanocarriers size</w:t>
      </w:r>
      <w:r w:rsidR="00764B82" w:rsidRPr="007721FB">
        <w:rPr>
          <w:rFonts w:ascii="Times New Roman" w:hAnsi="Times New Roman" w:cs="Times New Roman"/>
          <w:b/>
          <w:sz w:val="28"/>
        </w:rPr>
        <w:t>-</w:t>
      </w:r>
      <w:r w:rsidRPr="007721FB">
        <w:rPr>
          <w:rFonts w:ascii="Times New Roman" w:hAnsi="Times New Roman" w:cs="Times New Roman"/>
          <w:b/>
          <w:sz w:val="28"/>
        </w:rPr>
        <w:t xml:space="preserve">dependent bone accumulation </w:t>
      </w:r>
    </w:p>
    <w:p w14:paraId="3FBAC3B7" w14:textId="6BB4B7DD" w:rsidR="00D903AF" w:rsidRPr="007721FB" w:rsidRDefault="00B45CC9">
      <w:pPr>
        <w:spacing w:after="0" w:line="240" w:lineRule="auto"/>
        <w:jc w:val="both"/>
        <w:rPr>
          <w:rFonts w:ascii="Times New Roman" w:hAnsi="Times New Roman" w:cs="Times New Roman"/>
          <w:sz w:val="24"/>
          <w:szCs w:val="24"/>
        </w:rPr>
      </w:pPr>
      <w:r w:rsidRPr="007721FB">
        <w:rPr>
          <w:rFonts w:ascii="Times New Roman" w:hAnsi="Times New Roman" w:cs="Times New Roman"/>
          <w:sz w:val="24"/>
        </w:rPr>
        <w:t xml:space="preserve">   </w:t>
      </w:r>
      <w:r w:rsidR="00696BAA" w:rsidRPr="007721FB">
        <w:rPr>
          <w:rFonts w:ascii="Times New Roman" w:hAnsi="Times New Roman" w:cs="Times New Roman"/>
          <w:sz w:val="24"/>
        </w:rPr>
        <w:t>Regarding nanocarriers</w:t>
      </w:r>
      <w:r w:rsidR="00B40C01" w:rsidRPr="007721FB">
        <w:rPr>
          <w:rFonts w:ascii="Times New Roman" w:hAnsi="Times New Roman" w:cs="Times New Roman"/>
          <w:sz w:val="24"/>
        </w:rPr>
        <w:t xml:space="preserve"> </w:t>
      </w:r>
      <w:r w:rsidR="00696BAA" w:rsidRPr="007721FB">
        <w:rPr>
          <w:rFonts w:ascii="Times New Roman" w:hAnsi="Times New Roman" w:cs="Times New Roman"/>
          <w:sz w:val="24"/>
        </w:rPr>
        <w:t>size</w:t>
      </w:r>
      <w:r w:rsidR="00B40C01" w:rsidRPr="007721FB">
        <w:rPr>
          <w:rFonts w:ascii="Times New Roman" w:hAnsi="Times New Roman" w:cs="Times New Roman"/>
          <w:sz w:val="24"/>
        </w:rPr>
        <w:t>-</w:t>
      </w:r>
      <w:r w:rsidR="00696BAA" w:rsidRPr="007721FB">
        <w:rPr>
          <w:rFonts w:ascii="Times New Roman" w:hAnsi="Times New Roman" w:cs="Times New Roman"/>
          <w:sz w:val="24"/>
        </w:rPr>
        <w:t>dependent bone accumulation there are</w:t>
      </w:r>
      <w:r w:rsidR="00696BAA" w:rsidRPr="007721FB" w:rsidDel="005C2FA0">
        <w:rPr>
          <w:rFonts w:ascii="Times New Roman" w:hAnsi="Times New Roman" w:cs="Times New Roman"/>
          <w:sz w:val="24"/>
          <w:szCs w:val="24"/>
        </w:rPr>
        <w:t xml:space="preserve"> </w:t>
      </w:r>
      <w:r w:rsidR="00696BAA" w:rsidRPr="007721FB">
        <w:rPr>
          <w:rFonts w:ascii="Times New Roman" w:hAnsi="Times New Roman" w:cs="Times New Roman"/>
          <w:sz w:val="24"/>
          <w:szCs w:val="24"/>
        </w:rPr>
        <w:t xml:space="preserve">some literature reports that suggest optimal bone delivery for nanocarriers under 80 nm, motivated by the detailed work of Howlett </w:t>
      </w:r>
      <w:r w:rsidR="000E6598" w:rsidRPr="007721FB">
        <w:rPr>
          <w:rFonts w:ascii="Times New Roman" w:hAnsi="Times New Roman" w:cs="Times New Roman"/>
          <w:sz w:val="24"/>
          <w:szCs w:val="24"/>
        </w:rPr>
        <w:t>and co-workers</w:t>
      </w:r>
      <w:r w:rsidR="00696BAA" w:rsidRPr="007721FB">
        <w:rPr>
          <w:rFonts w:ascii="Times New Roman" w:hAnsi="Times New Roman" w:cs="Times New Roman"/>
          <w:sz w:val="24"/>
          <w:szCs w:val="24"/>
        </w:rPr>
        <w:t xml:space="preserve"> on avian tibia microstructure</w:t>
      </w:r>
      <w:r w:rsidR="003E3FE1" w:rsidRPr="007721FB">
        <w:rPr>
          <w:rFonts w:ascii="Times New Roman" w:hAnsi="Times New Roman" w:cs="Times New Roman"/>
          <w:sz w:val="24"/>
          <w:szCs w:val="24"/>
        </w:rPr>
        <w:t>s</w:t>
      </w:r>
      <w:r w:rsidR="00B02D2F" w:rsidRPr="007721FB">
        <w:rPr>
          <w:rFonts w:ascii="Times New Roman" w:hAnsi="Times New Roman" w:cs="Times New Roman"/>
          <w:sz w:val="24"/>
          <w:szCs w:val="24"/>
        </w:rPr>
        <w:t xml:space="preserve"> </w:t>
      </w:r>
      <w:r w:rsidR="00493F93"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"ISBN" : "0021-8782 (Print)\\r0021-8782 (Linking)", "ISSN" : "0021-8782", "PMID" : "6469851", "abstract" : "The vascular supply to the proximal tibial growth plate of the 7 weeks old chicken is described using various vascular markers. In addition the ultrastructure of metaphyseal and epiphyseal vessels as well as their supporting tissue is reported. The metaphyseal arterioles terminate in large calibre vessels which have occasional endothelial gaps and no basement membrane or supporting cells, and therefore could be classified as venous sinusoids. In contrast the epiphyseal arteriole terminates in a capillary-venule plexus lined by an attenuated and fenestrated but continuous endothelium. This paper definitively establishes that communication of epiphyseal and metaphyseal vessels across the avian growth plate does not occur. The eosinophilic streaks which often join these two vascular supplies have been described ultrastructurally and would appear to be remnants of the 'retreating' epiphyseal vessels.", "author" : [ { "dropping-particle" : "", "family" : "Howlett", "given" : "C R", "non-dropping-particle" : "", "parse-names" : false, "suffix" : "" }, { "dropping-particle" : "", "family" : "Dickson", "given" : "M", "non-dropping-particle" : "", "parse-names" : false, "suffix" : "" }, { "dropping-particle" : "", "family" : "Sheridan", "given" : "A K", "non-dropping-particle" : "", "parse-names" : false, "suffix" : "" } ], "container-title" : "Journal of anatomy", "id" : "ITEM-1", "issue" : "1984", "issued" : { "date-parts" : [ [ "1984" ] ] }, "page" : "115-32", "title" : "The fine structure of the proximal growth plate of the avian tibia: vascular supply.", "type" : "article-journal", "volume" : "139 ( Pt 1" }, "uris" : [ "http://www.mendeley.com/documents/?uuid=93c086a7-57a3-454e-89b5-7ee767bab24d" ] } ], "mendeley" : { "formattedCitation" : "[50]", "plainTextFormattedCitation" : "[50]", "previouslyFormattedCitation" : "[50]" }, "properties" : { "noteIndex" : 9 }, "schema" : "https://github.com/citation-style-language/schema/raw/master/csl-citation.json" }</w:instrText>
      </w:r>
      <w:r w:rsidR="00493F93"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[50]</w:t>
      </w:r>
      <w:r w:rsidR="00493F93" w:rsidRPr="007721FB">
        <w:rPr>
          <w:rFonts w:ascii="Times New Roman" w:hAnsi="Times New Roman" w:cs="Times New Roman"/>
          <w:sz w:val="24"/>
          <w:szCs w:val="24"/>
        </w:rPr>
        <w:fldChar w:fldCharType="end"/>
      </w:r>
      <w:r w:rsidR="004A607C" w:rsidRPr="007721FB">
        <w:rPr>
          <w:rFonts w:ascii="Times New Roman" w:hAnsi="Times New Roman" w:cs="Times New Roman"/>
          <w:sz w:val="24"/>
          <w:szCs w:val="24"/>
        </w:rPr>
        <w:t xml:space="preserve">. It is important to emphasize that up-to-date there </w:t>
      </w:r>
      <w:r w:rsidR="000E6598" w:rsidRPr="007721FB">
        <w:rPr>
          <w:rFonts w:ascii="Times New Roman" w:hAnsi="Times New Roman" w:cs="Times New Roman"/>
          <w:sz w:val="24"/>
          <w:szCs w:val="24"/>
        </w:rPr>
        <w:t>is a</w:t>
      </w:r>
      <w:r w:rsidR="00696BAA" w:rsidRPr="007721FB">
        <w:rPr>
          <w:rFonts w:ascii="Times New Roman" w:hAnsi="Times New Roman" w:cs="Times New Roman"/>
          <w:sz w:val="24"/>
          <w:szCs w:val="24"/>
        </w:rPr>
        <w:t xml:space="preserve"> scarcity </w:t>
      </w:r>
      <w:r w:rsidR="00D07CFD" w:rsidRPr="007721FB">
        <w:rPr>
          <w:rFonts w:ascii="Times New Roman" w:hAnsi="Times New Roman" w:cs="Times New Roman"/>
          <w:sz w:val="24"/>
          <w:szCs w:val="24"/>
        </w:rPr>
        <w:t>in</w:t>
      </w:r>
      <w:r w:rsidR="00696BAA" w:rsidRPr="007721FB">
        <w:rPr>
          <w:rFonts w:ascii="Times New Roman" w:hAnsi="Times New Roman" w:cs="Times New Roman"/>
          <w:sz w:val="24"/>
          <w:szCs w:val="24"/>
        </w:rPr>
        <w:t xml:space="preserve"> human and non-human primate studies</w:t>
      </w:r>
      <w:r w:rsidR="000E6598" w:rsidRPr="007721FB">
        <w:rPr>
          <w:rFonts w:ascii="Times New Roman" w:hAnsi="Times New Roman" w:cs="Times New Roman"/>
          <w:sz w:val="24"/>
          <w:szCs w:val="24"/>
        </w:rPr>
        <w:t xml:space="preserve"> regarding this topic </w:t>
      </w:r>
      <w:r w:rsidR="00696BAA"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"ISBN" : "0021-8782 (Print)\\r0021-8782 (Linking)", "ISSN" : "0021-8782", "PMID" : "6469851", "abstract" : "The vascular supply to the proximal tibial growth plate of the 7 weeks old chicken is described using various vascular markers. In addition the ultrastructure of metaphyseal and epiphyseal vessels as well as their supporting tissue is reported. The metaphyseal arterioles terminate in large calibre vessels which have occasional endothelial gaps and no basement membrane or supporting cells, and therefore could be classified as venous sinusoids. In contrast the epiphyseal arteriole terminates in a capillary-venule plexus lined by an attenuated and fenestrated but continuous endothelium. This paper definitively establishes that communication of epiphyseal and metaphyseal vessels across the avian growth plate does not occur. The eosinophilic streaks which often join these two vascular supplies have been described ultrastructurally and would appear to be remnants of the 'retreating' epiphyseal vessels.", "author" : [ { "dropping-particle" : "", "family" : "Howlett", "given" : "C R", "non-dropping-particle" : "", "parse-names" : false, "suffix" : "" }, { "dropping-particle" : "", "family" : "Dickson", "given" : "M", "non-dropping-particle" : "", "parse-names" : false, "suffix" : "" }, { "dropping-particle" : "", "family" : "Sheridan", "given" : "A K", "non-dropping-particle" : "", "parse-names" : false, "suffix" : "" } ], "container-title" : "Journal of anatomy", "id" : "ITEM-1", "issue" : "1984", "issued" : { "date-parts" : [ [ "1984" ] ] }, "page" : "115-32", "title" : "The fine structure of the proximal growth plate of the avian tibia: vascular supply.", "type" : "article-journal", "volume" : "139 ( Pt 1" }, "uris" : [ "http://www.mendeley.com/documents/?uuid=2d658fdd-a7db-424e-a383-c842a497b35b", "http://www.mendeley.com/documents/?uuid=93c086a7-57a3-454e-89b5-7ee767bab24d" ] } ], "mendeley" : { "formattedCitation" : "[50]", "plainTextFormattedCitation" : "[50]", "previouslyFormattedCitation" : "[50]" }, "properties" : { "noteIndex" : 0 }, "schema" : "https://github.com/citation-style-language/schema/raw/master/csl-citation.json" }</w:instrText>
      </w:r>
      <w:r w:rsidR="00696BAA"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[50]</w:t>
      </w:r>
      <w:r w:rsidR="00696BAA" w:rsidRPr="007721FB">
        <w:rPr>
          <w:rFonts w:ascii="Times New Roman" w:hAnsi="Times New Roman" w:cs="Times New Roman"/>
          <w:sz w:val="24"/>
          <w:szCs w:val="24"/>
        </w:rPr>
        <w:fldChar w:fldCharType="end"/>
      </w:r>
      <w:r w:rsidR="004F157A" w:rsidRPr="007721FB">
        <w:rPr>
          <w:rFonts w:ascii="Times New Roman" w:hAnsi="Times New Roman" w:cs="Times New Roman"/>
          <w:sz w:val="24"/>
          <w:szCs w:val="24"/>
        </w:rPr>
        <w:t xml:space="preserve">. </w:t>
      </w:r>
      <w:r w:rsidR="003E3FE1" w:rsidRPr="007721FB">
        <w:rPr>
          <w:rFonts w:ascii="Times New Roman" w:hAnsi="Times New Roman" w:cs="Times New Roman"/>
          <w:sz w:val="24"/>
          <w:szCs w:val="24"/>
        </w:rPr>
        <w:t>Considering</w:t>
      </w:r>
      <w:r w:rsidR="00696BAA" w:rsidRPr="007721FB">
        <w:rPr>
          <w:rFonts w:ascii="Times New Roman" w:hAnsi="Times New Roman" w:cs="Times New Roman"/>
          <w:sz w:val="24"/>
          <w:szCs w:val="24"/>
        </w:rPr>
        <w:t xml:space="preserve"> the disparity between the physiological upper limit of pore size in human hepatic sinusoids (180 nm) versus rodents (280 nm), one could expect that bone microvasculature could also be sl</w:t>
      </w:r>
      <w:r w:rsidR="004F157A" w:rsidRPr="007721FB">
        <w:rPr>
          <w:rFonts w:ascii="Times New Roman" w:hAnsi="Times New Roman" w:cs="Times New Roman"/>
          <w:sz w:val="24"/>
          <w:szCs w:val="24"/>
        </w:rPr>
        <w:t xml:space="preserve">ightly different across mammals </w:t>
      </w:r>
      <w:r w:rsidR="00696BAA"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"DOI" : "10.1186/2040-2384-2-14", "ISBN" : "2040-2384", "ISSN" : "2040-2384", "PMID" : "20701757", "abstract" : "Much of our current understanding of microvascular permeability is based on the findings of classic experimental studies of blood capillary permeability to various-sized lipid-insoluble endogenous and non-endogenous macromolecules. According to the classic small pore theory of microvascular permeability, which was formulated on the basis of the findings of studies on the transcapillary flow rates of various-sized systemically or regionally perfused endogenous macromolecules, transcapillary exchange across the capillary wall takes place through a single population of small pores that are approximately 6 nm in diameter; whereas, according to the dual pore theory of microvascular permeability, which was formulated on the basis of the findings of studies on the accumulation of various-sized systemically or regionally perfused non-endogenous macromolecules in the locoregional tissue lymphatic drainages, transcapillary exchange across the capillary wall also takes place through a separate population of large pores, or capillary leaks, that are between 24 and 60 nm in diameter. The classification of blood capillary types on the basis of differences in the physiologic upper limits of pore size to transvascular flow highlights the differences in the transcapillary exchange routes for the transvascular transport of endogenous and non-endogenous macromolecules across the capillary walls of different blood capillary types.", "author" : [ { "dropping-particle" : "", "family" : "Sarin", "given" : "Hemant", "non-dropping-particle" : "", "parse-names" : false, "suffix" : "" } ], "container-title" : "Journal of Angiogenesis Research", "id" : "ITEM-1", "issue" : "1", "issued" : { "date-parts" : [ [ "2010" ] ] }, "page" : "1-19", "title" : "Physiologic upper limits of pore size of different blood capillary types and another perspective on the dual pore theory of microvascular permeability", "type" : "article-journal", "volume" : "2" }, "uris" : [ "http://www.mendeley.com/documents/?uuid=d0d550d7-afcd-4418-94b0-6f28322fd87e", "http://www.mendeley.com/documents/?uuid=8bb0a9fd-9faf-4029-89a8-255f34ff5801" ] } ], "mendeley" : { "formattedCitation" : "[32]", "plainTextFormattedCitation" : "[32]", "previouslyFormattedCitation" : "[32]" }, "properties" : { "noteIndex" : 0 }, "schema" : "https://github.com/citation-style-language/schema/raw/master/csl-citation.json" }</w:instrText>
      </w:r>
      <w:r w:rsidR="00696BAA"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[32]</w:t>
      </w:r>
      <w:r w:rsidR="00696BAA" w:rsidRPr="007721FB">
        <w:rPr>
          <w:rFonts w:ascii="Times New Roman" w:hAnsi="Times New Roman" w:cs="Times New Roman"/>
          <w:sz w:val="24"/>
          <w:szCs w:val="24"/>
        </w:rPr>
        <w:fldChar w:fldCharType="end"/>
      </w:r>
      <w:r w:rsidR="004F157A" w:rsidRPr="007721FB">
        <w:rPr>
          <w:rFonts w:ascii="Times New Roman" w:hAnsi="Times New Roman" w:cs="Times New Roman"/>
          <w:sz w:val="24"/>
          <w:szCs w:val="24"/>
        </w:rPr>
        <w:t>.</w:t>
      </w:r>
      <w:r w:rsidR="00696BAA" w:rsidRPr="007721FB">
        <w:rPr>
          <w:rFonts w:ascii="Times New Roman" w:hAnsi="Times New Roman" w:cs="Times New Roman"/>
          <w:sz w:val="24"/>
          <w:szCs w:val="24"/>
        </w:rPr>
        <w:t xml:space="preserve"> </w:t>
      </w:r>
      <w:r w:rsidR="00C3252C" w:rsidRPr="007721FB">
        <w:rPr>
          <w:rFonts w:ascii="Times New Roman" w:hAnsi="Times New Roman" w:cs="Times New Roman"/>
          <w:sz w:val="24"/>
          <w:szCs w:val="24"/>
        </w:rPr>
        <w:t xml:space="preserve">In fact, </w:t>
      </w:r>
      <w:r w:rsidR="00A23D6A" w:rsidRPr="007721FB">
        <w:rPr>
          <w:rFonts w:ascii="Times New Roman" w:hAnsi="Times New Roman" w:cs="Times New Roman"/>
          <w:sz w:val="24"/>
          <w:szCs w:val="24"/>
        </w:rPr>
        <w:t xml:space="preserve">differences between avian and mammalian erythropoiesis could convey important </w:t>
      </w:r>
      <w:r w:rsidR="003E3FE1" w:rsidRPr="007721FB">
        <w:rPr>
          <w:rFonts w:ascii="Times New Roman" w:hAnsi="Times New Roman" w:cs="Times New Roman"/>
          <w:sz w:val="24"/>
          <w:szCs w:val="24"/>
        </w:rPr>
        <w:t xml:space="preserve">differences </w:t>
      </w:r>
      <w:r w:rsidR="00A23D6A" w:rsidRPr="007721FB">
        <w:rPr>
          <w:rFonts w:ascii="Times New Roman" w:hAnsi="Times New Roman" w:cs="Times New Roman"/>
          <w:sz w:val="24"/>
          <w:szCs w:val="24"/>
        </w:rPr>
        <w:t>in the organization of the bone sinusoids traversing</w:t>
      </w:r>
      <w:r w:rsidR="003E3FE1" w:rsidRPr="007721FB">
        <w:rPr>
          <w:rFonts w:ascii="Times New Roman" w:hAnsi="Times New Roman" w:cs="Times New Roman"/>
          <w:sz w:val="24"/>
          <w:szCs w:val="24"/>
        </w:rPr>
        <w:t xml:space="preserve"> the</w:t>
      </w:r>
      <w:r w:rsidR="00A23D6A" w:rsidRPr="007721FB">
        <w:rPr>
          <w:rFonts w:ascii="Times New Roman" w:hAnsi="Times New Roman" w:cs="Times New Roman"/>
          <w:sz w:val="24"/>
          <w:szCs w:val="24"/>
        </w:rPr>
        <w:t xml:space="preserve"> marrow</w:t>
      </w:r>
      <w:r w:rsidR="003E3FE1" w:rsidRPr="007721FB">
        <w:rPr>
          <w:rFonts w:ascii="Times New Roman" w:hAnsi="Times New Roman" w:cs="Times New Roman"/>
          <w:sz w:val="24"/>
          <w:szCs w:val="24"/>
        </w:rPr>
        <w:t>. I</w:t>
      </w:r>
      <w:r w:rsidR="00A23D6A" w:rsidRPr="007721FB">
        <w:rPr>
          <w:rFonts w:ascii="Times New Roman" w:hAnsi="Times New Roman" w:cs="Times New Roman"/>
          <w:sz w:val="24"/>
          <w:szCs w:val="24"/>
        </w:rPr>
        <w:t>n mammals erythropoiesis is extravascular,</w:t>
      </w:r>
      <w:r w:rsidR="003E3FE1" w:rsidRPr="007721FB">
        <w:rPr>
          <w:rFonts w:ascii="Times New Roman" w:hAnsi="Times New Roman" w:cs="Times New Roman"/>
          <w:sz w:val="24"/>
          <w:szCs w:val="24"/>
        </w:rPr>
        <w:t xml:space="preserve"> whereas</w:t>
      </w:r>
      <w:r w:rsidR="00A23D6A" w:rsidRPr="007721FB">
        <w:rPr>
          <w:rFonts w:ascii="Times New Roman" w:hAnsi="Times New Roman" w:cs="Times New Roman"/>
          <w:sz w:val="24"/>
          <w:szCs w:val="24"/>
        </w:rPr>
        <w:t xml:space="preserve"> in birds is intravascular and involves no marrow-blood barrier</w:t>
      </w:r>
      <w:r w:rsidR="004F157A" w:rsidRPr="007721FB">
        <w:rPr>
          <w:rFonts w:ascii="Times New Roman" w:hAnsi="Times New Roman" w:cs="Times New Roman"/>
          <w:sz w:val="24"/>
          <w:szCs w:val="24"/>
        </w:rPr>
        <w:t xml:space="preserve"> </w:t>
      </w:r>
      <w:r w:rsidR="00360400"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"author" : [ { "dropping-particle" : "", "family" : "Tavassoli", "given" : "M", "non-dropping-particle" : "", "parse-names" : false, "suffix" : "" } ], "container-title" : "British journal of haematology", "id" : "ITEM-1", "issue" : "3", "issued" : { "date-parts" : [ [ "1979" ] ] }, "page" : "297-302", "title" : "The marrow-blood barrier.", "type" : "article-journal", "volume" : "41" }, "uris" : [ "http://www.mendeley.com/documents/?uuid=688d9662-33b8-44b4-94e1-07a91a81d563", "http://www.mendeley.com/documents/?uuid=d8926266-222b-4c07-b8f0-fc170cd477ce" ] } ], "mendeley" : { "formattedCitation" : "[51]", "plainTextFormattedCitation" : "[51]", "previouslyFormattedCitation" : "[51]" }, "properties" : { "noteIndex" : 0 }, "schema" : "https://github.com/citation-style-language/schema/raw/master/csl-citation.json" }</w:instrText>
      </w:r>
      <w:r w:rsidR="00360400"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[51]</w:t>
      </w:r>
      <w:r w:rsidR="00360400" w:rsidRPr="007721FB">
        <w:rPr>
          <w:rFonts w:ascii="Times New Roman" w:hAnsi="Times New Roman" w:cs="Times New Roman"/>
          <w:sz w:val="24"/>
          <w:szCs w:val="24"/>
        </w:rPr>
        <w:fldChar w:fldCharType="end"/>
      </w:r>
      <w:r w:rsidR="004F157A" w:rsidRPr="007721FB">
        <w:rPr>
          <w:rStyle w:val="Refdecomentrio"/>
        </w:rPr>
        <w:t>.</w:t>
      </w:r>
      <w:r w:rsidR="00D903AF" w:rsidRPr="007721FB">
        <w:rPr>
          <w:rFonts w:ascii="Times New Roman" w:hAnsi="Times New Roman" w:cs="Times New Roman"/>
          <w:sz w:val="24"/>
          <w:szCs w:val="24"/>
        </w:rPr>
        <w:t xml:space="preserve"> </w:t>
      </w:r>
      <w:r w:rsidR="000B2C7B" w:rsidRPr="007721FB">
        <w:rPr>
          <w:rFonts w:ascii="Times New Roman" w:hAnsi="Times New Roman" w:cs="Times New Roman"/>
          <w:sz w:val="24"/>
          <w:szCs w:val="24"/>
        </w:rPr>
        <w:t>M</w:t>
      </w:r>
      <w:r w:rsidR="00416755" w:rsidRPr="007721FB">
        <w:rPr>
          <w:rFonts w:ascii="Times New Roman" w:hAnsi="Times New Roman" w:cs="Times New Roman"/>
          <w:sz w:val="24"/>
          <w:szCs w:val="24"/>
        </w:rPr>
        <w:t>ore studies on the ultrastructure of bone microvasculature across species are necessary to shed light into the optimal design of nanocarriers</w:t>
      </w:r>
      <w:r w:rsidR="000B2C7B" w:rsidRPr="007721FB">
        <w:rPr>
          <w:rFonts w:ascii="Times New Roman" w:hAnsi="Times New Roman" w:cs="Times New Roman"/>
          <w:sz w:val="24"/>
          <w:szCs w:val="24"/>
        </w:rPr>
        <w:t>.</w:t>
      </w:r>
    </w:p>
    <w:p w14:paraId="1426010B" w14:textId="6730CA7E" w:rsidR="00EC68CC" w:rsidRPr="007721FB" w:rsidRDefault="00957310" w:rsidP="00EC68CC">
      <w:pPr>
        <w:spacing w:after="0" w:line="240" w:lineRule="auto"/>
        <w:jc w:val="both"/>
        <w:rPr>
          <w:rFonts w:ascii="Times New Roman" w:hAnsi="Times New Roman" w:cs="Times New Roman"/>
          <w:sz w:val="24"/>
        </w:rPr>
      </w:pPr>
      <w:r w:rsidRPr="007721FB">
        <w:rPr>
          <w:rFonts w:ascii="Times New Roman" w:hAnsi="Times New Roman" w:cs="Times New Roman"/>
          <w:sz w:val="24"/>
        </w:rPr>
        <w:t xml:space="preserve">   </w:t>
      </w:r>
      <w:r w:rsidR="000B2C7B" w:rsidRPr="007721FB">
        <w:rPr>
          <w:rFonts w:ascii="Times New Roman" w:hAnsi="Times New Roman" w:cs="Times New Roman"/>
          <w:sz w:val="24"/>
        </w:rPr>
        <w:t>T</w:t>
      </w:r>
      <w:r w:rsidR="00696BAA" w:rsidRPr="007721FB">
        <w:rPr>
          <w:rFonts w:ascii="Times New Roman" w:hAnsi="Times New Roman" w:cs="Times New Roman"/>
          <w:sz w:val="24"/>
        </w:rPr>
        <w:t>he size of rabbit bone marrow fenestr</w:t>
      </w:r>
      <w:r w:rsidR="006260C4" w:rsidRPr="007721FB">
        <w:rPr>
          <w:rFonts w:ascii="Times New Roman" w:hAnsi="Times New Roman" w:cs="Times New Roman"/>
          <w:sz w:val="24"/>
        </w:rPr>
        <w:t>ae</w:t>
      </w:r>
      <w:r w:rsidR="00696BAA" w:rsidRPr="007721FB">
        <w:rPr>
          <w:rFonts w:ascii="Times New Roman" w:hAnsi="Times New Roman" w:cs="Times New Roman"/>
          <w:sz w:val="24"/>
        </w:rPr>
        <w:t xml:space="preserve"> was reported to range</w:t>
      </w:r>
      <w:r w:rsidR="000B2C7B" w:rsidRPr="007721FB">
        <w:rPr>
          <w:rFonts w:ascii="Times New Roman" w:hAnsi="Times New Roman" w:cs="Times New Roman"/>
          <w:sz w:val="24"/>
        </w:rPr>
        <w:t xml:space="preserve"> from</w:t>
      </w:r>
      <w:r w:rsidR="00696BAA" w:rsidRPr="007721FB">
        <w:rPr>
          <w:rFonts w:ascii="Times New Roman" w:hAnsi="Times New Roman" w:cs="Times New Roman"/>
          <w:sz w:val="24"/>
        </w:rPr>
        <w:t xml:space="preserve"> 85</w:t>
      </w:r>
      <w:r w:rsidR="000B2C7B" w:rsidRPr="007721FB">
        <w:rPr>
          <w:rFonts w:ascii="Times New Roman" w:hAnsi="Times New Roman" w:cs="Times New Roman"/>
          <w:sz w:val="24"/>
        </w:rPr>
        <w:t xml:space="preserve"> nm to </w:t>
      </w:r>
      <w:r w:rsidR="00696BAA" w:rsidRPr="007721FB">
        <w:rPr>
          <w:rFonts w:ascii="Times New Roman" w:hAnsi="Times New Roman" w:cs="Times New Roman"/>
          <w:sz w:val="24"/>
        </w:rPr>
        <w:t>150 nm</w:t>
      </w:r>
      <w:r w:rsidR="00B02D2F" w:rsidRPr="007721FB">
        <w:rPr>
          <w:rFonts w:ascii="Times New Roman" w:hAnsi="Times New Roman" w:cs="Times New Roman"/>
          <w:sz w:val="24"/>
        </w:rPr>
        <w:t xml:space="preserve"> </w:t>
      </w:r>
      <w:r w:rsidR="00696BAA" w:rsidRPr="007721FB">
        <w:rPr>
          <w:rFonts w:ascii="Times New Roman" w:hAnsi="Times New Roman" w:cs="Times New Roman"/>
          <w:sz w:val="24"/>
        </w:rPr>
        <w:fldChar w:fldCharType="begin" w:fldLock="1"/>
      </w:r>
      <w:r w:rsidR="00B31E12" w:rsidRPr="007721FB">
        <w:rPr>
          <w:rFonts w:ascii="Times New Roman" w:hAnsi="Times New Roman" w:cs="Times New Roman"/>
          <w:sz w:val="24"/>
        </w:rPr>
        <w:instrText>ADDIN CSL_CITATION { "citationItems" : [ { "id" : "ITEM-1", "itemData" : { "DOI" : "10.1517/17425247.2011.553218", "ISBN" : "2122633255", "ISSN" : "1744-7593", "PMID" : "21275831", "abstract" : "INTRODUCTION: Bone marrow-targeted drug delivery systems appear to offer a promising strategy for advancing diagnostic, protective and/or therapeutic medicine for the hematopoietic system. Liposome technology can provide a drug delivery system with high bone marrow targeting that is mediated by specific phagocytosis in bone marrow.\\n\\nAREA COVERED: This review focuses on a bone marrow-specific liposome formulation labeled with technetium-99 m. Interspecies differences in bone marrow distribution of the bone marrow-targeted formulation are emphasized. This review provides a liposome technology to target bone marrow. In addition, the selection of proper species for the investigation of bone marrow targeting is suggested.\\n\\nEXPERT OPINION: It can be speculated that the bone marrow macrophages have a role in the delivery of lipids to the bone marrow as a source of energy and for membrane biosynthesis or in the delivery of fat-soluble vitamins for hematopoiesis. This homeostatic system offers a potent pathway to deliver drugs selectively into bone marrow tissues from blood. High selectivity of the present bone marrow-targeted liposome formulation for bone marrow suggests the presence of an active and specific mechanism, but specific factors affecting the uptake of the bone marrow mononuclear phagocyte system are still unknown. Further investigation of this mechanism will increase our understanding of factors required for effective transport of agents to the bone marrow, and may provide an efficient system for bone marrow delivery for therapeutic purposes.", "author" : [ { "dropping-particle" : "", "family" : "Sou", "given" : "Keitaro", "non-dropping-particle" : "", "parse-names" : false, "suffix" : "" }, { "dropping-particle" : "", "family" : "Goins", "given" : "Beth", "non-dropping-particle" : "", "parse-names" : false, "suffix" : "" }, { "dropping-particle" : "", "family" : "Oyajobi", "given" : "Babatunde O", "non-dropping-particle" : "", "parse-names" : false, "suffix" : "" }, { "dropping-particle" : "", "family" : "Travi", "given" : "Bruno L", "non-dropping-particle" : "", "parse-names" : false, "suffix" : "" }, { "dropping-particle" : "", "family" : "Phillips", "given" : "William T", "non-dropping-particle" : "", "parse-names" : false, "suffix" : "" } ], "container-title" : "Expert opinion on drug delivery", "id" : "ITEM-1", "issue" : "3", "issued" : { "date-parts" : [ [ "2011" ] ] }, "page" : "317-28", "title" : "Bone marrow-targeted liposomal carriers.", "type" : "article-journal", "volume" : "8" }, "uris" : [ "http://www.mendeley.com/documents/?uuid=9e917528-40b6-4a51-921c-87babfc7f22f", "http://www.mendeley.com/documents/?uuid=dbdca005-629a-42a9-90e5-1e86e53fa85f" ] } ], "mendeley" : { "formattedCitation" : "[52]", "plainTextFormattedCitation" : "[52]", "previouslyFormattedCitation" : "[52]" }, "properties" : { "noteIndex" : 0 }, "schema" : "https://github.com/citation-style-language/schema/raw/master/csl-citation.json" }</w:instrText>
      </w:r>
      <w:r w:rsidR="00696BAA" w:rsidRPr="007721FB">
        <w:rPr>
          <w:rFonts w:ascii="Times New Roman" w:hAnsi="Times New Roman" w:cs="Times New Roman"/>
          <w:sz w:val="24"/>
        </w:rPr>
        <w:fldChar w:fldCharType="separate"/>
      </w:r>
      <w:r w:rsidR="00B31E12" w:rsidRPr="007721FB">
        <w:rPr>
          <w:rFonts w:ascii="Times New Roman" w:hAnsi="Times New Roman" w:cs="Times New Roman"/>
          <w:noProof/>
          <w:sz w:val="24"/>
        </w:rPr>
        <w:t>[52]</w:t>
      </w:r>
      <w:r w:rsidR="00696BAA" w:rsidRPr="007721FB">
        <w:rPr>
          <w:rFonts w:ascii="Times New Roman" w:hAnsi="Times New Roman" w:cs="Times New Roman"/>
          <w:sz w:val="24"/>
        </w:rPr>
        <w:fldChar w:fldCharType="end"/>
      </w:r>
      <w:r w:rsidR="00D24ACE" w:rsidRPr="007721FB">
        <w:rPr>
          <w:rFonts w:ascii="Times New Roman" w:hAnsi="Times New Roman" w:cs="Times New Roman"/>
          <w:sz w:val="24"/>
        </w:rPr>
        <w:t xml:space="preserve">. This </w:t>
      </w:r>
      <w:r w:rsidR="00D24ACE" w:rsidRPr="007721FB">
        <w:rPr>
          <w:rFonts w:ascii="Times New Roman" w:hAnsi="Times New Roman" w:cs="Times New Roman"/>
          <w:sz w:val="24"/>
          <w:szCs w:val="24"/>
        </w:rPr>
        <w:t xml:space="preserve">is supported by the work of Porter and colleagues, that studied the accumulation of poloxamer 407-coated polystyrene particles (sizes of 60, 150 and 250 nm) in rabbit femoral bone marrow </w:t>
      </w:r>
      <w:r w:rsidR="00D24ACE"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"author" : [ { "dropping-particle" : "", "family" : "Porter", "given" : "C J", "non-dropping-particle" : "", "parse-names" : false, "suffix" : "" }, { "dropping-particle" : "", "family" : "Moghimi", "given" : "S M", "non-dropping-particle" : "", "parse-names" : false, "suffix" : "" }, { "dropping-particle" : "", "family" : "Illum", "given" : "L", "non-dropping-particle" : "", "parse-names" : false, "suffix" : "" }, { "dropping-particle" : "", "family" : "Davis", "given" : "S S", "non-dropping-particle" : "", "parse-names" : false, "suffix" : "" } ], "container-title" : "FEBS Letters", "id" : "ITEM-1", "issue" : "I", "issued" : { "date-parts" : [ [ "1992" ] ] }, "page" : "62-66", "title" : "The polyoxyethylene / polyoxypropylene selectively redirects intravenously injected microspheres to sinusoidal endothelial cells of rabbit bone marrow", "type" : "article-journal", "volume" : "305" }, "uris" : [ "http://www.mendeley.com/documents/?uuid=ab7377d9-a783-4cc2-9bf5-cc0502e0e18f", "http://www.mendeley.com/documents/?uuid=4fce1ca1-67ca-4370-9ae4-29417f1e4800" ] } ], "mendeley" : { "formattedCitation" : "[53]", "plainTextFormattedCitation" : "[53]", "previouslyFormattedCitation" : "[53]" }, "properties" : { "noteIndex" : 0 }, "schema" : "https://github.com/citation-style-language/schema/raw/master/csl-citation.json" }</w:instrText>
      </w:r>
      <w:r w:rsidR="00D24ACE"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[53]</w:t>
      </w:r>
      <w:r w:rsidR="00D24ACE" w:rsidRPr="007721FB">
        <w:rPr>
          <w:rFonts w:ascii="Times New Roman" w:hAnsi="Times New Roman" w:cs="Times New Roman"/>
          <w:sz w:val="24"/>
          <w:szCs w:val="24"/>
        </w:rPr>
        <w:fldChar w:fldCharType="end"/>
      </w:r>
      <w:r w:rsidR="00D24ACE" w:rsidRPr="007721FB">
        <w:rPr>
          <w:rFonts w:ascii="Times New Roman" w:hAnsi="Times New Roman" w:cs="Times New Roman"/>
          <w:sz w:val="24"/>
          <w:szCs w:val="24"/>
        </w:rPr>
        <w:t>. The obtained results indicate that nanoparticles with sizes of 150 nm and below, effectively avoided liver and spleen clearance and were predominantly located within bone marrow sinus endothelial cells after 24 h. Such was evident by the formation of dense bodies consisting of particle clusters. Importantly, in this study no evidence of transcytosis to the marrow extravascular space was observed</w:t>
      </w:r>
      <w:r w:rsidR="000B2C7B" w:rsidRPr="007721FB">
        <w:rPr>
          <w:rFonts w:ascii="Times New Roman" w:hAnsi="Times New Roman" w:cs="Times New Roman"/>
          <w:sz w:val="24"/>
          <w:szCs w:val="24"/>
        </w:rPr>
        <w:t xml:space="preserve"> </w:t>
      </w:r>
      <w:r w:rsidR="006762F7"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"author" : [ { "dropping-particle" : "", "family" : "Porter", "given" : "C J", "non-dropping-particle" : "", "parse-names" : false, "suffix" : "" }, { "dropping-particle" : "", "family" : "Moghimi", "given" : "S M", "non-dropping-particle" : "", "parse-names" : false, "suffix" : "" }, { "dropping-particle" : "", "family" : "Illum", "given" : "L", "non-dropping-particle" : "", "parse-names" : false, "suffix" : "" }, { "dropping-particle" : "", "family" : "Davis", "given" : "S S", "non-dropping-particle" : "", "parse-names" : false, "suffix" : "" } ], "container-title" : "FEBS Letters", "id" : "ITEM-1", "issue" : "I", "issued" : { "date-parts" : [ [ "1992" ] ] }, "page" : "62-66", "title" : "The polyoxyethylene / polyoxypropylene selectively redirects intravenously injected microspheres to sinusoidal endothelial cells of rabbit bone marrow", "type" : "article-journal", "volume" : "305" }, "uris" : [ "http://www.mendeley.com/documents/?uuid=4fce1ca1-67ca-4370-9ae4-29417f1e4800", "http://www.mendeley.com/documents/?uuid=ab7377d9-a783-4cc2-9bf5-cc0502e0e18f" ] } ], "mendeley" : { "formattedCitation" : "[53]", "plainTextFormattedCitation" : "[53]", "previouslyFormattedCitation" : "[53]" }, "properties" : { "noteIndex" : 0 }, "schema" : "https://github.com/citation-style-language/schema/raw/master/csl-citation.json" }</w:instrText>
      </w:r>
      <w:r w:rsidR="006762F7"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[53]</w:t>
      </w:r>
      <w:r w:rsidR="006762F7" w:rsidRPr="007721FB">
        <w:rPr>
          <w:rFonts w:ascii="Times New Roman" w:hAnsi="Times New Roman" w:cs="Times New Roman"/>
          <w:sz w:val="24"/>
          <w:szCs w:val="24"/>
        </w:rPr>
        <w:fldChar w:fldCharType="end"/>
      </w:r>
      <w:r w:rsidR="000E6598" w:rsidRPr="007721FB">
        <w:rPr>
          <w:rFonts w:ascii="Times New Roman" w:hAnsi="Times New Roman" w:cs="Times New Roman"/>
          <w:sz w:val="24"/>
          <w:szCs w:val="24"/>
        </w:rPr>
        <w:t>.</w:t>
      </w:r>
      <w:r w:rsidR="00500376" w:rsidRPr="007721FB">
        <w:rPr>
          <w:rFonts w:ascii="Times New Roman" w:hAnsi="Times New Roman" w:cs="Times New Roman"/>
          <w:sz w:val="24"/>
          <w:szCs w:val="24"/>
        </w:rPr>
        <w:t xml:space="preserve"> However,</w:t>
      </w:r>
      <w:r w:rsidR="0007467C" w:rsidRPr="007721FB">
        <w:rPr>
          <w:rFonts w:ascii="Times New Roman" w:hAnsi="Times New Roman" w:cs="Times New Roman"/>
          <w:sz w:val="24"/>
          <w:szCs w:val="24"/>
        </w:rPr>
        <w:t xml:space="preserve"> it was</w:t>
      </w:r>
      <w:r w:rsidR="000B2C7B" w:rsidRPr="007721FB">
        <w:rPr>
          <w:rFonts w:ascii="Times New Roman" w:hAnsi="Times New Roman" w:cs="Times New Roman"/>
          <w:sz w:val="24"/>
          <w:szCs w:val="24"/>
        </w:rPr>
        <w:t xml:space="preserve"> also</w:t>
      </w:r>
      <w:r w:rsidR="0007467C" w:rsidRPr="007721FB">
        <w:rPr>
          <w:rFonts w:ascii="Times New Roman" w:hAnsi="Times New Roman" w:cs="Times New Roman"/>
          <w:sz w:val="24"/>
          <w:szCs w:val="24"/>
        </w:rPr>
        <w:t xml:space="preserve"> not clear </w:t>
      </w:r>
      <w:r w:rsidR="00914AA4" w:rsidRPr="007721FB">
        <w:rPr>
          <w:rFonts w:ascii="Times New Roman" w:hAnsi="Times New Roman" w:cs="Times New Roman"/>
          <w:sz w:val="24"/>
          <w:szCs w:val="24"/>
        </w:rPr>
        <w:t xml:space="preserve">if </w:t>
      </w:r>
      <w:r w:rsidR="0007467C" w:rsidRPr="007721FB">
        <w:rPr>
          <w:rFonts w:ascii="Times New Roman" w:hAnsi="Times New Roman" w:cs="Times New Roman"/>
          <w:sz w:val="24"/>
          <w:szCs w:val="24"/>
        </w:rPr>
        <w:t>the 250 nm nanoparticles were not efficiently accumulated</w:t>
      </w:r>
      <w:r w:rsidR="000B2C7B" w:rsidRPr="007721FB">
        <w:rPr>
          <w:rFonts w:ascii="Times New Roman" w:hAnsi="Times New Roman" w:cs="Times New Roman"/>
          <w:sz w:val="24"/>
          <w:szCs w:val="24"/>
        </w:rPr>
        <w:t xml:space="preserve"> in bone</w:t>
      </w:r>
      <w:r w:rsidR="0007467C" w:rsidRPr="007721FB">
        <w:rPr>
          <w:rFonts w:ascii="Times New Roman" w:hAnsi="Times New Roman" w:cs="Times New Roman"/>
          <w:sz w:val="24"/>
          <w:szCs w:val="24"/>
        </w:rPr>
        <w:t xml:space="preserve"> due to size limitations</w:t>
      </w:r>
      <w:r w:rsidR="00500376" w:rsidRPr="007721FB">
        <w:rPr>
          <w:rFonts w:ascii="Times New Roman" w:hAnsi="Times New Roman" w:cs="Times New Roman"/>
          <w:sz w:val="24"/>
          <w:szCs w:val="24"/>
        </w:rPr>
        <w:t xml:space="preserve"> of the nanocarrier</w:t>
      </w:r>
      <w:r w:rsidR="0007467C" w:rsidRPr="007721FB">
        <w:rPr>
          <w:rFonts w:ascii="Times New Roman" w:hAnsi="Times New Roman" w:cs="Times New Roman"/>
          <w:sz w:val="24"/>
          <w:szCs w:val="24"/>
        </w:rPr>
        <w:t xml:space="preserve"> or due to increase</w:t>
      </w:r>
      <w:r w:rsidR="00500376" w:rsidRPr="007721FB">
        <w:rPr>
          <w:rFonts w:ascii="Times New Roman" w:hAnsi="Times New Roman" w:cs="Times New Roman"/>
          <w:sz w:val="24"/>
          <w:szCs w:val="24"/>
        </w:rPr>
        <w:t>d</w:t>
      </w:r>
      <w:r w:rsidR="0007467C" w:rsidRPr="007721FB">
        <w:rPr>
          <w:rFonts w:ascii="Times New Roman" w:hAnsi="Times New Roman" w:cs="Times New Roman"/>
          <w:sz w:val="24"/>
          <w:szCs w:val="24"/>
        </w:rPr>
        <w:t xml:space="preserve"> </w:t>
      </w:r>
      <w:r w:rsidR="00D24ACE" w:rsidRPr="007721FB">
        <w:rPr>
          <w:rFonts w:ascii="Times New Roman" w:hAnsi="Times New Roman" w:cs="Times New Roman"/>
          <w:sz w:val="24"/>
          <w:szCs w:val="24"/>
        </w:rPr>
        <w:t>RES</w:t>
      </w:r>
      <w:r w:rsidR="0007467C" w:rsidRPr="007721FB">
        <w:rPr>
          <w:rFonts w:ascii="Times New Roman" w:hAnsi="Times New Roman" w:cs="Times New Roman"/>
          <w:sz w:val="24"/>
          <w:szCs w:val="24"/>
        </w:rPr>
        <w:t xml:space="preserve"> uptake in spleen and </w:t>
      </w:r>
      <w:r w:rsidR="0007467C" w:rsidRPr="007721FB">
        <w:rPr>
          <w:rFonts w:ascii="Times New Roman" w:hAnsi="Times New Roman" w:cs="Times New Roman"/>
          <w:sz w:val="24"/>
          <w:szCs w:val="24"/>
        </w:rPr>
        <w:lastRenderedPageBreak/>
        <w:t>liver, as these particles had less density of stealth polymer coating</w:t>
      </w:r>
      <w:r w:rsidR="00500376" w:rsidRPr="007721FB">
        <w:rPr>
          <w:rFonts w:ascii="Times New Roman" w:hAnsi="Times New Roman" w:cs="Times New Roman"/>
          <w:sz w:val="24"/>
          <w:szCs w:val="24"/>
        </w:rPr>
        <w:t xml:space="preserve"> when compared to smaller formulations</w:t>
      </w:r>
      <w:r w:rsidR="0007467C" w:rsidRPr="007721FB">
        <w:rPr>
          <w:rFonts w:ascii="Times New Roman" w:hAnsi="Times New Roman" w:cs="Times New Roman"/>
          <w:sz w:val="24"/>
          <w:szCs w:val="24"/>
        </w:rPr>
        <w:t xml:space="preserve">. </w:t>
      </w:r>
      <w:r w:rsidR="009C2AB2" w:rsidRPr="007721FB">
        <w:rPr>
          <w:rFonts w:ascii="Times New Roman" w:hAnsi="Times New Roman" w:cs="Times New Roman"/>
          <w:sz w:val="24"/>
          <w:szCs w:val="24"/>
        </w:rPr>
        <w:t>B</w:t>
      </w:r>
      <w:r w:rsidR="003F020F" w:rsidRPr="007721FB">
        <w:rPr>
          <w:rFonts w:ascii="Times New Roman" w:hAnsi="Times New Roman" w:cs="Times New Roman"/>
          <w:sz w:val="24"/>
          <w:szCs w:val="24"/>
        </w:rPr>
        <w:t xml:space="preserve">one marrow targeting by these poloxamer 407-coated nanoparticles is a phenomenon reportedly </w:t>
      </w:r>
      <w:r w:rsidR="00914AA4" w:rsidRPr="007721FB">
        <w:rPr>
          <w:rFonts w:ascii="Times New Roman" w:hAnsi="Times New Roman" w:cs="Times New Roman"/>
          <w:sz w:val="24"/>
          <w:szCs w:val="24"/>
        </w:rPr>
        <w:t>only in</w:t>
      </w:r>
      <w:r w:rsidR="003F020F" w:rsidRPr="007721FB">
        <w:rPr>
          <w:rFonts w:ascii="Times New Roman" w:hAnsi="Times New Roman" w:cs="Times New Roman"/>
          <w:sz w:val="24"/>
          <w:szCs w:val="24"/>
        </w:rPr>
        <w:t xml:space="preserve"> rabbit</w:t>
      </w:r>
      <w:r w:rsidR="009C2AB2" w:rsidRPr="007721FB">
        <w:rPr>
          <w:rFonts w:ascii="Times New Roman" w:hAnsi="Times New Roman" w:cs="Times New Roman"/>
          <w:sz w:val="24"/>
          <w:szCs w:val="24"/>
        </w:rPr>
        <w:t>-based animal</w:t>
      </w:r>
      <w:r w:rsidR="003F020F" w:rsidRPr="007721FB">
        <w:rPr>
          <w:rFonts w:ascii="Times New Roman" w:hAnsi="Times New Roman" w:cs="Times New Roman"/>
          <w:sz w:val="24"/>
          <w:szCs w:val="24"/>
        </w:rPr>
        <w:t xml:space="preserve"> model</w:t>
      </w:r>
      <w:r w:rsidR="009C2AB2" w:rsidRPr="007721FB">
        <w:rPr>
          <w:rFonts w:ascii="Times New Roman" w:hAnsi="Times New Roman" w:cs="Times New Roman"/>
          <w:sz w:val="24"/>
          <w:szCs w:val="24"/>
        </w:rPr>
        <w:t>s</w:t>
      </w:r>
      <w:r w:rsidR="00D24ACE" w:rsidRPr="007721FB">
        <w:rPr>
          <w:rFonts w:ascii="Times New Roman" w:hAnsi="Times New Roman" w:cs="Times New Roman"/>
          <w:sz w:val="24"/>
          <w:szCs w:val="24"/>
        </w:rPr>
        <w:t xml:space="preserve"> </w:t>
      </w:r>
      <w:r w:rsidR="00336AAA"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"author" : [ { "dropping-particle" : "", "family" : "Moghimi", "given" : "S M", "non-dropping-particle" : "", "parse-names" : false, "suffix" : "" } ], "container-title" : "Advanced Drug Delivery Reviews", "id" : "ITEM-1", "issue" : "1", "issued" : { "date-parts" : [ [ "1995" ] ] }, "page" : "61-73", "title" : "Exploiting bone marrow microvascular structure for drug delivery and future therapies", "type" : "article-journal", "volume" : "17" }, "uris" : [ "http://www.mendeley.com/documents/?uuid=3950ee20-b984-47ad-80b5-ff0b29f20c32", "http://www.mendeley.com/documents/?uuid=098930d1-26c5-43fc-9599-b3f12f659b17" ] } ], "mendeley" : { "formattedCitation" : "[38]", "plainTextFormattedCitation" : "[38]", "previouslyFormattedCitation" : "[38]" }, "properties" : { "noteIndex" : 0 }, "schema" : "https://github.com/citation-style-language/schema/raw/master/csl-citation.json" }</w:instrText>
      </w:r>
      <w:r w:rsidR="00336AAA"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[38]</w:t>
      </w:r>
      <w:r w:rsidR="00336AAA" w:rsidRPr="007721FB">
        <w:rPr>
          <w:rFonts w:ascii="Times New Roman" w:hAnsi="Times New Roman" w:cs="Times New Roman"/>
          <w:sz w:val="24"/>
          <w:szCs w:val="24"/>
        </w:rPr>
        <w:fldChar w:fldCharType="end"/>
      </w:r>
      <w:r w:rsidR="00D24ACE" w:rsidRPr="007721FB">
        <w:rPr>
          <w:rFonts w:ascii="Times New Roman" w:hAnsi="Times New Roman" w:cs="Times New Roman"/>
          <w:sz w:val="24"/>
          <w:szCs w:val="24"/>
        </w:rPr>
        <w:t>.</w:t>
      </w:r>
      <w:r w:rsidR="003F020F" w:rsidRPr="007721FB">
        <w:rPr>
          <w:rFonts w:ascii="Times New Roman" w:hAnsi="Times New Roman" w:cs="Times New Roman"/>
          <w:sz w:val="24"/>
          <w:szCs w:val="24"/>
        </w:rPr>
        <w:t xml:space="preserve"> </w:t>
      </w:r>
      <w:r w:rsidR="007F0A3C" w:rsidRPr="007721FB">
        <w:rPr>
          <w:rFonts w:ascii="Times New Roman" w:hAnsi="Times New Roman" w:cs="Times New Roman"/>
          <w:sz w:val="24"/>
          <w:szCs w:val="24"/>
        </w:rPr>
        <w:t>T</w:t>
      </w:r>
      <w:r w:rsidR="00A643B9" w:rsidRPr="007721FB">
        <w:rPr>
          <w:rFonts w:ascii="Times New Roman" w:hAnsi="Times New Roman" w:cs="Times New Roman"/>
          <w:sz w:val="24"/>
          <w:szCs w:val="24"/>
        </w:rPr>
        <w:t>his observation is not related to the</w:t>
      </w:r>
      <w:r w:rsidR="00922D95" w:rsidRPr="007721FB">
        <w:rPr>
          <w:rFonts w:ascii="Times New Roman" w:hAnsi="Times New Roman" w:cs="Times New Roman"/>
          <w:sz w:val="24"/>
          <w:szCs w:val="24"/>
        </w:rPr>
        <w:t xml:space="preserve"> exclusive perisinal macrophage</w:t>
      </w:r>
      <w:r w:rsidR="00A643B9" w:rsidRPr="007721FB">
        <w:rPr>
          <w:rFonts w:ascii="Times New Roman" w:hAnsi="Times New Roman" w:cs="Times New Roman"/>
          <w:sz w:val="24"/>
          <w:szCs w:val="24"/>
        </w:rPr>
        <w:t xml:space="preserve"> </w:t>
      </w:r>
      <w:r w:rsidR="00922D95" w:rsidRPr="007721FB">
        <w:rPr>
          <w:rFonts w:ascii="Times New Roman" w:hAnsi="Times New Roman" w:cs="Times New Roman"/>
          <w:sz w:val="24"/>
          <w:szCs w:val="24"/>
        </w:rPr>
        <w:t xml:space="preserve">population </w:t>
      </w:r>
      <w:r w:rsidR="00A643B9" w:rsidRPr="007721FB">
        <w:rPr>
          <w:rFonts w:ascii="Times New Roman" w:hAnsi="Times New Roman" w:cs="Times New Roman"/>
          <w:sz w:val="24"/>
          <w:szCs w:val="24"/>
        </w:rPr>
        <w:t xml:space="preserve">present in rabbit marrow, because the authors claimed that these macrophages were unable to interact with the poloxamer particles, perhaps due to the steric barrier </w:t>
      </w:r>
      <w:r w:rsidR="00922D95" w:rsidRPr="007721FB">
        <w:rPr>
          <w:rFonts w:ascii="Times New Roman" w:hAnsi="Times New Roman" w:cs="Times New Roman"/>
          <w:sz w:val="24"/>
          <w:szCs w:val="24"/>
        </w:rPr>
        <w:t xml:space="preserve">provided </w:t>
      </w:r>
      <w:r w:rsidR="00A643B9" w:rsidRPr="007721FB">
        <w:rPr>
          <w:rFonts w:ascii="Times New Roman" w:hAnsi="Times New Roman" w:cs="Times New Roman"/>
          <w:sz w:val="24"/>
          <w:szCs w:val="24"/>
        </w:rPr>
        <w:t xml:space="preserve">by the hydrophilic moieties of poloxamer-407. </w:t>
      </w:r>
      <w:r w:rsidR="003F020F" w:rsidRPr="007721FB">
        <w:rPr>
          <w:rFonts w:ascii="Times New Roman" w:hAnsi="Times New Roman" w:cs="Times New Roman"/>
          <w:sz w:val="24"/>
          <w:szCs w:val="24"/>
        </w:rPr>
        <w:t>Not only does this emphasize</w:t>
      </w:r>
      <w:r w:rsidR="009C2AB2" w:rsidRPr="007721FB">
        <w:rPr>
          <w:rFonts w:ascii="Times New Roman" w:hAnsi="Times New Roman" w:cs="Times New Roman"/>
          <w:sz w:val="24"/>
          <w:szCs w:val="24"/>
        </w:rPr>
        <w:t>s</w:t>
      </w:r>
      <w:r w:rsidR="003F020F" w:rsidRPr="007721FB">
        <w:rPr>
          <w:rFonts w:ascii="Times New Roman" w:hAnsi="Times New Roman" w:cs="Times New Roman"/>
          <w:sz w:val="24"/>
          <w:szCs w:val="24"/>
        </w:rPr>
        <w:t xml:space="preserve"> the key role of nanocarrier composition in marrow uptake, but </w:t>
      </w:r>
      <w:r w:rsidR="009C2AB2" w:rsidRPr="007721FB">
        <w:rPr>
          <w:rFonts w:ascii="Times New Roman" w:hAnsi="Times New Roman" w:cs="Times New Roman"/>
          <w:sz w:val="24"/>
        </w:rPr>
        <w:t xml:space="preserve">reinforces </w:t>
      </w:r>
      <w:r w:rsidR="003F020F" w:rsidRPr="007721FB">
        <w:rPr>
          <w:rFonts w:ascii="Times New Roman" w:hAnsi="Times New Roman" w:cs="Times New Roman"/>
          <w:sz w:val="24"/>
        </w:rPr>
        <w:t>the d</w:t>
      </w:r>
      <w:r w:rsidR="00962F2B" w:rsidRPr="007721FB">
        <w:rPr>
          <w:rFonts w:ascii="Times New Roman" w:hAnsi="Times New Roman" w:cs="Times New Roman"/>
          <w:sz w:val="24"/>
        </w:rPr>
        <w:t>ifferences</w:t>
      </w:r>
      <w:r w:rsidR="003F020F" w:rsidRPr="007721FB">
        <w:rPr>
          <w:rFonts w:ascii="Times New Roman" w:hAnsi="Times New Roman" w:cs="Times New Roman"/>
          <w:sz w:val="24"/>
        </w:rPr>
        <w:t xml:space="preserve"> between different animal models.</w:t>
      </w:r>
      <w:r w:rsidR="00336AAA" w:rsidRPr="007721FB">
        <w:rPr>
          <w:rFonts w:ascii="Times New Roman" w:hAnsi="Times New Roman" w:cs="Times New Roman"/>
          <w:sz w:val="24"/>
        </w:rPr>
        <w:t xml:space="preserve"> </w:t>
      </w:r>
      <w:r w:rsidR="009C2AB2" w:rsidRPr="007721FB">
        <w:rPr>
          <w:rFonts w:ascii="Times New Roman" w:hAnsi="Times New Roman" w:cs="Times New Roman"/>
          <w:sz w:val="24"/>
        </w:rPr>
        <w:t>Conversely</w:t>
      </w:r>
      <w:r w:rsidR="00696BAA" w:rsidRPr="007721FB">
        <w:rPr>
          <w:rFonts w:ascii="Times New Roman" w:hAnsi="Times New Roman" w:cs="Times New Roman"/>
          <w:sz w:val="24"/>
        </w:rPr>
        <w:t>, non-targeted liposomal formulations of several sizes (136-318 nm) were unable to significantly accumulate in rabbit bone marrow in a biodistribution study following intravenous administration</w:t>
      </w:r>
      <w:r w:rsidR="007F0A3C" w:rsidRPr="007721FB">
        <w:rPr>
          <w:rFonts w:ascii="Times New Roman" w:hAnsi="Times New Roman" w:cs="Times New Roman"/>
          <w:sz w:val="24"/>
        </w:rPr>
        <w:t xml:space="preserve"> </w:t>
      </w:r>
      <w:r w:rsidR="00696BAA" w:rsidRPr="007721FB">
        <w:rPr>
          <w:rFonts w:ascii="Times New Roman" w:hAnsi="Times New Roman" w:cs="Times New Roman"/>
          <w:sz w:val="24"/>
        </w:rPr>
        <w:fldChar w:fldCharType="begin" w:fldLock="1"/>
      </w:r>
      <w:r w:rsidR="00B31E12" w:rsidRPr="007721FB">
        <w:rPr>
          <w:rFonts w:ascii="Times New Roman" w:hAnsi="Times New Roman" w:cs="Times New Roman"/>
          <w:sz w:val="24"/>
        </w:rPr>
        <w:instrText>ADDIN CSL_CITATION { "citationItems" : [ { "id" : "ITEM-1", "itemData" : { "DOI" : "10.1517/17425247.2011.553218", "ISBN" : "2122633255", "ISSN" : "1744-7593", "PMID" : "21275831", "abstract" : "INTRODUCTION: Bone marrow-targeted drug delivery systems appear to offer a promising strategy for advancing diagnostic, protective and/or therapeutic medicine for the hematopoietic system. Liposome technology can provide a drug delivery system with high bone marrow targeting that is mediated by specific phagocytosis in bone marrow.\\n\\nAREA COVERED: This review focuses on a bone marrow-specific liposome formulation labeled with technetium-99 m. Interspecies differences in bone marrow distribution of the bone marrow-targeted formulation are emphasized. This review provides a liposome technology to target bone marrow. In addition, the selection of proper species for the investigation of bone marrow targeting is suggested.\\n\\nEXPERT OPINION: It can be speculated that the bone marrow macrophages have a role in the delivery of lipids to the bone marrow as a source of energy and for membrane biosynthesis or in the delivery of fat-soluble vitamins for hematopoiesis. This homeostatic system offers a potent pathway to deliver drugs selectively into bone marrow tissues from blood. High selectivity of the present bone marrow-targeted liposome formulation for bone marrow suggests the presence of an active and specific mechanism, but specific factors affecting the uptake of the bone marrow mononuclear phagocyte system are still unknown. Further investigation of this mechanism will increase our understanding of factors required for effective transport of agents to the bone marrow, and may provide an efficient system for bone marrow delivery for therapeutic purposes.", "author" : [ { "dropping-particle" : "", "family" : "Sou", "given" : "Keitaro", "non-dropping-particle" : "", "parse-names" : false, "suffix" : "" }, { "dropping-particle" : "", "family" : "Goins", "given" : "Beth", "non-dropping-particle" : "", "parse-names" : false, "suffix" : "" }, { "dropping-particle" : "", "family" : "Oyajobi", "given" : "Babatunde O", "non-dropping-particle" : "", "parse-names" : false, "suffix" : "" }, { "dropping-particle" : "", "family" : "Travi", "given" : "Bruno L", "non-dropping-particle" : "", "parse-names" : false, "suffix" : "" }, { "dropping-particle" : "", "family" : "Phillips", "given" : "William T", "non-dropping-particle" : "", "parse-names" : false, "suffix" : "" } ], "container-title" : "Expert opinion on drug delivery", "id" : "ITEM-1", "issue" : "3", "issued" : { "date-parts" : [ [ "2011" ] ] }, "page" : "317-28", "title" : "Bone marrow-targeted liposomal carriers.", "type" : "article-journal", "volume" : "8" }, "uris" : [ "http://www.mendeley.com/documents/?uuid=dbdca005-629a-42a9-90e5-1e86e53fa85f", "http://www.mendeley.com/documents/?uuid=9e917528-40b6-4a51-921c-87babfc7f22f" ] } ], "mendeley" : { "formattedCitation" : "[52]", "plainTextFormattedCitation" : "[52]", "previouslyFormattedCitation" : "[52]" }, "properties" : { "noteIndex" : 0 }, "schema" : "https://github.com/citation-style-language/schema/raw/master/csl-citation.json" }</w:instrText>
      </w:r>
      <w:r w:rsidR="00696BAA" w:rsidRPr="007721FB">
        <w:rPr>
          <w:rFonts w:ascii="Times New Roman" w:hAnsi="Times New Roman" w:cs="Times New Roman"/>
          <w:sz w:val="24"/>
        </w:rPr>
        <w:fldChar w:fldCharType="separate"/>
      </w:r>
      <w:r w:rsidR="00B31E12" w:rsidRPr="007721FB">
        <w:rPr>
          <w:rFonts w:ascii="Times New Roman" w:hAnsi="Times New Roman" w:cs="Times New Roman"/>
          <w:noProof/>
          <w:sz w:val="24"/>
        </w:rPr>
        <w:t>[52]</w:t>
      </w:r>
      <w:r w:rsidR="00696BAA" w:rsidRPr="007721FB">
        <w:rPr>
          <w:rFonts w:ascii="Times New Roman" w:hAnsi="Times New Roman" w:cs="Times New Roman"/>
          <w:sz w:val="24"/>
        </w:rPr>
        <w:fldChar w:fldCharType="end"/>
      </w:r>
      <w:r w:rsidR="007F0A3C" w:rsidRPr="007721FB">
        <w:rPr>
          <w:rFonts w:ascii="Times New Roman" w:hAnsi="Times New Roman" w:cs="Times New Roman"/>
          <w:sz w:val="24"/>
        </w:rPr>
        <w:t>.</w:t>
      </w:r>
      <w:r w:rsidR="00A0706B" w:rsidRPr="007721FB">
        <w:rPr>
          <w:rFonts w:ascii="Times New Roman" w:hAnsi="Times New Roman" w:cs="Times New Roman"/>
          <w:sz w:val="24"/>
        </w:rPr>
        <w:t xml:space="preserve"> </w:t>
      </w:r>
      <w:r w:rsidR="009C2AB2" w:rsidRPr="007721FB">
        <w:rPr>
          <w:rFonts w:ascii="Times New Roman" w:hAnsi="Times New Roman" w:cs="Times New Roman"/>
          <w:sz w:val="24"/>
        </w:rPr>
        <w:t>A</w:t>
      </w:r>
      <w:r w:rsidR="00962F2B" w:rsidRPr="007721FB">
        <w:rPr>
          <w:rFonts w:ascii="Times New Roman" w:hAnsi="Times New Roman" w:cs="Times New Roman"/>
          <w:sz w:val="24"/>
        </w:rPr>
        <w:t>nother</w:t>
      </w:r>
      <w:r w:rsidR="00696BAA" w:rsidRPr="007721FB">
        <w:rPr>
          <w:rFonts w:ascii="Times New Roman" w:hAnsi="Times New Roman" w:cs="Times New Roman"/>
          <w:sz w:val="24"/>
        </w:rPr>
        <w:t xml:space="preserve"> study</w:t>
      </w:r>
      <w:r w:rsidR="00962F2B" w:rsidRPr="007721FB">
        <w:rPr>
          <w:rFonts w:ascii="Times New Roman" w:hAnsi="Times New Roman" w:cs="Times New Roman"/>
          <w:sz w:val="24"/>
        </w:rPr>
        <w:t xml:space="preserve"> performed</w:t>
      </w:r>
      <w:r w:rsidR="00696BAA" w:rsidRPr="007721FB">
        <w:rPr>
          <w:rFonts w:ascii="Times New Roman" w:hAnsi="Times New Roman" w:cs="Times New Roman"/>
          <w:sz w:val="24"/>
        </w:rPr>
        <w:t xml:space="preserve"> by Mann </w:t>
      </w:r>
      <w:r w:rsidR="00076ABB" w:rsidRPr="007721FB">
        <w:rPr>
          <w:rFonts w:ascii="Times New Roman" w:hAnsi="Times New Roman" w:cs="Times New Roman"/>
          <w:sz w:val="24"/>
        </w:rPr>
        <w:t>and colleagues</w:t>
      </w:r>
      <w:r w:rsidR="00F25564" w:rsidRPr="007721FB">
        <w:rPr>
          <w:rFonts w:ascii="Times New Roman" w:hAnsi="Times New Roman" w:cs="Times New Roman"/>
          <w:sz w:val="24"/>
        </w:rPr>
        <w:t xml:space="preserve"> </w:t>
      </w:r>
      <w:r w:rsidR="00696BAA" w:rsidRPr="007721FB">
        <w:rPr>
          <w:rFonts w:ascii="Times New Roman" w:hAnsi="Times New Roman" w:cs="Times New Roman"/>
          <w:sz w:val="24"/>
          <w:szCs w:val="24"/>
        </w:rPr>
        <w:t>exploited the unique expression of E-selectin in bone marrow endothelium</w:t>
      </w:r>
      <w:r w:rsidR="00076ABB" w:rsidRPr="007721FB">
        <w:rPr>
          <w:rFonts w:ascii="Times New Roman" w:hAnsi="Times New Roman" w:cs="Times New Roman"/>
          <w:sz w:val="24"/>
          <w:szCs w:val="24"/>
        </w:rPr>
        <w:t xml:space="preserve"> by using</w:t>
      </w:r>
      <w:r w:rsidR="00696BAA" w:rsidRPr="007721FB">
        <w:rPr>
          <w:rFonts w:ascii="Times New Roman" w:hAnsi="Times New Roman" w:cs="Times New Roman"/>
          <w:sz w:val="24"/>
          <w:szCs w:val="24"/>
        </w:rPr>
        <w:t xml:space="preserve"> nanoparticle-loaded</w:t>
      </w:r>
      <w:r w:rsidR="00076ABB" w:rsidRPr="007721FB">
        <w:rPr>
          <w:rFonts w:ascii="Times New Roman" w:hAnsi="Times New Roman" w:cs="Times New Roman"/>
          <w:sz w:val="24"/>
          <w:szCs w:val="24"/>
        </w:rPr>
        <w:t>, E-selectin functionalized,</w:t>
      </w:r>
      <w:r w:rsidR="00696BAA" w:rsidRPr="007721FB">
        <w:rPr>
          <w:rFonts w:ascii="Times New Roman" w:hAnsi="Times New Roman" w:cs="Times New Roman"/>
          <w:sz w:val="24"/>
          <w:szCs w:val="24"/>
        </w:rPr>
        <w:t xml:space="preserve"> </w:t>
      </w:r>
      <w:r w:rsidR="00076ABB" w:rsidRPr="007721FB">
        <w:rPr>
          <w:rFonts w:ascii="Times New Roman" w:hAnsi="Times New Roman" w:cs="Times New Roman"/>
          <w:sz w:val="24"/>
          <w:szCs w:val="24"/>
        </w:rPr>
        <w:t xml:space="preserve">porous silica </w:t>
      </w:r>
      <w:r w:rsidR="00696BAA" w:rsidRPr="007721FB">
        <w:rPr>
          <w:rFonts w:ascii="Times New Roman" w:hAnsi="Times New Roman" w:cs="Times New Roman"/>
          <w:sz w:val="24"/>
          <w:szCs w:val="24"/>
        </w:rPr>
        <w:t>microcarriers administrated intravenously</w:t>
      </w:r>
      <w:r w:rsidR="008404F8" w:rsidRPr="007721FB">
        <w:rPr>
          <w:rFonts w:ascii="Times New Roman" w:hAnsi="Times New Roman" w:cs="Times New Roman"/>
          <w:sz w:val="24"/>
          <w:szCs w:val="24"/>
        </w:rPr>
        <w:t xml:space="preserve"> in mice</w:t>
      </w:r>
      <w:r w:rsidR="00076ABB" w:rsidRPr="007721FB">
        <w:rPr>
          <w:rFonts w:ascii="Times New Roman" w:hAnsi="Times New Roman" w:cs="Times New Roman"/>
          <w:sz w:val="24"/>
          <w:szCs w:val="24"/>
        </w:rPr>
        <w:t xml:space="preserve"> </w:t>
      </w:r>
      <w:r w:rsidR="00696BAA"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"DOI" : "10.1002/adma.201101541", "ISBN" : "0935-9648", "ISSN" : "09359648", "PMID" : "21833996", "abstract" : "E-Selectin-Targeted Porous Silicon Particle for Nanoparticle Delivery to the Bone Marrow A multifunctional drug delivery system is developed comprising biodegradable porous silicon microparticles that act as motherships to ferry different types of imaging and therapeutic nanoparticles loaded within their porous structure. An E-selectin thioaptamer ligand is used to actively target this delivery system to the bone marrow vasculature where the payload is released as the porous silicon underwent degradation under physiological conditions.", "author" : [ { "dropping-particle" : "", "family" : "Mann", "given" : "Aman P.", "non-dropping-particle" : "", "parse-names" : false, "suffix" : "" }, { "dropping-particle" : "", "family" : "Tanaka", "given" : "Takemi", "non-dropping-particle" : "", "parse-names" : false, "suffix" : "" }, { "dropping-particle" : "", "family" : "Somasunderam", "given" : "Anoma", "non-dropping-particle" : "", "parse-names" : false, "suffix" : "" }, { "dropping-particle" : "", "family" : "Liu", "given" : "Xuewu", "non-dropping-particle" : "", "parse-names" : false, "suffix" : "" }, { "dropping-particle" : "", "family" : "Gorenstein", "given" : "David G.", "non-dropping-particle" : "", "parse-names" : false, "suffix" : "" }, { "dropping-particle" : "", "family" : "Ferrari", "given" : "Mauro", "non-dropping-particle" : "", "parse-names" : false, "suffix" : "" } ], "container-title" : "Advanced Materials", "id" : "ITEM-1", "issue" : "36", "issued" : { "date-parts" : [ [ "2011" ] ] }, "page" : "278-282", "title" : "E-selectin-targeted porous silicon particle for nanoparticle delivery to the bone marrow", "type" : "article-journal", "volume" : "23" }, "uris" : [ "http://www.mendeley.com/documents/?uuid=b78b6b98-4acf-4450-8c91-9ea7e15fc16d", "http://www.mendeley.com/documents/?uuid=46c3c4f7-ff81-40b6-bee7-07ac5e04a61a" ] } ], "mendeley" : { "formattedCitation" : "[54]", "plainTextFormattedCitation" : "[54]", "previouslyFormattedCitation" : "[54]" }, "properties" : { "noteIndex" : 0 }, "schema" : "https://github.com/citation-style-language/schema/raw/master/csl-citation.json" }</w:instrText>
      </w:r>
      <w:r w:rsidR="00696BAA"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[54]</w:t>
      </w:r>
      <w:r w:rsidR="00696BAA" w:rsidRPr="007721FB">
        <w:rPr>
          <w:rFonts w:ascii="Times New Roman" w:hAnsi="Times New Roman" w:cs="Times New Roman"/>
          <w:sz w:val="24"/>
          <w:szCs w:val="24"/>
        </w:rPr>
        <w:fldChar w:fldCharType="end"/>
      </w:r>
      <w:r w:rsidR="00076ABB" w:rsidRPr="007721FB">
        <w:rPr>
          <w:rFonts w:ascii="Times New Roman" w:hAnsi="Times New Roman" w:cs="Times New Roman"/>
          <w:sz w:val="24"/>
          <w:szCs w:val="24"/>
        </w:rPr>
        <w:t>.</w:t>
      </w:r>
      <w:r w:rsidR="00696BAA" w:rsidRPr="007721FB">
        <w:rPr>
          <w:rFonts w:ascii="Times New Roman" w:hAnsi="Times New Roman" w:cs="Times New Roman"/>
          <w:sz w:val="24"/>
          <w:szCs w:val="24"/>
        </w:rPr>
        <w:t xml:space="preserve"> </w:t>
      </w:r>
      <w:r w:rsidR="009C2AB2" w:rsidRPr="007721FB">
        <w:rPr>
          <w:rFonts w:ascii="Times New Roman" w:hAnsi="Times New Roman" w:cs="Times New Roman"/>
          <w:sz w:val="24"/>
          <w:szCs w:val="24"/>
        </w:rPr>
        <w:t>Remarkably, t</w:t>
      </w:r>
      <w:r w:rsidR="007F0A3C" w:rsidRPr="007721FB">
        <w:rPr>
          <w:rFonts w:ascii="Times New Roman" w:hAnsi="Times New Roman" w:cs="Times New Roman"/>
          <w:sz w:val="24"/>
          <w:szCs w:val="24"/>
        </w:rPr>
        <w:t xml:space="preserve">he targeted </w:t>
      </w:r>
      <w:r w:rsidR="00076ABB" w:rsidRPr="007721FB">
        <w:rPr>
          <w:rFonts w:ascii="Times New Roman" w:hAnsi="Times New Roman" w:cs="Times New Roman"/>
          <w:sz w:val="24"/>
          <w:szCs w:val="24"/>
        </w:rPr>
        <w:t>microparticles</w:t>
      </w:r>
      <w:r w:rsidR="00696BAA" w:rsidRPr="007721FB">
        <w:rPr>
          <w:rFonts w:ascii="Times New Roman" w:hAnsi="Times New Roman" w:cs="Times New Roman"/>
          <w:sz w:val="24"/>
          <w:szCs w:val="24"/>
        </w:rPr>
        <w:t xml:space="preserve"> (</w:t>
      </w:r>
      <w:r w:rsidR="007F0A3C" w:rsidRPr="007721FB">
        <w:rPr>
          <w:rFonts w:ascii="Times New Roman" w:hAnsi="Times New Roman" w:cs="Times New Roman"/>
          <w:sz w:val="24"/>
          <w:szCs w:val="24"/>
        </w:rPr>
        <w:t>~</w:t>
      </w:r>
      <w:r w:rsidR="00696BAA" w:rsidRPr="007721FB">
        <w:rPr>
          <w:rFonts w:ascii="Times New Roman" w:hAnsi="Times New Roman" w:cs="Times New Roman"/>
          <w:sz w:val="24"/>
          <w:szCs w:val="24"/>
        </w:rPr>
        <w:t xml:space="preserve">1.6 µm) were capable of </w:t>
      </w:r>
      <w:r w:rsidR="007F0A3C" w:rsidRPr="007721FB">
        <w:rPr>
          <w:rFonts w:ascii="Times New Roman" w:hAnsi="Times New Roman" w:cs="Times New Roman"/>
          <w:sz w:val="24"/>
          <w:szCs w:val="24"/>
        </w:rPr>
        <w:t xml:space="preserve">delivering </w:t>
      </w:r>
      <w:r w:rsidR="00696BAA" w:rsidRPr="007721FB">
        <w:rPr>
          <w:rFonts w:ascii="Times New Roman" w:hAnsi="Times New Roman" w:cs="Times New Roman"/>
          <w:sz w:val="24"/>
          <w:szCs w:val="24"/>
        </w:rPr>
        <w:t>paclitaxel-loaded nanoliposomes (25-35 nm) within bone marrow endothelium, as demonstrated by fluorescence microscop</w:t>
      </w:r>
      <w:r w:rsidR="00076ABB" w:rsidRPr="007721FB">
        <w:rPr>
          <w:rFonts w:ascii="Times New Roman" w:hAnsi="Times New Roman" w:cs="Times New Roman"/>
          <w:sz w:val="24"/>
          <w:szCs w:val="24"/>
        </w:rPr>
        <w:t>y</w:t>
      </w:r>
      <w:r w:rsidR="00696BAA" w:rsidRPr="007721FB">
        <w:rPr>
          <w:rFonts w:ascii="Times New Roman" w:hAnsi="Times New Roman" w:cs="Times New Roman"/>
          <w:sz w:val="24"/>
          <w:szCs w:val="24"/>
        </w:rPr>
        <w:t xml:space="preserve"> analysis</w:t>
      </w:r>
      <w:r w:rsidR="00432FA8" w:rsidRPr="007721FB">
        <w:rPr>
          <w:rFonts w:ascii="Times New Roman" w:hAnsi="Times New Roman" w:cs="Times New Roman"/>
          <w:sz w:val="24"/>
          <w:szCs w:val="24"/>
        </w:rPr>
        <w:t xml:space="preserve"> </w:t>
      </w:r>
      <w:r w:rsidR="00967519"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"DOI" : "10.1002/adma.201101541", "ISBN" : "0935-9648", "ISSN" : "09359648", "PMID" : "21833996", "abstract" : "E-Selectin-Targeted Porous Silicon Particle for Nanoparticle Delivery to the Bone Marrow A multifunctional drug delivery system is developed comprising biodegradable porous silicon microparticles that act as motherships to ferry different types of imaging and therapeutic nanoparticles loaded within their porous structure. An E-selectin thioaptamer ligand is used to actively target this delivery system to the bone marrow vasculature where the payload is released as the porous silicon underwent degradation under physiological conditions.", "author" : [ { "dropping-particle" : "", "family" : "Mann", "given" : "Aman P.", "non-dropping-particle" : "", "parse-names" : false, "suffix" : "" }, { "dropping-particle" : "", "family" : "Tanaka", "given" : "Takemi", "non-dropping-particle" : "", "parse-names" : false, "suffix" : "" }, { "dropping-particle" : "", "family" : "Somasunderam", "given" : "Anoma", "non-dropping-particle" : "", "parse-names" : false, "suffix" : "" }, { "dropping-particle" : "", "family" : "Liu", "given" : "Xuewu", "non-dropping-particle" : "", "parse-names" : false, "suffix" : "" }, { "dropping-particle" : "", "family" : "Gorenstein", "given" : "David G.", "non-dropping-particle" : "", "parse-names" : false, "suffix" : "" }, { "dropping-particle" : "", "family" : "Ferrari", "given" : "Mauro", "non-dropping-particle" : "", "parse-names" : false, "suffix" : "" } ], "container-title" : "Advanced Materials", "id" : "ITEM-1", "issue" : "36", "issued" : { "date-parts" : [ [ "2011" ] ] }, "page" : "278-282", "title" : "E-selectin-targeted porous silicon particle for nanoparticle delivery to the bone marrow", "type" : "article-journal", "volume" : "23" }, "uris" : [ "http://www.mendeley.com/documents/?uuid=46c3c4f7-ff81-40b6-bee7-07ac5e04a61a", "http://www.mendeley.com/documents/?uuid=b78b6b98-4acf-4450-8c91-9ea7e15fc16d" ] } ], "mendeley" : { "formattedCitation" : "[54]", "plainTextFormattedCitation" : "[54]", "previouslyFormattedCitation" : "[54]" }, "properties" : { "noteIndex" : 0 }, "schema" : "https://github.com/citation-style-language/schema/raw/master/csl-citation.json" }</w:instrText>
      </w:r>
      <w:r w:rsidR="00967519"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[54]</w:t>
      </w:r>
      <w:r w:rsidR="00967519" w:rsidRPr="007721FB">
        <w:rPr>
          <w:rFonts w:ascii="Times New Roman" w:hAnsi="Times New Roman" w:cs="Times New Roman"/>
          <w:sz w:val="24"/>
          <w:szCs w:val="24"/>
        </w:rPr>
        <w:fldChar w:fldCharType="end"/>
      </w:r>
      <w:r w:rsidR="00076ABB" w:rsidRPr="007721FB">
        <w:rPr>
          <w:rFonts w:ascii="Times New Roman" w:hAnsi="Times New Roman" w:cs="Times New Roman"/>
          <w:sz w:val="24"/>
          <w:szCs w:val="24"/>
        </w:rPr>
        <w:t>.</w:t>
      </w:r>
      <w:r w:rsidR="00696BAA" w:rsidRPr="007721FB">
        <w:rPr>
          <w:rFonts w:ascii="Times New Roman" w:hAnsi="Times New Roman" w:cs="Times New Roman"/>
          <w:sz w:val="24"/>
          <w:szCs w:val="24"/>
        </w:rPr>
        <w:t xml:space="preserve"> </w:t>
      </w:r>
      <w:r w:rsidR="009C2AB2" w:rsidRPr="007721FB">
        <w:rPr>
          <w:rFonts w:ascii="Times New Roman" w:hAnsi="Times New Roman" w:cs="Times New Roman"/>
          <w:sz w:val="24"/>
          <w:szCs w:val="24"/>
        </w:rPr>
        <w:t>S</w:t>
      </w:r>
      <w:r w:rsidR="00696BAA" w:rsidRPr="007721FB">
        <w:rPr>
          <w:rFonts w:ascii="Times New Roman" w:hAnsi="Times New Roman" w:cs="Times New Roman"/>
          <w:sz w:val="24"/>
          <w:szCs w:val="24"/>
        </w:rPr>
        <w:t xml:space="preserve">ome </w:t>
      </w:r>
      <w:r w:rsidR="00432FA8" w:rsidRPr="007721FB">
        <w:rPr>
          <w:rFonts w:ascii="Times New Roman" w:hAnsi="Times New Roman" w:cs="Times New Roman"/>
          <w:sz w:val="24"/>
          <w:szCs w:val="24"/>
        </w:rPr>
        <w:t xml:space="preserve">studies </w:t>
      </w:r>
      <w:r w:rsidR="009C2AB2" w:rsidRPr="007721FB">
        <w:rPr>
          <w:rFonts w:ascii="Times New Roman" w:hAnsi="Times New Roman" w:cs="Times New Roman"/>
          <w:sz w:val="24"/>
          <w:szCs w:val="24"/>
        </w:rPr>
        <w:t>also</w:t>
      </w:r>
      <w:r w:rsidR="00696BAA" w:rsidRPr="007721FB">
        <w:rPr>
          <w:rFonts w:ascii="Times New Roman" w:hAnsi="Times New Roman" w:cs="Times New Roman"/>
          <w:sz w:val="24"/>
          <w:szCs w:val="24"/>
        </w:rPr>
        <w:t xml:space="preserve"> suggest that nanocarrier dosage could play a role in bone marrow uptake. When administering liposomal dosages above 50 mg/kg in rabbits, </w:t>
      </w:r>
      <w:r w:rsidR="00287BD5" w:rsidRPr="007721FB">
        <w:rPr>
          <w:rFonts w:ascii="Times New Roman" w:hAnsi="Times New Roman" w:cs="Times New Roman"/>
          <w:sz w:val="24"/>
          <w:szCs w:val="24"/>
        </w:rPr>
        <w:t xml:space="preserve">the </w:t>
      </w:r>
      <w:r w:rsidR="00696BAA" w:rsidRPr="007721FB">
        <w:rPr>
          <w:rFonts w:ascii="Times New Roman" w:hAnsi="Times New Roman" w:cs="Times New Roman"/>
          <w:sz w:val="24"/>
          <w:szCs w:val="24"/>
        </w:rPr>
        <w:t xml:space="preserve">bone marrow appears to be the first </w:t>
      </w:r>
      <w:r w:rsidR="00287BD5" w:rsidRPr="007721FB">
        <w:rPr>
          <w:rFonts w:ascii="Times New Roman" w:hAnsi="Times New Roman" w:cs="Times New Roman"/>
          <w:sz w:val="24"/>
          <w:szCs w:val="24"/>
        </w:rPr>
        <w:t>tissue</w:t>
      </w:r>
      <w:r w:rsidR="00696BAA" w:rsidRPr="007721FB">
        <w:rPr>
          <w:rFonts w:ascii="Times New Roman" w:hAnsi="Times New Roman" w:cs="Times New Roman"/>
          <w:sz w:val="24"/>
          <w:szCs w:val="24"/>
        </w:rPr>
        <w:t xml:space="preserve"> to become saturated, followed by increased </w:t>
      </w:r>
      <w:r w:rsidR="00287BD5" w:rsidRPr="007721FB">
        <w:rPr>
          <w:rFonts w:ascii="Times New Roman" w:hAnsi="Times New Roman" w:cs="Times New Roman"/>
          <w:sz w:val="24"/>
          <w:szCs w:val="24"/>
        </w:rPr>
        <w:t xml:space="preserve">uptake in the </w:t>
      </w:r>
      <w:r w:rsidR="00696BAA" w:rsidRPr="007721FB">
        <w:rPr>
          <w:rFonts w:ascii="Times New Roman" w:hAnsi="Times New Roman" w:cs="Times New Roman"/>
          <w:sz w:val="24"/>
          <w:szCs w:val="24"/>
        </w:rPr>
        <w:t xml:space="preserve">liver and spleen </w:t>
      </w:r>
      <w:r w:rsidR="00696BAA"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"DOI" : "10.1517/17425247.2011.553218", "ISBN" : "2122633255", "ISSN" : "1744-7593", "PMID" : "21275831", "abstract" : "INTRODUCTION: Bone marrow-targeted drug delivery systems appear to offer a promising strategy for advancing diagnostic, protective and/or therapeutic medicine for the hematopoietic system. Liposome technology can provide a drug delivery system with high bone marrow targeting that is mediated by specific phagocytosis in bone marrow.\\n\\nAREA COVERED: This review focuses on a bone marrow-specific liposome formulation labeled with technetium-99 m. Interspecies differences in bone marrow distribution of the bone marrow-targeted formulation are emphasized. This review provides a liposome technology to target bone marrow. In addition, the selection of proper species for the investigation of bone marrow targeting is suggested.\\n\\nEXPERT OPINION: It can be speculated that the bone marrow macrophages have a role in the delivery of lipids to the bone marrow as a source of energy and for membrane biosynthesis or in the delivery of fat-soluble vitamins for hematopoiesis. This homeostatic system offers a potent pathway to deliver drugs selectively into bone marrow tissues from blood. High selectivity of the present bone marrow-targeted liposome formulation for bone marrow suggests the presence of an active and specific mechanism, but specific factors affecting the uptake of the bone marrow mononuclear phagocyte system are still unknown. Further investigation of this mechanism will increase our understanding of factors required for effective transport of agents to the bone marrow, and may provide an efficient system for bone marrow delivery for therapeutic purposes.", "author" : [ { "dropping-particle" : "", "family" : "Sou", "given" : "Keitaro", "non-dropping-particle" : "", "parse-names" : false, "suffix" : "" }, { "dropping-particle" : "", "family" : "Goins", "given" : "Beth", "non-dropping-particle" : "", "parse-names" : false, "suffix" : "" }, { "dropping-particle" : "", "family" : "Oyajobi", "given" : "Babatunde O", "non-dropping-particle" : "", "parse-names" : false, "suffix" : "" }, { "dropping-particle" : "", "family" : "Travi", "given" : "Bruno L", "non-dropping-particle" : "", "parse-names" : false, "suffix" : "" }, { "dropping-particle" : "", "family" : "Phillips", "given" : "William T", "non-dropping-particle" : "", "parse-names" : false, "suffix" : "" } ], "container-title" : "Expert opinion on drug delivery", "id" : "ITEM-1", "issue" : "3", "issued" : { "date-parts" : [ [ "2011" ] ] }, "page" : "317-28", "title" : "Bone marrow-targeted liposomal carriers.", "type" : "article-journal", "volume" : "8" }, "uris" : [ "http://www.mendeley.com/documents/?uuid=dbdca005-629a-42a9-90e5-1e86e53fa85f", "http://www.mendeley.com/documents/?uuid=9e917528-40b6-4a51-921c-87babfc7f22f" ] } ], "mendeley" : { "formattedCitation" : "[52]", "plainTextFormattedCitation" : "[52]", "previouslyFormattedCitation" : "[52]" }, "properties" : { "noteIndex" : 0 }, "schema" : "https://github.com/citation-style-language/schema/raw/master/csl-citation.json" }</w:instrText>
      </w:r>
      <w:r w:rsidR="00696BAA"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[52]</w:t>
      </w:r>
      <w:r w:rsidR="00696BAA" w:rsidRPr="007721FB">
        <w:rPr>
          <w:rFonts w:ascii="Times New Roman" w:hAnsi="Times New Roman" w:cs="Times New Roman"/>
          <w:sz w:val="24"/>
          <w:szCs w:val="24"/>
        </w:rPr>
        <w:fldChar w:fldCharType="end"/>
      </w:r>
      <w:r w:rsidR="00EC68CC" w:rsidRPr="007721FB">
        <w:rPr>
          <w:rFonts w:ascii="Times New Roman" w:hAnsi="Times New Roman" w:cs="Times New Roman"/>
          <w:sz w:val="24"/>
          <w:szCs w:val="24"/>
        </w:rPr>
        <w:t>.</w:t>
      </w:r>
      <w:r w:rsidR="00696BAA" w:rsidRPr="007721FB">
        <w:rPr>
          <w:rFonts w:ascii="Times New Roman" w:hAnsi="Times New Roman" w:cs="Times New Roman"/>
          <w:sz w:val="24"/>
          <w:szCs w:val="24"/>
        </w:rPr>
        <w:t xml:space="preserve"> </w:t>
      </w:r>
      <w:r w:rsidR="00EC68CC" w:rsidRPr="007721FB">
        <w:rPr>
          <w:rFonts w:ascii="Times New Roman" w:hAnsi="Times New Roman" w:cs="Times New Roman"/>
          <w:sz w:val="24"/>
        </w:rPr>
        <w:t xml:space="preserve">These </w:t>
      </w:r>
      <w:r w:rsidR="00432FA8" w:rsidRPr="007721FB">
        <w:rPr>
          <w:rFonts w:ascii="Times New Roman" w:hAnsi="Times New Roman" w:cs="Times New Roman"/>
          <w:sz w:val="24"/>
        </w:rPr>
        <w:t>reports further</w:t>
      </w:r>
      <w:r w:rsidR="00EC68CC" w:rsidRPr="007721FB">
        <w:rPr>
          <w:rFonts w:ascii="Times New Roman" w:hAnsi="Times New Roman" w:cs="Times New Roman"/>
          <w:sz w:val="24"/>
        </w:rPr>
        <w:t xml:space="preserve"> highlight the importance of fully characterizing nanocarrier</w:t>
      </w:r>
      <w:r w:rsidR="003D1CA7" w:rsidRPr="007721FB">
        <w:rPr>
          <w:rFonts w:ascii="Times New Roman" w:hAnsi="Times New Roman" w:cs="Times New Roman"/>
          <w:sz w:val="24"/>
        </w:rPr>
        <w:t>s</w:t>
      </w:r>
      <w:r w:rsidR="00EC68CC" w:rsidRPr="007721FB">
        <w:rPr>
          <w:rFonts w:ascii="Times New Roman" w:hAnsi="Times New Roman" w:cs="Times New Roman"/>
          <w:sz w:val="24"/>
        </w:rPr>
        <w:t xml:space="preserve"> surface chemistry and targeting moieties</w:t>
      </w:r>
      <w:r w:rsidR="00287BD5" w:rsidRPr="007721FB">
        <w:rPr>
          <w:rFonts w:ascii="Times New Roman" w:hAnsi="Times New Roman" w:cs="Times New Roman"/>
          <w:sz w:val="24"/>
        </w:rPr>
        <w:t xml:space="preserve"> type and</w:t>
      </w:r>
      <w:r w:rsidR="005839C5" w:rsidRPr="007721FB">
        <w:rPr>
          <w:rFonts w:ascii="Times New Roman" w:hAnsi="Times New Roman" w:cs="Times New Roman"/>
          <w:sz w:val="24"/>
        </w:rPr>
        <w:t xml:space="preserve"> density</w:t>
      </w:r>
      <w:r w:rsidR="00287BD5" w:rsidRPr="007721FB">
        <w:rPr>
          <w:rFonts w:ascii="Times New Roman" w:hAnsi="Times New Roman" w:cs="Times New Roman"/>
          <w:sz w:val="24"/>
        </w:rPr>
        <w:t>;</w:t>
      </w:r>
      <w:r w:rsidR="00EC68CC" w:rsidRPr="007721FB">
        <w:rPr>
          <w:rFonts w:ascii="Times New Roman" w:hAnsi="Times New Roman" w:cs="Times New Roman"/>
          <w:sz w:val="24"/>
        </w:rPr>
        <w:t xml:space="preserve"> since these parameter</w:t>
      </w:r>
      <w:r w:rsidR="00962F2B" w:rsidRPr="007721FB">
        <w:rPr>
          <w:rFonts w:ascii="Times New Roman" w:hAnsi="Times New Roman" w:cs="Times New Roman"/>
          <w:sz w:val="24"/>
        </w:rPr>
        <w:t>s</w:t>
      </w:r>
      <w:r w:rsidR="00EC68CC" w:rsidRPr="007721FB">
        <w:rPr>
          <w:rFonts w:ascii="Times New Roman" w:hAnsi="Times New Roman" w:cs="Times New Roman"/>
          <w:sz w:val="24"/>
        </w:rPr>
        <w:t xml:space="preserve"> play key roles in the outcomes of biodistribution studies</w:t>
      </w:r>
      <w:r w:rsidR="009E1898" w:rsidRPr="007721FB">
        <w:rPr>
          <w:rFonts w:ascii="Times New Roman" w:hAnsi="Times New Roman" w:cs="Times New Roman"/>
          <w:sz w:val="24"/>
        </w:rPr>
        <w:t xml:space="preserve"> </w:t>
      </w:r>
      <w:r w:rsidR="00EC68CC" w:rsidRPr="007721FB">
        <w:rPr>
          <w:rFonts w:ascii="Times New Roman" w:hAnsi="Times New Roman" w:cs="Times New Roman"/>
          <w:sz w:val="24"/>
        </w:rPr>
        <w:fldChar w:fldCharType="begin" w:fldLock="1"/>
      </w:r>
      <w:r w:rsidR="00B31E12" w:rsidRPr="007721FB">
        <w:rPr>
          <w:rFonts w:ascii="Times New Roman" w:hAnsi="Times New Roman" w:cs="Times New Roman"/>
          <w:sz w:val="24"/>
        </w:rPr>
        <w:instrText>ADDIN CSL_CITATION { "citationItems" : [ { "id" : "ITEM-1", "itemData" : { "DOI" : "10.1146/annurev-bioeng-071811-150124", "ISBN" : "1523-9829", "ISSN" : "1523-9829", "PMID" : "22524388", "abstract" : "An understanding of the interactions between nanoparticles and biological systems is of significant interest. Studies aimed at correlating the properties of nanomaterials such as size, shape, chemical functionality, surface charge, and composition with biomolecular signaling, biological kinetics, transportation, and toxicity in both cell culture and animal experiments are under way. These fundamental studies will provide a foundation for engineering the next generation of nanoscale devices. Here, we provide rationales for these studies, review the current progress in studies of the interactions of nanomaterials with biological systems, and provide a perspective on the long-term implications of these findings.", "author" : [ { "dropping-particle" : "", "family" : "Albanese", "given" : "Alexandre", "non-dropping-particle" : "", "parse-names" : false, "suffix" : "" }, { "dropping-particle" : "", "family" : "Tang", "given" : "Peter S.", "non-dropping-particle" : "", "parse-names" : false, "suffix" : "" }, { "dropping-particle" : "", "family" : "Chan", "given" : "Warren C.W.", "non-dropping-particle" : "", "parse-names" : false, "suffix" : "" } ], "container-title" : "Annual Review of Biomedical Engineering", "id" : "ITEM-1", "issue" : "1", "issued" : { "date-parts" : [ [ "2012" ] ] }, "page" : "1-16", "title" : "The Effect of Nanoparticle Size, Shape, and Surface Chemistry on Biological Systems", "type" : "article-journal", "volume" : "14" }, "uris" : [ "http://www.mendeley.com/documents/?uuid=9957a436-f2c3-44b2-af7a-c289f26f187f", "http://www.mendeley.com/documents/?uuid=f73cf6bb-8e8e-4005-ae01-81f029a25b38" ] }, { "id" : "ITEM-2", "itemData" : { "DOI" : "10.1016/j.biomaterials.2010.01.065", "ISBN" : "1878-5905 (Electronic)\\n0142-9612 (Linking)", "ISSN" : "01429612", "PMID" : "20138662", "abstract" : "To elucidate the effects of particle size and surface charge on cellular uptake and biodistribution of polymeric nanoparticles (NPs), rhodamine B (RhB) labeled carboxymethyl chitosan grafted NPs (RhB-CMCNP) and chitosan hydrochloride grafted NPs (RhB-CHNP) were developed as the model negatively and positively charged polymeric NPs, respectively. These NPs owned well defined particle sizes (150-500??nm) and Zeta potentials (-40??mV - +35??mV). FITC labeled protamine sulfate (FITC-PS) loaded RhB-CMCNP and camptothecin (CPT) loaded RhB-CHNP with high encapsulation efficiency were prepared. The fluorescence stability in plasma and towards I- was investigated, and the result indicated it was sufficient for qualitative and quantitative analysis. NPs with high surface charge and large particle size were phagocytized more efficiently by murine macrophage. Slight particle size and surface charge differences and different cell lines had significant implications in the cellular uptake of NPs, and various mechanisms were involved in the uptake process. In vivo biodistribution suggested that NPs with slight negative charges and particle size of 150??nm were tended to accumulate in tumor more efficiently. These results could serve as a guideline in the rational design of drug nanocarriers with maximized therapeutic efficacy and predictable in vivo properties, in which the control of particle size and surface charge was of significance. ?? 2010 Elsevier Ltd. All rights reserved.", "author" : [ { "dropping-particle" : "", "family" : "He", "given" : "Chunbai", "non-dropping-particle" : "", "parse-names" : false, "suffix" : "" }, { "dropping-particle" : "", "family" : "Hu", "given" : "Yiping", "non-dropping-particle" : "", "parse-names" : false, "suffix" : "" }, { "dropping-particle" : "", "family" : "Yin", "given" : "Lichen", "non-dropping-particle" : "", "parse-names" : false, "suffix" : "" }, { "dropping-particle" : "", "family" : "Tang", "given" : "Cui", "non-dropping-particle" : "", "parse-names" : false, "suffix" : "" }, { "dropping-particle" : "", "family" : "Yin", "given" : "Chunhua", "non-dropping-particle" : "", "parse-names" : false, "suffix" : "" } ], "container-title" : "Biomaterials", "id" : "ITEM-2", "issue" : "13", "issued" : { "date-parts" : [ [ "2010" ] ] }, "page" : "3657-3666", "publisher" : "Elsevier Ltd", "title" : "Effects of particle size and surface charge on cellular uptake and biodistribution of polymeric nanoparticles", "type" : "article-journal", "volume" : "31" }, "uris" : [ "http://www.mendeley.com/documents/?uuid=f15643bd-2bbf-4b44-bda4-e6423ef00d10", "http://www.mendeley.com/documents/?uuid=ee0d709a-fcd0-481e-8564-ee3c4cf74b4b" ] } ], "mendeley" : { "formattedCitation" : "[55,56]", "plainTextFormattedCitation" : "[55,56]", "previouslyFormattedCitation" : "[55,56]" }, "properties" : { "noteIndex" : 0 }, "schema" : "https://github.com/citation-style-language/schema/raw/master/csl-citation.json" }</w:instrText>
      </w:r>
      <w:r w:rsidR="00EC68CC" w:rsidRPr="007721FB">
        <w:rPr>
          <w:rFonts w:ascii="Times New Roman" w:hAnsi="Times New Roman" w:cs="Times New Roman"/>
          <w:sz w:val="24"/>
        </w:rPr>
        <w:fldChar w:fldCharType="separate"/>
      </w:r>
      <w:r w:rsidR="00B31E12" w:rsidRPr="007721FB">
        <w:rPr>
          <w:rFonts w:ascii="Times New Roman" w:hAnsi="Times New Roman" w:cs="Times New Roman"/>
          <w:noProof/>
          <w:sz w:val="24"/>
        </w:rPr>
        <w:t>[55,56]</w:t>
      </w:r>
      <w:r w:rsidR="00EC68CC" w:rsidRPr="007721FB">
        <w:rPr>
          <w:rFonts w:ascii="Times New Roman" w:hAnsi="Times New Roman" w:cs="Times New Roman"/>
          <w:sz w:val="24"/>
        </w:rPr>
        <w:fldChar w:fldCharType="end"/>
      </w:r>
      <w:r w:rsidR="009E1898" w:rsidRPr="007721FB">
        <w:rPr>
          <w:rFonts w:ascii="Times New Roman" w:hAnsi="Times New Roman" w:cs="Times New Roman"/>
          <w:sz w:val="24"/>
        </w:rPr>
        <w:t>.</w:t>
      </w:r>
      <w:r w:rsidR="00EC68CC" w:rsidRPr="007721FB">
        <w:rPr>
          <w:rFonts w:ascii="Times New Roman" w:hAnsi="Times New Roman" w:cs="Times New Roman"/>
          <w:sz w:val="24"/>
        </w:rPr>
        <w:t xml:space="preserve"> </w:t>
      </w:r>
      <w:r w:rsidR="002E039F" w:rsidRPr="007721FB">
        <w:rPr>
          <w:rFonts w:ascii="Times New Roman" w:hAnsi="Times New Roman" w:cs="Times New Roman"/>
          <w:sz w:val="24"/>
        </w:rPr>
        <w:t>Ideally,</w:t>
      </w:r>
      <w:r w:rsidR="003D1CA7" w:rsidRPr="007721FB">
        <w:rPr>
          <w:rFonts w:ascii="Times New Roman" w:hAnsi="Times New Roman" w:cs="Times New Roman"/>
          <w:sz w:val="24"/>
        </w:rPr>
        <w:t xml:space="preserve"> </w:t>
      </w:r>
      <w:r w:rsidR="00EC68CC" w:rsidRPr="007721FB">
        <w:rPr>
          <w:rFonts w:ascii="Times New Roman" w:hAnsi="Times New Roman" w:cs="Times New Roman"/>
          <w:sz w:val="24"/>
        </w:rPr>
        <w:t xml:space="preserve">it is important to also </w:t>
      </w:r>
      <w:r w:rsidR="00962F2B" w:rsidRPr="007721FB">
        <w:rPr>
          <w:rFonts w:ascii="Times New Roman" w:hAnsi="Times New Roman" w:cs="Times New Roman"/>
          <w:sz w:val="24"/>
        </w:rPr>
        <w:t xml:space="preserve">evaluate </w:t>
      </w:r>
      <w:r w:rsidR="00EC68CC" w:rsidRPr="007721FB">
        <w:rPr>
          <w:rFonts w:ascii="Times New Roman" w:hAnsi="Times New Roman" w:cs="Times New Roman"/>
          <w:sz w:val="24"/>
        </w:rPr>
        <w:t xml:space="preserve">nanocarriers </w:t>
      </w:r>
      <w:r w:rsidR="005839C5" w:rsidRPr="007721FB">
        <w:rPr>
          <w:rFonts w:ascii="Times New Roman" w:hAnsi="Times New Roman" w:cs="Times New Roman"/>
          <w:sz w:val="24"/>
        </w:rPr>
        <w:t>protein</w:t>
      </w:r>
      <w:r w:rsidR="009E1898" w:rsidRPr="007721FB">
        <w:rPr>
          <w:rFonts w:ascii="Times New Roman" w:hAnsi="Times New Roman" w:cs="Times New Roman"/>
          <w:sz w:val="24"/>
        </w:rPr>
        <w:t xml:space="preserve"> ‘hard’ and ‘soft’</w:t>
      </w:r>
      <w:r w:rsidR="005839C5" w:rsidRPr="007721FB">
        <w:rPr>
          <w:rFonts w:ascii="Times New Roman" w:hAnsi="Times New Roman" w:cs="Times New Roman"/>
          <w:sz w:val="24"/>
        </w:rPr>
        <w:t xml:space="preserve"> corona and </w:t>
      </w:r>
      <w:r w:rsidR="009E1898" w:rsidRPr="007721FB">
        <w:rPr>
          <w:rFonts w:ascii="Times New Roman" w:hAnsi="Times New Roman" w:cs="Times New Roman"/>
          <w:sz w:val="24"/>
        </w:rPr>
        <w:t>its influence in</w:t>
      </w:r>
      <w:r w:rsidR="00EC68CC" w:rsidRPr="007721FB">
        <w:rPr>
          <w:rFonts w:ascii="Times New Roman" w:hAnsi="Times New Roman" w:cs="Times New Roman"/>
          <w:sz w:val="24"/>
        </w:rPr>
        <w:t xml:space="preserve"> </w:t>
      </w:r>
      <w:r w:rsidR="00EC68CC" w:rsidRPr="007721FB">
        <w:rPr>
          <w:rFonts w:ascii="Times New Roman" w:hAnsi="Times New Roman" w:cs="Times New Roman"/>
          <w:i/>
          <w:sz w:val="24"/>
        </w:rPr>
        <w:t>in vivo</w:t>
      </w:r>
      <w:r w:rsidR="00EC68CC" w:rsidRPr="007721FB">
        <w:rPr>
          <w:rFonts w:ascii="Times New Roman" w:hAnsi="Times New Roman" w:cs="Times New Roman"/>
          <w:sz w:val="24"/>
        </w:rPr>
        <w:t xml:space="preserve"> </w:t>
      </w:r>
      <w:r w:rsidR="009E1898" w:rsidRPr="007721FB">
        <w:rPr>
          <w:rFonts w:ascii="Times New Roman" w:hAnsi="Times New Roman" w:cs="Times New Roman"/>
          <w:sz w:val="24"/>
        </w:rPr>
        <w:t xml:space="preserve">particles targeting </w:t>
      </w:r>
      <w:r w:rsidR="005839C5" w:rsidRPr="007721FB">
        <w:rPr>
          <w:rFonts w:ascii="Times New Roman" w:hAnsi="Times New Roman" w:cs="Times New Roman"/>
          <w:sz w:val="24"/>
        </w:rPr>
        <w:t>performance</w:t>
      </w:r>
      <w:r w:rsidR="00B43D43" w:rsidRPr="007721FB">
        <w:rPr>
          <w:rFonts w:ascii="Times New Roman" w:hAnsi="Times New Roman" w:cs="Times New Roman"/>
          <w:sz w:val="24"/>
        </w:rPr>
        <w:t xml:space="preserve"> </w:t>
      </w:r>
      <w:r w:rsidR="00EC68CC" w:rsidRPr="007721FB">
        <w:rPr>
          <w:rFonts w:ascii="Times New Roman" w:hAnsi="Times New Roman" w:cs="Times New Roman"/>
          <w:sz w:val="24"/>
        </w:rPr>
        <w:fldChar w:fldCharType="begin" w:fldLock="1"/>
      </w:r>
      <w:r w:rsidR="00B31E12" w:rsidRPr="007721FB">
        <w:rPr>
          <w:rFonts w:ascii="Times New Roman" w:hAnsi="Times New Roman" w:cs="Times New Roman"/>
          <w:sz w:val="24"/>
        </w:rPr>
        <w:instrText>ADDIN CSL_CITATION { "citationItems" : [ { "id" : "ITEM-1", "itemData" : { "DOI" : "10.1039/c5cs00499c", "ISBN" : "10.1039/C5CS00499C", "ISSN" : "1460-4744", "PMID" : "26239875", "abstract" : "While the blood vessel is seldom the target tissue, almost all nanomedicine will interact with blood vessels and blood at some point of time along its life cycle in the human body regardless of their intended destination. Despite its importance, many bionanotechnologists do not feature endothelial cells (ECs), the blood vessel cells, or consider blood effects in their studies. Including blood vessel cells in the study can greatly increase our understanding of the behavior of any given nanomedicine at the tissue of interest or to understand side effects that may occur in vivo. In this review, we will first describe the diversity of EC types found in the human body and their unique behaviors and possibly how these important differences can implicate nanomedicine behavior. Subsequently, we will discuss about the protein corona derived from blood with foci on the physiochemical aspects of nanoparticles (NPs) that dictate the protein corona characteristics. We would also discuss about how NPs characteristics can affect uptake by the endothelium. Subsequently, mechanisms of how NPs could cross the endothelium to access the tissue of interest. Throughout the paper, we will share some novel nanomedicine related ideas and insights that were derived from the understanding of the NPs' interaction with the ECs. This review will inspire more exciting nanotechnologies that had accounted for the complexities of the real human body.", "author" : [ { "dropping-particle" : "", "family" : "Setyawati", "given" : "Magdiel Inggrid", "non-dropping-particle" : "", "parse-names" : false, "suffix" : "" }, { "dropping-particle" : "", "family" : "Tay", "given" : "Chor Yong", "non-dropping-particle" : "", "parse-names" : false, "suffix" : "" }, { "dropping-particle" : "", "family" : "Docter", "given" : "Dominic", "non-dropping-particle" : "", "parse-names" : false, "suffix" : "" }, { "dropping-particle" : "", "family" : "Stauber", "given" : "Roland H", "non-dropping-particle" : "", "parse-names" : false, "suffix" : "" }, { "dropping-particle" : "", "family" : "Leong", "given" : "David Tai", "non-dropping-particle" : "", "parse-names" : false, "suffix" : "" } ], "container-title" : "Chemical Society reviews", "id" : "ITEM-1", "issue" : "22", "issued" : { "date-parts" : [ [ "2015" ] ] }, "page" : "8174-99", "publisher" : "Royal Society of Chemistry", "title" : "Understanding and exploiting nanoparticles' intimacy with the blood vessel and blood.", "type" : "article-journal", "volume" : "44" }, "uris" : [ "http://www.mendeley.com/documents/?uuid=dbf8fdb6-2f07-48ce-877c-b5f475e5e869", "http://www.mendeley.com/documents/?uuid=2e728082-582e-49fc-ae54-d2ed94883196" ] } ], "mendeley" : { "formattedCitation" : "[34]", "plainTextFormattedCitation" : "[34]", "previouslyFormattedCitation" : "[34]" }, "properties" : { "noteIndex" : 0 }, "schema" : "https://github.com/citation-style-language/schema/raw/master/csl-citation.json" }</w:instrText>
      </w:r>
      <w:r w:rsidR="00EC68CC" w:rsidRPr="007721FB">
        <w:rPr>
          <w:rFonts w:ascii="Times New Roman" w:hAnsi="Times New Roman" w:cs="Times New Roman"/>
          <w:sz w:val="24"/>
        </w:rPr>
        <w:fldChar w:fldCharType="separate"/>
      </w:r>
      <w:r w:rsidR="00B31E12" w:rsidRPr="007721FB">
        <w:rPr>
          <w:rFonts w:ascii="Times New Roman" w:hAnsi="Times New Roman" w:cs="Times New Roman"/>
          <w:noProof/>
          <w:sz w:val="24"/>
        </w:rPr>
        <w:t>[34]</w:t>
      </w:r>
      <w:r w:rsidR="00EC68CC" w:rsidRPr="007721FB">
        <w:rPr>
          <w:rFonts w:ascii="Times New Roman" w:hAnsi="Times New Roman" w:cs="Times New Roman"/>
          <w:sz w:val="24"/>
        </w:rPr>
        <w:fldChar w:fldCharType="end"/>
      </w:r>
      <w:r w:rsidR="00B43D43" w:rsidRPr="007721FB">
        <w:rPr>
          <w:rFonts w:ascii="Times New Roman" w:hAnsi="Times New Roman" w:cs="Times New Roman"/>
          <w:sz w:val="24"/>
        </w:rPr>
        <w:t>.</w:t>
      </w:r>
      <w:r w:rsidR="00EC68CC" w:rsidRPr="007721FB">
        <w:rPr>
          <w:rFonts w:ascii="Times New Roman" w:hAnsi="Times New Roman" w:cs="Times New Roman"/>
          <w:sz w:val="24"/>
        </w:rPr>
        <w:t xml:space="preserve"> </w:t>
      </w:r>
      <w:r w:rsidR="009E1898" w:rsidRPr="007721FB">
        <w:rPr>
          <w:rFonts w:ascii="Times New Roman" w:hAnsi="Times New Roman" w:cs="Times New Roman"/>
          <w:sz w:val="24"/>
        </w:rPr>
        <w:t>The sole functionalization of stimuli-responsive nanocarriers with osteotropic bone moieties may not confer bone selectivity if the bound protein corona temporarily or permanently shields these linkers, as it was already observed for transferrin</w:t>
      </w:r>
      <w:r w:rsidR="003F35D7" w:rsidRPr="007721FB">
        <w:rPr>
          <w:rFonts w:ascii="Times New Roman" w:hAnsi="Times New Roman" w:cs="Times New Roman"/>
          <w:sz w:val="24"/>
        </w:rPr>
        <w:t>-</w:t>
      </w:r>
      <w:r w:rsidR="009E1898" w:rsidRPr="007721FB">
        <w:rPr>
          <w:rFonts w:ascii="Times New Roman" w:hAnsi="Times New Roman" w:cs="Times New Roman"/>
          <w:sz w:val="24"/>
        </w:rPr>
        <w:t xml:space="preserve">functionalized nanoparticles </w:t>
      </w:r>
      <w:r w:rsidR="001A2820" w:rsidRPr="007721FB">
        <w:rPr>
          <w:rFonts w:ascii="Times New Roman" w:hAnsi="Times New Roman" w:cs="Times New Roman"/>
          <w:sz w:val="24"/>
        </w:rPr>
        <w:fldChar w:fldCharType="begin" w:fldLock="1"/>
      </w:r>
      <w:r w:rsidR="00B31E12" w:rsidRPr="007721FB">
        <w:rPr>
          <w:rFonts w:ascii="Times New Roman" w:hAnsi="Times New Roman" w:cs="Times New Roman"/>
          <w:sz w:val="24"/>
        </w:rPr>
        <w:instrText>ADDIN CSL_CITATION { "citationItems" : [ { "id" : "ITEM-1", "itemData" : { "ISSN" : "1748-3387", "author" : [ { "dropping-particle" : "", "family" : "Salvati", "given" : "Anna", "non-dropping-particle" : "", "parse-names" : false, "suffix" : "" }, { "dropping-particle" : "", "family" : "Pitek", "given" : "Andrzej S", "non-dropping-particle" : "", "parse-names" : false, "suffix" : "" }, { "dropping-particle" : "", "family" : "Monopoli", "given" : "Marco P", "non-dropping-particle" : "", "parse-names" : false, "suffix" : "" }, { "dropping-particle" : "", "family" : "Prapainop", "given" : "Kanlaya", "non-dropping-particle" : "", "parse-names" : false, "suffix" : "" }, { "dropping-particle" : "", "family" : "Bombelli", "given" : "Francesca Baldelli", "non-dropping-particle" : "", "parse-names" : false, "suffix" : "" }, { "dropping-particle" : "", "family" : "Hristov", "given" : "Delyan R", "non-dropping-particle" : "", "parse-names" : false, "suffix" : "" }, { "dropping-particle" : "", "family" : "Kelly", "given" : "Philip M", "non-dropping-particle" : "", "parse-names" : false, "suffix" : "" }, { "dropping-particle" : "", "family" : "Aberg", "given" : "Christoffer", "non-dropping-particle" : "", "parse-names" : false, "suffix" : "" }, { "dropping-particle" : "", "family" : "Mahon", "given" : "Eugene", "non-dropping-particle" : "", "parse-names" : false, "suffix" : "" }, { "dropping-particle" : "", "family" : "Dawson", "given" : "Kenneth A", "non-dropping-particle" : "", "parse-names" : false, "suffix" : "" } ], "container-title" : "Nat Nano", "id" : "ITEM-1", "issue" : "2", "issued" : { "date-parts" : [ [ "2013", "2" ] ] }, "note" : "10.1038/nnano.2012.237", "page" : "137-143", "publisher" : "Nature Publishing Group", "title" : "Transferrin-functionalized nanoparticles lose their targeting capabilities when a biomolecule corona adsorbs on the surface", "type" : "article-journal", "volume" : "8" }, "uris" : [ "http://www.mendeley.com/documents/?uuid=8438a939-6c6c-4e38-81a6-0faea874c085" ] }, { "id" : "ITEM-2", "itemData" : { "DOI" : "10.1021/nn204951s", "ISSN" : "1936-0851", "author" : [ { "dropping-particle" : "", "family" : "Milani", "given" : "Silvia", "non-dropping-particle" : "", "parse-names" : false, "suffix" : "" }, { "dropping-particle" : "", "family" : "Baldelli Bombelli", "given" : "Francesca", "non-dropping-particle" : "", "parse-names" : false, "suffix" : "" }, { "dropping-particle" : "", "family" : "Pitek", "given" : "Andrzej S", "non-dropping-particle" : "", "parse-names" : false, "suffix" : "" }, { "dropping-particle" : "", "family" : "Dawson", "given" : "Kenneth A", "non-dropping-particle" : "", "parse-names" : false, "suffix" : "" }, { "dropping-particle" : "", "family" : "R\u00e4dler", "given" : "Joachim", "non-dropping-particle" : "", "parse-names" : false, "suffix" : "" } ], "container-title" : "ACS Nano", "id" : "ITEM-2", "issue" : "3", "issued" : { "date-parts" : [ [ "2012", "3", "27" ] ] }, "note" : "doi: 10.1021/nn204951s", "page" : "2532-2541", "publisher" : "American Chemical Society", "title" : "Reversible versus Irreversible Binding of Transferrin to Polystyrene Nanoparticles: Soft and Hard Corona", "type" : "article-journal", "volume" : "6" }, "uris" : [ "http://www.mendeley.com/documents/?uuid=8ee10b85-2a14-48cc-bcca-936f661a9c6d" ] } ], "mendeley" : { "formattedCitation" : "[57,58]", "plainTextFormattedCitation" : "[57,58]", "previouslyFormattedCitation" : "[57,58]" }, "properties" : { "noteIndex" : 9 }, "schema" : "https://github.com/citation-style-language/schema/raw/master/csl-citation.json" }</w:instrText>
      </w:r>
      <w:r w:rsidR="001A2820" w:rsidRPr="007721FB">
        <w:rPr>
          <w:rFonts w:ascii="Times New Roman" w:hAnsi="Times New Roman" w:cs="Times New Roman"/>
          <w:sz w:val="24"/>
        </w:rPr>
        <w:fldChar w:fldCharType="separate"/>
      </w:r>
      <w:r w:rsidR="00B31E12" w:rsidRPr="007721FB">
        <w:rPr>
          <w:rFonts w:ascii="Times New Roman" w:hAnsi="Times New Roman" w:cs="Times New Roman"/>
          <w:noProof/>
          <w:sz w:val="24"/>
        </w:rPr>
        <w:t>[57,58]</w:t>
      </w:r>
      <w:r w:rsidR="001A2820" w:rsidRPr="007721FB">
        <w:rPr>
          <w:rFonts w:ascii="Times New Roman" w:hAnsi="Times New Roman" w:cs="Times New Roman"/>
          <w:sz w:val="24"/>
        </w:rPr>
        <w:fldChar w:fldCharType="end"/>
      </w:r>
      <w:r w:rsidR="001A2820" w:rsidRPr="007721FB">
        <w:rPr>
          <w:rFonts w:ascii="Times New Roman" w:hAnsi="Times New Roman" w:cs="Times New Roman"/>
          <w:sz w:val="24"/>
        </w:rPr>
        <w:t>.</w:t>
      </w:r>
    </w:p>
    <w:p w14:paraId="202CC330" w14:textId="6CB57801" w:rsidR="00696BAA" w:rsidRPr="007721FB" w:rsidRDefault="0031674A" w:rsidP="00EE0E61">
      <w:pPr>
        <w:spacing w:after="0" w:line="240" w:lineRule="auto"/>
        <w:jc w:val="both"/>
        <w:rPr>
          <w:rFonts w:ascii="Times New Roman" w:hAnsi="Times New Roman" w:cs="Times New Roman"/>
          <w:sz w:val="24"/>
        </w:rPr>
      </w:pPr>
      <w:r w:rsidRPr="007721FB">
        <w:rPr>
          <w:rFonts w:ascii="Times New Roman" w:hAnsi="Times New Roman" w:cs="Times New Roman"/>
          <w:sz w:val="24"/>
        </w:rPr>
        <w:t xml:space="preserve"> </w:t>
      </w:r>
      <w:r w:rsidR="00CC7CE6" w:rsidRPr="007721FB">
        <w:rPr>
          <w:rFonts w:ascii="Times New Roman" w:hAnsi="Times New Roman" w:cs="Times New Roman"/>
          <w:sz w:val="24"/>
        </w:rPr>
        <w:t xml:space="preserve">  </w:t>
      </w:r>
      <w:r w:rsidR="00287BD5" w:rsidRPr="007721FB">
        <w:rPr>
          <w:rFonts w:ascii="Times New Roman" w:hAnsi="Times New Roman" w:cs="Times New Roman"/>
          <w:sz w:val="24"/>
        </w:rPr>
        <w:t>On this topic s</w:t>
      </w:r>
      <w:r w:rsidR="00696BAA" w:rsidRPr="007721FB">
        <w:rPr>
          <w:rFonts w:ascii="Times New Roman" w:hAnsi="Times New Roman" w:cs="Times New Roman"/>
          <w:sz w:val="24"/>
        </w:rPr>
        <w:t>ome emerging imaging technologies could prove useful in clarifying nanocarriers bone accumulation. Sun</w:t>
      </w:r>
      <w:r w:rsidR="009E1898" w:rsidRPr="007721FB">
        <w:rPr>
          <w:rFonts w:ascii="Times New Roman" w:hAnsi="Times New Roman" w:cs="Times New Roman"/>
          <w:sz w:val="24"/>
        </w:rPr>
        <w:t xml:space="preserve"> and his team</w:t>
      </w:r>
      <w:r w:rsidR="00696BAA" w:rsidRPr="007721FB">
        <w:rPr>
          <w:rFonts w:ascii="Times New Roman" w:hAnsi="Times New Roman" w:cs="Times New Roman"/>
          <w:sz w:val="24"/>
        </w:rPr>
        <w:t xml:space="preserve"> developed a bone imaging toolkit containing several clinically relevant fluorescent probes, which could be useful for</w:t>
      </w:r>
      <w:r w:rsidR="009E1898" w:rsidRPr="007721FB">
        <w:rPr>
          <w:rFonts w:ascii="Times New Roman" w:hAnsi="Times New Roman" w:cs="Times New Roman"/>
          <w:sz w:val="24"/>
        </w:rPr>
        <w:t xml:space="preserve"> further</w:t>
      </w:r>
      <w:r w:rsidR="00696BAA" w:rsidRPr="007721FB">
        <w:rPr>
          <w:rFonts w:ascii="Times New Roman" w:hAnsi="Times New Roman" w:cs="Times New Roman"/>
          <w:sz w:val="24"/>
        </w:rPr>
        <w:t xml:space="preserve"> investigatio</w:t>
      </w:r>
      <w:r w:rsidR="009E1898" w:rsidRPr="007721FB">
        <w:rPr>
          <w:rFonts w:ascii="Times New Roman" w:hAnsi="Times New Roman" w:cs="Times New Roman"/>
          <w:sz w:val="24"/>
        </w:rPr>
        <w:t>n</w:t>
      </w:r>
      <w:r w:rsidR="00696BAA" w:rsidRPr="007721FB">
        <w:rPr>
          <w:rFonts w:ascii="Times New Roman" w:hAnsi="Times New Roman" w:cs="Times New Roman"/>
          <w:sz w:val="24"/>
        </w:rPr>
        <w:t xml:space="preserve"> of bone physio-pharmacology</w:t>
      </w:r>
      <w:r w:rsidR="009E1898" w:rsidRPr="007721FB">
        <w:rPr>
          <w:rFonts w:ascii="Times New Roman" w:hAnsi="Times New Roman" w:cs="Times New Roman"/>
          <w:sz w:val="24"/>
        </w:rPr>
        <w:t xml:space="preserve"> </w:t>
      </w:r>
      <w:r w:rsidR="00696BAA" w:rsidRPr="007721FB">
        <w:rPr>
          <w:rFonts w:ascii="Times New Roman" w:hAnsi="Times New Roman" w:cs="Times New Roman"/>
          <w:sz w:val="24"/>
        </w:rPr>
        <w:t>(Fig</w:t>
      </w:r>
      <w:r w:rsidR="009E1898" w:rsidRPr="007721FB">
        <w:rPr>
          <w:rFonts w:ascii="Times New Roman" w:hAnsi="Times New Roman" w:cs="Times New Roman"/>
          <w:sz w:val="24"/>
        </w:rPr>
        <w:t>ure</w:t>
      </w:r>
      <w:r w:rsidR="00696BAA" w:rsidRPr="007721FB">
        <w:rPr>
          <w:rFonts w:ascii="Times New Roman" w:hAnsi="Times New Roman" w:cs="Times New Roman"/>
          <w:sz w:val="24"/>
        </w:rPr>
        <w:t xml:space="preserve"> </w:t>
      </w:r>
      <w:r w:rsidR="009E1898" w:rsidRPr="007721FB">
        <w:rPr>
          <w:rFonts w:ascii="Times New Roman" w:hAnsi="Times New Roman" w:cs="Times New Roman"/>
          <w:sz w:val="24"/>
        </w:rPr>
        <w:t>3</w:t>
      </w:r>
      <w:r w:rsidR="00696BAA" w:rsidRPr="007721FB">
        <w:rPr>
          <w:rFonts w:ascii="Times New Roman" w:hAnsi="Times New Roman" w:cs="Times New Roman"/>
          <w:sz w:val="24"/>
        </w:rPr>
        <w:t>A)</w:t>
      </w:r>
      <w:r w:rsidR="001A2820" w:rsidRPr="007721FB">
        <w:rPr>
          <w:rFonts w:ascii="Times New Roman" w:hAnsi="Times New Roman" w:cs="Times New Roman"/>
          <w:sz w:val="24"/>
        </w:rPr>
        <w:t xml:space="preserve"> </w:t>
      </w:r>
      <w:r w:rsidR="001A2820" w:rsidRPr="007721FB">
        <w:rPr>
          <w:rFonts w:ascii="Times New Roman" w:hAnsi="Times New Roman" w:cs="Times New Roman"/>
          <w:sz w:val="24"/>
        </w:rPr>
        <w:fldChar w:fldCharType="begin" w:fldLock="1"/>
      </w:r>
      <w:r w:rsidR="00B31E12" w:rsidRPr="007721FB">
        <w:rPr>
          <w:rFonts w:ascii="Times New Roman" w:hAnsi="Times New Roman" w:cs="Times New Roman"/>
          <w:sz w:val="24"/>
        </w:rPr>
        <w:instrText>ADDIN CSL_CITATION { "citationItems" : [ { "id" : "ITEM-1", "itemData" : { "DOI" : "10.1021/acs.bioconjchem.5b00369", "ISBN" : "1520-4812 (Electronic)\\r1043-1802 (Linking)", "ISSN" : "15204812", "PMID" : "26646666", "abstract" : "A bone imaging toolkit of 21 fluorescent probes with variable spectroscopic properties, bone mineral binding affinities, and antiprenylation activities has been created, including a novel linking strategy. The linking chemistry allows attachment of a diverse selection of dyes fluorescent in the visible to near-infrared range to any of the three clinically important heterocyclic bisphosphonate bone drugs (risedronate, zoledronate, and minodronate or their analogues). The resultant suite of conjugates offers multiple options to \"mix and match\" parent drug structure, fluorescence emission wavelength, relative bone affinity, and presence or absence of antiprenylation activity, for bone-related imaging applications.", "author" : [ { "dropping-particle" : "", "family" : "Sun", "given" : "Shuting", "non-dropping-particle" : "", "parse-names" : false, "suffix" : "" }, { "dropping-particle" : "", "family" : "B\u0141azewska", "given" : "Katarzyna M.", "non-dropping-particle" : "", "parse-names" : false, "suffix" : "" }, { "dropping-particle" : "", "family" : "Kadina", "given" : "Anastasia P.", "non-dropping-particle" : "", "parse-names" : false, "suffix" : "" }, { "dropping-particle" : "", "family" : "Kashemirov", "given" : "Boris A.", "non-dropping-particle" : "", "parse-names" : false, "suffix" : "" }, { "dropping-particle" : "", "family" : "Duan", "given" : "Xuchen", "non-dropping-particle" : "", "parse-names" : false, "suffix" : "" }, { "dropping-particle" : "", "family" : "Triffitt", "given" : "James T.", "non-dropping-particle" : "", "parse-names" : false, "suffix" : "" }, { "dropping-particle" : "", "family" : "Dunford", "given" : "James E.", "non-dropping-particle" : "", "parse-names" : false, "suffix" : "" }, { "dropping-particle" : "", "family" : "Russell", "given" : "R. Graham G", "non-dropping-particle" : "", "parse-names" : false, "suffix" : "" }, { "dropping-particle" : "", "family" : "Ebetino", "given" : "Frank H.", "non-dropping-particle" : "", "parse-names" : false, "suffix" : "" }, { "dropping-particle" : "", "family" : "Roelofs", "given" : "Anke J.", "non-dropping-particle" : "", "parse-names" : false, "suffix" : "" }, { "dropping-particle" : "", "family" : "Coxon", "given" : "Fraser P.", "non-dropping-particle" : "", "parse-names" : false, "suffix" : "" }, { "dropping-particle" : "", "family" : "Lundy", "given" : "Mark W.", "non-dropping-particle" : "", "parse-names" : false, "suffix" : "" }, { "dropping-particle" : "", "family" : "McKenna", "given" : "Charles E.", "non-dropping-particle" : "", "parse-names" : false, "suffix" : "" } ], "container-title" : "Bioconjugate Chemistry", "id" : "ITEM-1", "issue" : "2", "issued" : { "date-parts" : [ [ "2016" ] ] }, "page" : "329-340", "title" : "Fluorescent Bisphosphonate and Carboxyphosphonate Probes: A Versatile Imaging Toolkit for Applications in Bone Biology and Biomedicine", "type" : "article-journal", "volume" : "27" }, "uris" : [ "http://www.mendeley.com/documents/?uuid=677f4283-ba0b-44ba-8a52-43696283d31c", "http://www.mendeley.com/documents/?uuid=1b6e37cb-5ca0-416f-8a7a-d94dba37dd6c" ] } ], "mendeley" : { "formattedCitation" : "[59]", "plainTextFormattedCitation" : "[59]", "previouslyFormattedCitation" : "[59]" }, "properties" : { "noteIndex" : 0 }, "schema" : "https://github.com/citation-style-language/schema/raw/master/csl-citation.json" }</w:instrText>
      </w:r>
      <w:r w:rsidR="001A2820" w:rsidRPr="007721FB">
        <w:rPr>
          <w:rFonts w:ascii="Times New Roman" w:hAnsi="Times New Roman" w:cs="Times New Roman"/>
          <w:sz w:val="24"/>
        </w:rPr>
        <w:fldChar w:fldCharType="separate"/>
      </w:r>
      <w:r w:rsidR="00B31E12" w:rsidRPr="007721FB">
        <w:rPr>
          <w:rFonts w:ascii="Times New Roman" w:hAnsi="Times New Roman" w:cs="Times New Roman"/>
          <w:noProof/>
          <w:sz w:val="24"/>
        </w:rPr>
        <w:t>[59]</w:t>
      </w:r>
      <w:r w:rsidR="001A2820" w:rsidRPr="007721FB">
        <w:rPr>
          <w:rFonts w:ascii="Times New Roman" w:hAnsi="Times New Roman" w:cs="Times New Roman"/>
          <w:sz w:val="24"/>
        </w:rPr>
        <w:fldChar w:fldCharType="end"/>
      </w:r>
      <w:r w:rsidR="009E1898" w:rsidRPr="007721FB">
        <w:rPr>
          <w:rFonts w:ascii="Times New Roman" w:hAnsi="Times New Roman" w:cs="Times New Roman"/>
          <w:sz w:val="24"/>
        </w:rPr>
        <w:t>. Using a different strategy,</w:t>
      </w:r>
      <w:r w:rsidR="00696BAA" w:rsidRPr="007721FB">
        <w:rPr>
          <w:rFonts w:ascii="Times New Roman" w:hAnsi="Times New Roman" w:cs="Times New Roman"/>
          <w:sz w:val="24"/>
        </w:rPr>
        <w:t xml:space="preserve"> Peck </w:t>
      </w:r>
      <w:r w:rsidR="009E1898" w:rsidRPr="007721FB">
        <w:rPr>
          <w:rFonts w:ascii="Times New Roman" w:hAnsi="Times New Roman" w:cs="Times New Roman"/>
          <w:sz w:val="24"/>
        </w:rPr>
        <w:t>and colleagues</w:t>
      </w:r>
      <w:r w:rsidR="00696BAA" w:rsidRPr="007721FB">
        <w:rPr>
          <w:rFonts w:ascii="Times New Roman" w:hAnsi="Times New Roman" w:cs="Times New Roman"/>
          <w:sz w:val="24"/>
        </w:rPr>
        <w:t xml:space="preserve"> exploited synthavidin technology to design highly biocompatible pre-assembled probes with affinity for high turnover living bone regions</w:t>
      </w:r>
      <w:r w:rsidR="009E1898" w:rsidRPr="007721FB">
        <w:rPr>
          <w:rFonts w:ascii="Times New Roman" w:hAnsi="Times New Roman" w:cs="Times New Roman"/>
          <w:sz w:val="24"/>
        </w:rPr>
        <w:t xml:space="preserve"> </w:t>
      </w:r>
      <w:r w:rsidR="00696BAA" w:rsidRPr="007721FB">
        <w:rPr>
          <w:rFonts w:ascii="Times New Roman" w:hAnsi="Times New Roman" w:cs="Times New Roman"/>
          <w:sz w:val="24"/>
        </w:rPr>
        <w:fldChar w:fldCharType="begin" w:fldLock="1"/>
      </w:r>
      <w:r w:rsidR="00B31E12" w:rsidRPr="007721FB">
        <w:rPr>
          <w:rFonts w:ascii="Times New Roman" w:hAnsi="Times New Roman" w:cs="Times New Roman"/>
          <w:sz w:val="24"/>
        </w:rPr>
        <w:instrText>ADDIN CSL_CITATION { "citationItems" : [ { "id" : "ITEM-1", "itemData" : { "DOI" : "10.1021/acs.bioconjchem.6b00173", "ISSN" : "15204812", "abstract" : "A programmable pre-assembly method is described and shown to produce near-infrared fluorescent molecular probes with tunable multivalent binding properties. The modular assembly process threads one or two copies of a tetralactam macrocycle onto a fluorescent PEGylated squaraine scaffold containing a complementary number of docking stations. Appended to the macrocycle periphery are multiple copies of a ligand that is known to target a biomarker. The structure and high purity of each threaded complex was determined by independent spectrometric methods and also by gel electrophoresis. Especially helpful were diagnostic red-shift and energy transfer features in the absorption and fluorescence spectra. The threaded complexes were found to be effective multivalent molecular probes for fluorescence microscopy and in vivo fluorescence imaging of living subjects. Two multivalent probes were prepared and tested for targeting of bone in mice. A pre-assembled probe with 12 bone-targeting iminodiacetate ligands produced more bone accumulation than an analogous pre-assembled probe with six iminodiacetate ligands. Notably, there was no loss in probe fluorescence at the bone target site after 24 h in the living animal, indicating that the pre-assembled fluorescent probe maintained very high mechanical and chemical stability on the skeletal surface. The study shows how this versatile pre-assembly method can be used in a parallel combinatorial manner to produce libraries of near-infrared fluorescent multivalent molecular probes for different types of imaging and diagnostic applications, with incremental structural changes in the number of targeting groups, linker lengths, linker flexibility, and degree of PEGylation.", "author" : [ { "dropping-particle" : "", "family" : "Peck", "given" : "Evan M.", "non-dropping-particle" : "", "parse-names" : false, "suffix" : "" }, { "dropping-particle" : "", "family" : "Battles", "given" : "Paul M.", "non-dropping-particle" : "", "parse-names" : false, "suffix" : "" }, { "dropping-particle" : "", "family" : "Rice", "given" : "Douglas R.", "non-dropping-particle" : "", "parse-names" : false, "suffix" : "" }, { "dropping-particle" : "", "family" : "Roland", "given" : "Felicia M.", "non-dropping-particle" : "", "parse-names" : false, "suffix" : "" }, { "dropping-particle" : "", "family" : "Norquest", "given" : "Kathryn A.", "non-dropping-particle" : "", "parse-names" : false, "suffix" : "" }, { "dropping-particle" : "", "family" : "Smith", "given" : "Bradley D.", "non-dropping-particle" : "", "parse-names" : false, "suffix" : "" } ], "container-title" : "Bioconjugate Chemistry", "id" : "ITEM-1", "issue" : "5", "issued" : { "date-parts" : [ [ "2016" ] ] }, "page" : "1400-1410", "title" : "Pre-Assembly of Near-Infrared Fluorescent Multivalent Molecular Probes for Biological Imaging", "type" : "article-journal", "volume" : "27" }, "uris" : [ "http://www.mendeley.com/documents/?uuid=356925c7-8a73-49b1-88ee-7f177088f2cf", "http://www.mendeley.com/documents/?uuid=3c9b54ec-ff51-41eb-a1c3-84541caaa21a" ] } ], "mendeley" : { "formattedCitation" : "[60]", "plainTextFormattedCitation" : "[60]", "previouslyFormattedCitation" : "[60]" }, "properties" : { "noteIndex" : 0 }, "schema" : "https://github.com/citation-style-language/schema/raw/master/csl-citation.json" }</w:instrText>
      </w:r>
      <w:r w:rsidR="00696BAA" w:rsidRPr="007721FB">
        <w:rPr>
          <w:rFonts w:ascii="Times New Roman" w:hAnsi="Times New Roman" w:cs="Times New Roman"/>
          <w:sz w:val="24"/>
        </w:rPr>
        <w:fldChar w:fldCharType="separate"/>
      </w:r>
      <w:r w:rsidR="00B31E12" w:rsidRPr="007721FB">
        <w:rPr>
          <w:rFonts w:ascii="Times New Roman" w:hAnsi="Times New Roman" w:cs="Times New Roman"/>
          <w:noProof/>
          <w:sz w:val="24"/>
        </w:rPr>
        <w:t>[60]</w:t>
      </w:r>
      <w:r w:rsidR="00696BAA" w:rsidRPr="007721FB">
        <w:rPr>
          <w:rFonts w:ascii="Times New Roman" w:hAnsi="Times New Roman" w:cs="Times New Roman"/>
          <w:sz w:val="24"/>
        </w:rPr>
        <w:fldChar w:fldCharType="end"/>
      </w:r>
      <w:r w:rsidR="009E1898" w:rsidRPr="007721FB">
        <w:rPr>
          <w:rFonts w:ascii="Times New Roman" w:hAnsi="Times New Roman" w:cs="Times New Roman"/>
          <w:sz w:val="24"/>
        </w:rPr>
        <w:t>.</w:t>
      </w:r>
      <w:r w:rsidR="00696BAA" w:rsidRPr="007721FB">
        <w:rPr>
          <w:rFonts w:ascii="Times New Roman" w:hAnsi="Times New Roman" w:cs="Times New Roman"/>
          <w:sz w:val="24"/>
        </w:rPr>
        <w:t xml:space="preserve"> Notably this probe maintained high stability even after 24 h</w:t>
      </w:r>
      <w:r w:rsidR="009E1898" w:rsidRPr="007721FB">
        <w:rPr>
          <w:rFonts w:ascii="Times New Roman" w:hAnsi="Times New Roman" w:cs="Times New Roman"/>
          <w:sz w:val="24"/>
        </w:rPr>
        <w:t xml:space="preserve"> past</w:t>
      </w:r>
      <w:r w:rsidR="00696BAA" w:rsidRPr="007721FB">
        <w:rPr>
          <w:rFonts w:ascii="Times New Roman" w:hAnsi="Times New Roman" w:cs="Times New Roman"/>
          <w:sz w:val="24"/>
        </w:rPr>
        <w:t xml:space="preserve"> administration</w:t>
      </w:r>
      <w:r w:rsidR="006179AD" w:rsidRPr="007721FB">
        <w:rPr>
          <w:rFonts w:ascii="Times New Roman" w:hAnsi="Times New Roman" w:cs="Times New Roman"/>
          <w:sz w:val="24"/>
        </w:rPr>
        <w:t xml:space="preserve"> </w:t>
      </w:r>
      <w:r w:rsidR="00696BAA" w:rsidRPr="007721FB">
        <w:rPr>
          <w:rFonts w:ascii="Times New Roman" w:hAnsi="Times New Roman" w:cs="Times New Roman"/>
          <w:sz w:val="24"/>
        </w:rPr>
        <w:t>(Fig</w:t>
      </w:r>
      <w:r w:rsidR="009E1898" w:rsidRPr="007721FB">
        <w:rPr>
          <w:rFonts w:ascii="Times New Roman" w:hAnsi="Times New Roman" w:cs="Times New Roman"/>
          <w:sz w:val="24"/>
        </w:rPr>
        <w:t xml:space="preserve">ure </w:t>
      </w:r>
      <w:r w:rsidR="003F35D7" w:rsidRPr="007721FB">
        <w:rPr>
          <w:rFonts w:ascii="Times New Roman" w:hAnsi="Times New Roman" w:cs="Times New Roman"/>
          <w:sz w:val="24"/>
        </w:rPr>
        <w:t>3</w:t>
      </w:r>
      <w:r w:rsidR="00696BAA" w:rsidRPr="007721FB">
        <w:rPr>
          <w:rFonts w:ascii="Times New Roman" w:hAnsi="Times New Roman" w:cs="Times New Roman"/>
          <w:sz w:val="24"/>
        </w:rPr>
        <w:t>B)</w:t>
      </w:r>
      <w:r w:rsidR="006179AD" w:rsidRPr="007721FB">
        <w:rPr>
          <w:rFonts w:ascii="Times New Roman" w:hAnsi="Times New Roman" w:cs="Times New Roman"/>
          <w:sz w:val="24"/>
        </w:rPr>
        <w:t>.</w:t>
      </w:r>
      <w:r w:rsidR="00696BAA" w:rsidRPr="007721FB">
        <w:rPr>
          <w:rFonts w:ascii="Times New Roman" w:hAnsi="Times New Roman" w:cs="Times New Roman"/>
          <w:sz w:val="24"/>
        </w:rPr>
        <w:t xml:space="preserve"> </w:t>
      </w:r>
      <w:r w:rsidR="00287BD5" w:rsidRPr="007721FB">
        <w:rPr>
          <w:rFonts w:ascii="Times New Roman" w:hAnsi="Times New Roman" w:cs="Times New Roman"/>
          <w:sz w:val="24"/>
        </w:rPr>
        <w:t>The</w:t>
      </w:r>
      <w:r w:rsidR="00696BAA" w:rsidRPr="007721FB">
        <w:rPr>
          <w:rFonts w:ascii="Times New Roman" w:hAnsi="Times New Roman" w:cs="Times New Roman"/>
          <w:sz w:val="24"/>
        </w:rPr>
        <w:t xml:space="preserve"> probe</w:t>
      </w:r>
      <w:r w:rsidR="00287BD5" w:rsidRPr="007721FB">
        <w:rPr>
          <w:rFonts w:ascii="Times New Roman" w:hAnsi="Times New Roman" w:cs="Times New Roman"/>
          <w:sz w:val="24"/>
        </w:rPr>
        <w:t xml:space="preserve"> does</w:t>
      </w:r>
      <w:r w:rsidR="00696BAA" w:rsidRPr="007721FB">
        <w:rPr>
          <w:rFonts w:ascii="Times New Roman" w:hAnsi="Times New Roman" w:cs="Times New Roman"/>
          <w:sz w:val="24"/>
        </w:rPr>
        <w:t xml:space="preserve"> suffer</w:t>
      </w:r>
      <w:r w:rsidR="006179AD" w:rsidRPr="007721FB">
        <w:rPr>
          <w:rFonts w:ascii="Times New Roman" w:hAnsi="Times New Roman" w:cs="Times New Roman"/>
          <w:sz w:val="24"/>
        </w:rPr>
        <w:t xml:space="preserve"> from</w:t>
      </w:r>
      <w:r w:rsidR="00696BAA" w:rsidRPr="007721FB">
        <w:rPr>
          <w:rFonts w:ascii="Times New Roman" w:hAnsi="Times New Roman" w:cs="Times New Roman"/>
          <w:sz w:val="24"/>
        </w:rPr>
        <w:t xml:space="preserve"> squaraine self-quenching in aqueous solutions, but binding to bone surfaces inhibits this effect, an exciting observation that may be useful in the future for improving signal/noise ratio (Fig</w:t>
      </w:r>
      <w:r w:rsidR="009E1898" w:rsidRPr="007721FB">
        <w:rPr>
          <w:rFonts w:ascii="Times New Roman" w:hAnsi="Times New Roman" w:cs="Times New Roman"/>
          <w:sz w:val="24"/>
        </w:rPr>
        <w:t>ure</w:t>
      </w:r>
      <w:r w:rsidR="00696BAA" w:rsidRPr="007721FB">
        <w:rPr>
          <w:rFonts w:ascii="Times New Roman" w:hAnsi="Times New Roman" w:cs="Times New Roman"/>
          <w:sz w:val="24"/>
        </w:rPr>
        <w:t xml:space="preserve"> </w:t>
      </w:r>
      <w:r w:rsidR="003F35D7" w:rsidRPr="007721FB">
        <w:rPr>
          <w:rFonts w:ascii="Times New Roman" w:hAnsi="Times New Roman" w:cs="Times New Roman"/>
          <w:sz w:val="24"/>
        </w:rPr>
        <w:t>3</w:t>
      </w:r>
      <w:r w:rsidR="00696BAA" w:rsidRPr="007721FB">
        <w:rPr>
          <w:rFonts w:ascii="Times New Roman" w:hAnsi="Times New Roman" w:cs="Times New Roman"/>
          <w:sz w:val="24"/>
        </w:rPr>
        <w:t>C)</w:t>
      </w:r>
      <w:r w:rsidR="009E1898" w:rsidRPr="007721FB">
        <w:rPr>
          <w:rFonts w:ascii="Times New Roman" w:hAnsi="Times New Roman" w:cs="Times New Roman"/>
          <w:sz w:val="24"/>
        </w:rPr>
        <w:t>.</w:t>
      </w:r>
    </w:p>
    <w:p w14:paraId="2FC04E5F" w14:textId="76313688" w:rsidR="001A2820" w:rsidRPr="007721FB" w:rsidRDefault="001A2820" w:rsidP="00EE0E61">
      <w:pPr>
        <w:spacing w:after="0" w:line="240" w:lineRule="auto"/>
        <w:jc w:val="both"/>
        <w:rPr>
          <w:rFonts w:ascii="Times New Roman" w:hAnsi="Times New Roman" w:cs="Times New Roman"/>
          <w:sz w:val="24"/>
        </w:rPr>
      </w:pPr>
    </w:p>
    <w:p w14:paraId="5905F844" w14:textId="2E7D28B3" w:rsidR="001A2820" w:rsidRPr="007721FB" w:rsidRDefault="001A2820" w:rsidP="00D867DF">
      <w:pPr>
        <w:spacing w:after="0" w:line="240" w:lineRule="auto"/>
        <w:jc w:val="center"/>
        <w:rPr>
          <w:rFonts w:ascii="Times New Roman" w:hAnsi="Times New Roman" w:cs="Times New Roman"/>
          <w:sz w:val="24"/>
        </w:rPr>
      </w:pPr>
      <w:r w:rsidRPr="007721FB">
        <w:rPr>
          <w:noProof/>
        </w:rPr>
        <w:lastRenderedPageBreak/>
        <w:drawing>
          <wp:inline distT="0" distB="0" distL="0" distR="0" wp14:anchorId="11537E33" wp14:editId="72DF70E3">
            <wp:extent cx="5184251" cy="2242185"/>
            <wp:effectExtent l="0" t="0" r="0" b="5715"/>
            <wp:docPr id="15" name="Imagem 15" descr="C:\Users\Vítor Gaspar\AppData\Local\Microsoft\Windows\INetCache\Content.Word\Imagem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ítor Gaspar\AppData\Local\Microsoft\Windows\INetCache\Content.Word\Imagem1.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4835" cy="2251088"/>
                    </a:xfrm>
                    <a:prstGeom prst="rect">
                      <a:avLst/>
                    </a:prstGeom>
                    <a:noFill/>
                    <a:ln>
                      <a:noFill/>
                    </a:ln>
                  </pic:spPr>
                </pic:pic>
              </a:graphicData>
            </a:graphic>
          </wp:inline>
        </w:drawing>
      </w:r>
    </w:p>
    <w:p w14:paraId="33D6353B" w14:textId="3F5F2BAB" w:rsidR="00696BAA" w:rsidRPr="007721FB" w:rsidRDefault="00696BAA" w:rsidP="00F42607">
      <w:pPr>
        <w:spacing w:after="120" w:line="240" w:lineRule="auto"/>
        <w:jc w:val="both"/>
        <w:rPr>
          <w:rFonts w:ascii="Times New Roman" w:hAnsi="Times New Roman" w:cs="Times New Roman"/>
        </w:rPr>
      </w:pPr>
      <w:r w:rsidRPr="007721FB">
        <w:rPr>
          <w:rFonts w:ascii="Times New Roman" w:hAnsi="Times New Roman" w:cs="Times New Roman"/>
          <w:b/>
        </w:rPr>
        <w:t>Fig</w:t>
      </w:r>
      <w:r w:rsidR="001A2820" w:rsidRPr="007721FB">
        <w:rPr>
          <w:rFonts w:ascii="Times New Roman" w:hAnsi="Times New Roman" w:cs="Times New Roman"/>
          <w:b/>
        </w:rPr>
        <w:t>ure 3.</w:t>
      </w:r>
      <w:r w:rsidRPr="007721FB">
        <w:rPr>
          <w:rFonts w:ascii="Times New Roman" w:hAnsi="Times New Roman" w:cs="Times New Roman"/>
        </w:rPr>
        <w:t xml:space="preserve"> </w:t>
      </w:r>
      <w:r w:rsidR="001A2820" w:rsidRPr="007721FB">
        <w:rPr>
          <w:rFonts w:ascii="Times New Roman" w:hAnsi="Times New Roman" w:cs="Times New Roman"/>
        </w:rPr>
        <w:t xml:space="preserve">Advanced bone imaging technologies. </w:t>
      </w:r>
      <w:r w:rsidRPr="007721FB">
        <w:rPr>
          <w:rFonts w:ascii="Times New Roman" w:hAnsi="Times New Roman" w:cs="Times New Roman"/>
        </w:rPr>
        <w:t xml:space="preserve">(A) Pocket of bone marrow surrounded by </w:t>
      </w:r>
      <w:r w:rsidR="00B2136A" w:rsidRPr="007721FB">
        <w:rPr>
          <w:rFonts w:ascii="Times New Roman" w:hAnsi="Times New Roman" w:cs="Times New Roman"/>
        </w:rPr>
        <w:t xml:space="preserve">fluorescently </w:t>
      </w:r>
      <w:r w:rsidRPr="007721FB">
        <w:rPr>
          <w:rFonts w:ascii="Times New Roman" w:hAnsi="Times New Roman" w:cs="Times New Roman"/>
        </w:rPr>
        <w:t xml:space="preserve">labelled bone matrix (red - low HA affinity probe; green - high HA affinity probe) with DAPI (blue) stained nuclei. Adapted from </w:t>
      </w:r>
      <w:r w:rsidRPr="007721FB">
        <w:rPr>
          <w:rFonts w:ascii="Times New Roman" w:hAnsi="Times New Roman" w:cs="Times New Roman"/>
        </w:rPr>
        <w:fldChar w:fldCharType="begin" w:fldLock="1"/>
      </w:r>
      <w:r w:rsidR="00B31E12" w:rsidRPr="007721FB">
        <w:rPr>
          <w:rFonts w:ascii="Times New Roman" w:hAnsi="Times New Roman" w:cs="Times New Roman"/>
        </w:rPr>
        <w:instrText>ADDIN CSL_CITATION { "citationItems" : [ { "id" : "ITEM-1", "itemData" : { "DOI" : "10.1021/acs.bioconjchem.5b00369", "ISBN" : "1520-4812 (Electronic)\\r1043-1802 (Linking)", "ISSN" : "15204812", "PMID" : "26646666", "abstract" : "A bone imaging toolkit of 21 fluorescent probes with variable spectroscopic properties, bone mineral binding affinities, and antiprenylation activities has been created, including a novel linking strategy. The linking chemistry allows attachment of a diverse selection of dyes fluorescent in the visible to near-infrared range to any of the three clinically important heterocyclic bisphosphonate bone drugs (risedronate, zoledronate, and minodronate or their analogues). The resultant suite of conjugates offers multiple options to \"mix and match\" parent drug structure, fluorescence emission wavelength, relative bone affinity, and presence or absence of antiprenylation activity, for bone-related imaging applications.", "author" : [ { "dropping-particle" : "", "family" : "Sun", "given" : "Shuting", "non-dropping-particle" : "", "parse-names" : false, "suffix" : "" }, { "dropping-particle" : "", "family" : "B\u0141azewska", "given" : "Katarzyna M.", "non-dropping-particle" : "", "parse-names" : false, "suffix" : "" }, { "dropping-particle" : "", "family" : "Kadina", "given" : "Anastasia P.", "non-dropping-particle" : "", "parse-names" : false, "suffix" : "" }, { "dropping-particle" : "", "family" : "Kashemirov", "given" : "Boris A.", "non-dropping-particle" : "", "parse-names" : false, "suffix" : "" }, { "dropping-particle" : "", "family" : "Duan", "given" : "Xuchen", "non-dropping-particle" : "", "parse-names" : false, "suffix" : "" }, { "dropping-particle" : "", "family" : "Triffitt", "given" : "James T.", "non-dropping-particle" : "", "parse-names" : false, "suffix" : "" }, { "dropping-particle" : "", "family" : "Dunford", "given" : "James E.", "non-dropping-particle" : "", "parse-names" : false, "suffix" : "" }, { "dropping-particle" : "", "family" : "Russell", "given" : "R. Graham G", "non-dropping-particle" : "", "parse-names" : false, "suffix" : "" }, { "dropping-particle" : "", "family" : "Ebetino", "given" : "Frank H.", "non-dropping-particle" : "", "parse-names" : false, "suffix" : "" }, { "dropping-particle" : "", "family" : "Roelofs", "given" : "Anke J.", "non-dropping-particle" : "", "parse-names" : false, "suffix" : "" }, { "dropping-particle" : "", "family" : "Coxon", "given" : "Fraser P.", "non-dropping-particle" : "", "parse-names" : false, "suffix" : "" }, { "dropping-particle" : "", "family" : "Lundy", "given" : "Mark W.", "non-dropping-particle" : "", "parse-names" : false, "suffix" : "" }, { "dropping-particle" : "", "family" : "McKenna", "given" : "Charles E.", "non-dropping-particle" : "", "parse-names" : false, "suffix" : "" } ], "container-title" : "Bioconjugate Chemistry", "id" : "ITEM-1", "issue" : "2", "issued" : { "date-parts" : [ [ "2016" ] ] }, "page" : "329-340", "title" : "Fluorescent Bisphosphonate and Carboxyphosphonate Probes: A Versatile Imaging Toolkit for Applications in Bone Biology and Biomedicine", "type" : "article-journal", "volume" : "27" }, "uris" : [ "http://www.mendeley.com/documents/?uuid=1b6e37cb-5ca0-416f-8a7a-d94dba37dd6c", "http://www.mendeley.com/documents/?uuid=677f4283-ba0b-44ba-8a52-43696283d31c" ] } ], "mendeley" : { "formattedCitation" : "[59]", "plainTextFormattedCitation" : "[59]", "previouslyFormattedCitation" : "[59]" }, "properties" : { "noteIndex" : 0 }, "schema" : "https://github.com/citation-style-language/schema/raw/master/csl-citation.json" }</w:instrText>
      </w:r>
      <w:r w:rsidRPr="007721FB">
        <w:rPr>
          <w:rFonts w:ascii="Times New Roman" w:hAnsi="Times New Roman" w:cs="Times New Roman"/>
        </w:rPr>
        <w:fldChar w:fldCharType="separate"/>
      </w:r>
      <w:r w:rsidR="00B31E12" w:rsidRPr="007721FB">
        <w:rPr>
          <w:rFonts w:ascii="Times New Roman" w:hAnsi="Times New Roman" w:cs="Times New Roman"/>
          <w:noProof/>
        </w:rPr>
        <w:t>[59]</w:t>
      </w:r>
      <w:r w:rsidRPr="007721FB">
        <w:rPr>
          <w:rFonts w:ascii="Times New Roman" w:hAnsi="Times New Roman" w:cs="Times New Roman"/>
        </w:rPr>
        <w:fldChar w:fldCharType="end"/>
      </w:r>
      <w:r w:rsidR="006179AD" w:rsidRPr="007721FB">
        <w:rPr>
          <w:rFonts w:ascii="Times New Roman" w:hAnsi="Times New Roman" w:cs="Times New Roman"/>
        </w:rPr>
        <w:t xml:space="preserve"> with permission</w:t>
      </w:r>
      <w:r w:rsidR="007F0A3C" w:rsidRPr="007721FB">
        <w:rPr>
          <w:rFonts w:ascii="Times New Roman" w:hAnsi="Times New Roman" w:cs="Times New Roman"/>
        </w:rPr>
        <w:t xml:space="preserve"> from</w:t>
      </w:r>
      <w:r w:rsidR="00CC3ECB" w:rsidRPr="007721FB">
        <w:rPr>
          <w:rFonts w:ascii="Times New Roman" w:hAnsi="Times New Roman" w:cs="Times New Roman"/>
        </w:rPr>
        <w:t xml:space="preserve"> the American Chemical Society</w:t>
      </w:r>
      <w:r w:rsidRPr="007721FB">
        <w:rPr>
          <w:rFonts w:ascii="Times New Roman" w:hAnsi="Times New Roman" w:cs="Times New Roman"/>
        </w:rPr>
        <w:t>. (B)</w:t>
      </w:r>
      <w:r w:rsidRPr="007721FB">
        <w:t xml:space="preserve"> </w:t>
      </w:r>
      <w:r w:rsidRPr="007721FB">
        <w:rPr>
          <w:rFonts w:ascii="Times New Roman" w:hAnsi="Times New Roman" w:cs="Times New Roman"/>
        </w:rPr>
        <w:t xml:space="preserve">Evidence of probe high stability on living mice skeleton. (C) Fluorescence enhancement caused by probe unfolding when binding to bone. Adapted from </w:t>
      </w:r>
      <w:r w:rsidRPr="007721FB">
        <w:rPr>
          <w:rFonts w:ascii="Times New Roman" w:hAnsi="Times New Roman" w:cs="Times New Roman"/>
        </w:rPr>
        <w:fldChar w:fldCharType="begin" w:fldLock="1"/>
      </w:r>
      <w:r w:rsidR="00B31E12" w:rsidRPr="007721FB">
        <w:rPr>
          <w:rFonts w:ascii="Times New Roman" w:hAnsi="Times New Roman" w:cs="Times New Roman"/>
        </w:rPr>
        <w:instrText>ADDIN CSL_CITATION { "citationItems" : [ { "id" : "ITEM-1", "itemData" : { "DOI" : "10.1021/acs.bioconjchem.6b00173", "ISSN" : "15204812", "abstract" : "A programmable pre-assembly method is described and shown to produce near-infrared fluorescent molecular probes with tunable multivalent binding properties. The modular assembly process threads one or two copies of a tetralactam macrocycle onto a fluorescent PEGylated squaraine scaffold containing a complementary number of docking stations. Appended to the macrocycle periphery are multiple copies of a ligand that is known to target a biomarker. The structure and high purity of each threaded complex was determined by independent spectrometric methods and also by gel electrophoresis. Especially helpful were diagnostic red-shift and energy transfer features in the absorption and fluorescence spectra. The threaded complexes were found to be effective multivalent molecular probes for fluorescence microscopy and in vivo fluorescence imaging of living subjects. Two multivalent probes were prepared and tested for targeting of bone in mice. A pre-assembled probe with 12 bone-targeting iminodiacetate ligands produced more bone accumulation than an analogous pre-assembled probe with six iminodiacetate ligands. Notably, there was no loss in probe fluorescence at the bone target site after 24 h in the living animal, indicating that the pre-assembled fluorescent probe maintained very high mechanical and chemical stability on the skeletal surface. The study shows how this versatile pre-assembly method can be used in a parallel combinatorial manner to produce libraries of near-infrared fluorescent multivalent molecular probes for different types of imaging and diagnostic applications, with incremental structural changes in the number of targeting groups, linker lengths, linker flexibility, and degree of PEGylation.", "author" : [ { "dropping-particle" : "", "family" : "Peck", "given" : "Evan M.", "non-dropping-particle" : "", "parse-names" : false, "suffix" : "" }, { "dropping-particle" : "", "family" : "Battles", "given" : "Paul M.", "non-dropping-particle" : "", "parse-names" : false, "suffix" : "" }, { "dropping-particle" : "", "family" : "Rice", "given" : "Douglas R.", "non-dropping-particle" : "", "parse-names" : false, "suffix" : "" }, { "dropping-particle" : "", "family" : "Roland", "given" : "Felicia M.", "non-dropping-particle" : "", "parse-names" : false, "suffix" : "" }, { "dropping-particle" : "", "family" : "Norquest", "given" : "Kathryn A.", "non-dropping-particle" : "", "parse-names" : false, "suffix" : "" }, { "dropping-particle" : "", "family" : "Smith", "given" : "Bradley D.", "non-dropping-particle" : "", "parse-names" : false, "suffix" : "" } ], "container-title" : "Bioconjugate Chemistry", "id" : "ITEM-1", "issue" : "5", "issued" : { "date-parts" : [ [ "2016" ] ] }, "page" : "1400-1410", "title" : "Pre-Assembly of Near-Infrared Fluorescent Multivalent Molecular Probes for Biological Imaging", "type" : "article-journal", "volume" : "27" }, "uris" : [ "http://www.mendeley.com/documents/?uuid=3c9b54ec-ff51-41eb-a1c3-84541caaa21a", "http://www.mendeley.com/documents/?uuid=356925c7-8a73-49b1-88ee-7f177088f2cf" ] } ], "mendeley" : { "formattedCitation" : "[60]", "plainTextFormattedCitation" : "[60]", "previouslyFormattedCitation" : "[60]" }, "properties" : { "noteIndex" : 0 }, "schema" : "https://github.com/citation-style-language/schema/raw/master/csl-citation.json" }</w:instrText>
      </w:r>
      <w:r w:rsidRPr="007721FB">
        <w:rPr>
          <w:rFonts w:ascii="Times New Roman" w:hAnsi="Times New Roman" w:cs="Times New Roman"/>
        </w:rPr>
        <w:fldChar w:fldCharType="separate"/>
      </w:r>
      <w:r w:rsidR="00B31E12" w:rsidRPr="007721FB">
        <w:rPr>
          <w:rFonts w:ascii="Times New Roman" w:hAnsi="Times New Roman" w:cs="Times New Roman"/>
          <w:noProof/>
        </w:rPr>
        <w:t>[60]</w:t>
      </w:r>
      <w:r w:rsidRPr="007721FB">
        <w:rPr>
          <w:rFonts w:ascii="Times New Roman" w:hAnsi="Times New Roman" w:cs="Times New Roman"/>
        </w:rPr>
        <w:fldChar w:fldCharType="end"/>
      </w:r>
      <w:r w:rsidR="00B2136A" w:rsidRPr="007721FB">
        <w:rPr>
          <w:rFonts w:ascii="Times New Roman" w:hAnsi="Times New Roman" w:cs="Times New Roman"/>
        </w:rPr>
        <w:t xml:space="preserve"> with permission fro</w:t>
      </w:r>
      <w:r w:rsidR="00CC3ECB" w:rsidRPr="007721FB">
        <w:rPr>
          <w:rFonts w:ascii="Times New Roman" w:hAnsi="Times New Roman" w:cs="Times New Roman"/>
        </w:rPr>
        <w:t>m the American Chemical Society.</w:t>
      </w:r>
    </w:p>
    <w:p w14:paraId="282596AA" w14:textId="086E1D95" w:rsidR="0031674A" w:rsidRPr="007721FB" w:rsidRDefault="0031674A" w:rsidP="0031674A">
      <w:pPr>
        <w:spacing w:after="0" w:line="240" w:lineRule="auto"/>
        <w:jc w:val="both"/>
        <w:rPr>
          <w:rFonts w:ascii="Times New Roman" w:hAnsi="Times New Roman" w:cs="Times New Roman"/>
          <w:sz w:val="24"/>
          <w:szCs w:val="24"/>
        </w:rPr>
      </w:pPr>
      <w:r w:rsidRPr="007721FB">
        <w:rPr>
          <w:rFonts w:ascii="Times New Roman" w:hAnsi="Times New Roman" w:cs="Times New Roman"/>
          <w:sz w:val="24"/>
          <w:szCs w:val="24"/>
        </w:rPr>
        <w:t xml:space="preserve">   </w:t>
      </w:r>
      <w:r w:rsidR="00235041" w:rsidRPr="007721FB">
        <w:rPr>
          <w:rFonts w:ascii="Times New Roman" w:hAnsi="Times New Roman" w:cs="Times New Roman"/>
          <w:sz w:val="24"/>
          <w:szCs w:val="24"/>
        </w:rPr>
        <w:t xml:space="preserve">The advances in disease-specific imaging and cell tracking techniques in bone tissues are expected to contribute for a more robust </w:t>
      </w:r>
      <w:r w:rsidR="00BF66B0" w:rsidRPr="007721FB">
        <w:rPr>
          <w:rFonts w:ascii="Times New Roman" w:hAnsi="Times New Roman" w:cs="Times New Roman"/>
          <w:sz w:val="24"/>
          <w:szCs w:val="24"/>
        </w:rPr>
        <w:t xml:space="preserve">pre-clinical validation of </w:t>
      </w:r>
      <w:r w:rsidR="00235041" w:rsidRPr="007721FB">
        <w:rPr>
          <w:rFonts w:ascii="Times New Roman" w:hAnsi="Times New Roman" w:cs="Times New Roman"/>
          <w:sz w:val="24"/>
          <w:szCs w:val="24"/>
        </w:rPr>
        <w:t>nanotherapeutics.</w:t>
      </w:r>
      <w:r w:rsidR="00BA47A6" w:rsidRPr="007721FB">
        <w:rPr>
          <w:rFonts w:ascii="Times New Roman" w:hAnsi="Times New Roman" w:cs="Times New Roman"/>
          <w:sz w:val="24"/>
          <w:szCs w:val="24"/>
        </w:rPr>
        <w:t xml:space="preserve"> These techniques will be particularly</w:t>
      </w:r>
      <w:r w:rsidR="00BF66B0" w:rsidRPr="007721FB">
        <w:rPr>
          <w:rFonts w:ascii="Times New Roman" w:hAnsi="Times New Roman" w:cs="Times New Roman"/>
          <w:sz w:val="24"/>
          <w:szCs w:val="24"/>
        </w:rPr>
        <w:t xml:space="preserve"> valuable to follow</w:t>
      </w:r>
      <w:r w:rsidR="00831B99" w:rsidRPr="007721FB">
        <w:rPr>
          <w:rFonts w:ascii="Times New Roman" w:hAnsi="Times New Roman" w:cs="Times New Roman"/>
          <w:sz w:val="24"/>
          <w:szCs w:val="24"/>
        </w:rPr>
        <w:t xml:space="preserve"> the release of</w:t>
      </w:r>
      <w:r w:rsidR="00BF66B0" w:rsidRPr="007721FB">
        <w:rPr>
          <w:rFonts w:ascii="Times New Roman" w:hAnsi="Times New Roman" w:cs="Times New Roman"/>
          <w:sz w:val="24"/>
          <w:szCs w:val="24"/>
        </w:rPr>
        <w:t xml:space="preserve"> drugs and biomacromolecules</w:t>
      </w:r>
      <w:r w:rsidR="00BA47A6" w:rsidRPr="007721FB">
        <w:rPr>
          <w:rFonts w:ascii="Times New Roman" w:hAnsi="Times New Roman" w:cs="Times New Roman"/>
          <w:sz w:val="24"/>
          <w:szCs w:val="24"/>
        </w:rPr>
        <w:t xml:space="preserve"> from stimuli-responsive nanocarriers in complex </w:t>
      </w:r>
      <w:r w:rsidR="00BA47A6" w:rsidRPr="007721FB">
        <w:rPr>
          <w:rFonts w:ascii="Times New Roman" w:hAnsi="Times New Roman" w:cs="Times New Roman"/>
          <w:i/>
          <w:sz w:val="24"/>
          <w:szCs w:val="24"/>
        </w:rPr>
        <w:t>in vivo</w:t>
      </w:r>
      <w:r w:rsidR="00BA47A6" w:rsidRPr="007721FB">
        <w:rPr>
          <w:rFonts w:ascii="Times New Roman" w:hAnsi="Times New Roman" w:cs="Times New Roman"/>
          <w:sz w:val="24"/>
          <w:szCs w:val="24"/>
        </w:rPr>
        <w:t xml:space="preserve"> environments</w:t>
      </w:r>
      <w:r w:rsidR="00BF66B0" w:rsidRPr="007721FB">
        <w:rPr>
          <w:rFonts w:ascii="Times New Roman" w:hAnsi="Times New Roman" w:cs="Times New Roman"/>
          <w:sz w:val="24"/>
          <w:szCs w:val="24"/>
        </w:rPr>
        <w:t xml:space="preserve">. </w:t>
      </w:r>
      <w:r w:rsidR="00831B99" w:rsidRPr="007721FB">
        <w:rPr>
          <w:rFonts w:ascii="Times New Roman" w:hAnsi="Times New Roman" w:cs="Times New Roman"/>
          <w:sz w:val="24"/>
          <w:szCs w:val="24"/>
        </w:rPr>
        <w:t>S</w:t>
      </w:r>
      <w:r w:rsidR="00BF66B0" w:rsidRPr="007721FB">
        <w:rPr>
          <w:rFonts w:ascii="Times New Roman" w:hAnsi="Times New Roman" w:cs="Times New Roman"/>
          <w:sz w:val="24"/>
          <w:szCs w:val="24"/>
        </w:rPr>
        <w:t>uch</w:t>
      </w:r>
      <w:r w:rsidR="00831B99" w:rsidRPr="007721FB">
        <w:rPr>
          <w:rFonts w:ascii="Times New Roman" w:hAnsi="Times New Roman" w:cs="Times New Roman"/>
          <w:sz w:val="24"/>
          <w:szCs w:val="24"/>
        </w:rPr>
        <w:t xml:space="preserve"> follow-up</w:t>
      </w:r>
      <w:r w:rsidR="00BF66B0" w:rsidRPr="007721FB">
        <w:rPr>
          <w:rFonts w:ascii="Times New Roman" w:hAnsi="Times New Roman" w:cs="Times New Roman"/>
          <w:sz w:val="24"/>
          <w:szCs w:val="24"/>
        </w:rPr>
        <w:t xml:space="preserve"> </w:t>
      </w:r>
      <w:r w:rsidR="00BA47A6" w:rsidRPr="007721FB">
        <w:rPr>
          <w:rFonts w:ascii="Times New Roman" w:hAnsi="Times New Roman" w:cs="Times New Roman"/>
          <w:sz w:val="24"/>
          <w:szCs w:val="24"/>
        </w:rPr>
        <w:t xml:space="preserve">remains a challenging aspect in the assessment of </w:t>
      </w:r>
      <w:r w:rsidR="006E71C2" w:rsidRPr="007721FB">
        <w:rPr>
          <w:rFonts w:ascii="Times New Roman" w:hAnsi="Times New Roman" w:cs="Times New Roman"/>
          <w:sz w:val="24"/>
          <w:szCs w:val="24"/>
        </w:rPr>
        <w:t>smart delivery systems</w:t>
      </w:r>
      <w:r w:rsidR="00BA47A6" w:rsidRPr="007721FB">
        <w:rPr>
          <w:rFonts w:ascii="Times New Roman" w:hAnsi="Times New Roman" w:cs="Times New Roman"/>
          <w:sz w:val="24"/>
          <w:szCs w:val="24"/>
        </w:rPr>
        <w:t xml:space="preserve"> biological performance. In the following se</w:t>
      </w:r>
      <w:r w:rsidR="00BF66B0" w:rsidRPr="007721FB">
        <w:rPr>
          <w:rFonts w:ascii="Times New Roman" w:hAnsi="Times New Roman" w:cs="Times New Roman"/>
          <w:sz w:val="24"/>
          <w:szCs w:val="24"/>
        </w:rPr>
        <w:t>ction</w:t>
      </w:r>
      <w:r w:rsidR="003F35D7" w:rsidRPr="007721FB">
        <w:rPr>
          <w:rFonts w:ascii="Times New Roman" w:hAnsi="Times New Roman" w:cs="Times New Roman"/>
          <w:sz w:val="24"/>
          <w:szCs w:val="24"/>
        </w:rPr>
        <w:t>,</w:t>
      </w:r>
      <w:r w:rsidR="00BF66B0" w:rsidRPr="007721FB">
        <w:rPr>
          <w:rFonts w:ascii="Times New Roman" w:hAnsi="Times New Roman" w:cs="Times New Roman"/>
          <w:sz w:val="24"/>
          <w:szCs w:val="24"/>
        </w:rPr>
        <w:t xml:space="preserve"> we will present and discuss up-to-date reports on stimuli-sensitive nanocarriers that exploit different stimuli in an attempt to achieve a therapeutically relevant release of bioactive molecules.</w:t>
      </w:r>
    </w:p>
    <w:p w14:paraId="3A26BE58" w14:textId="77777777" w:rsidR="0031674A" w:rsidRPr="007721FB" w:rsidRDefault="0031674A" w:rsidP="00F42607">
      <w:pPr>
        <w:spacing w:after="120" w:line="240" w:lineRule="auto"/>
        <w:jc w:val="both"/>
        <w:rPr>
          <w:rFonts w:ascii="Times New Roman" w:hAnsi="Times New Roman" w:cs="Times New Roman"/>
          <w:sz w:val="20"/>
        </w:rPr>
      </w:pPr>
    </w:p>
    <w:p w14:paraId="66BF02F8" w14:textId="6353F7D3" w:rsidR="003800A0" w:rsidRPr="007721FB" w:rsidRDefault="001341FB" w:rsidP="00F42607">
      <w:pPr>
        <w:pStyle w:val="Cabealho2"/>
        <w:keepNext w:val="0"/>
        <w:keepLines w:val="0"/>
        <w:spacing w:before="0" w:after="120" w:line="240" w:lineRule="auto"/>
        <w:jc w:val="both"/>
        <w:rPr>
          <w:rFonts w:ascii="Times New Roman" w:hAnsi="Times New Roman" w:cs="Times New Roman"/>
          <w:b/>
          <w:color w:val="auto"/>
          <w:sz w:val="28"/>
          <w:szCs w:val="28"/>
        </w:rPr>
      </w:pPr>
      <w:bookmarkStart w:id="6" w:name="_Toc471752565"/>
      <w:bookmarkStart w:id="7" w:name="_Toc471829469"/>
      <w:r w:rsidRPr="007721FB">
        <w:rPr>
          <w:rFonts w:ascii="Times New Roman" w:hAnsi="Times New Roman" w:cs="Times New Roman"/>
          <w:b/>
          <w:color w:val="auto"/>
          <w:sz w:val="28"/>
          <w:szCs w:val="28"/>
        </w:rPr>
        <w:t>3</w:t>
      </w:r>
      <w:r w:rsidR="00636AAB" w:rsidRPr="007721FB">
        <w:rPr>
          <w:rFonts w:ascii="Times New Roman" w:hAnsi="Times New Roman" w:cs="Times New Roman"/>
          <w:b/>
          <w:color w:val="auto"/>
          <w:sz w:val="28"/>
          <w:szCs w:val="28"/>
        </w:rPr>
        <w:t xml:space="preserve">. </w:t>
      </w:r>
      <w:bookmarkEnd w:id="6"/>
      <w:r w:rsidR="00540512" w:rsidRPr="007721FB">
        <w:rPr>
          <w:rFonts w:ascii="Times New Roman" w:hAnsi="Times New Roman" w:cs="Times New Roman"/>
          <w:b/>
          <w:color w:val="auto"/>
          <w:sz w:val="28"/>
          <w:szCs w:val="28"/>
        </w:rPr>
        <w:t>Stimuli-responsive Nanocarriers for</w:t>
      </w:r>
      <w:r w:rsidR="00831B99" w:rsidRPr="007721FB">
        <w:rPr>
          <w:rFonts w:ascii="Times New Roman" w:hAnsi="Times New Roman" w:cs="Times New Roman"/>
          <w:b/>
          <w:color w:val="auto"/>
          <w:sz w:val="28"/>
          <w:szCs w:val="28"/>
        </w:rPr>
        <w:t xml:space="preserve"> the</w:t>
      </w:r>
      <w:r w:rsidR="00540512" w:rsidRPr="007721FB">
        <w:rPr>
          <w:rFonts w:ascii="Times New Roman" w:hAnsi="Times New Roman" w:cs="Times New Roman"/>
          <w:b/>
          <w:color w:val="auto"/>
          <w:sz w:val="28"/>
          <w:szCs w:val="28"/>
        </w:rPr>
        <w:t xml:space="preserve"> delivery of Bioactive Molecules to Bone Tissues</w:t>
      </w:r>
      <w:bookmarkEnd w:id="7"/>
    </w:p>
    <w:p w14:paraId="6AF6A824" w14:textId="2895BC77" w:rsidR="00186724" w:rsidRPr="007721FB" w:rsidRDefault="00E15633" w:rsidP="00EE0E61">
      <w:pPr>
        <w:spacing w:after="0" w:line="240" w:lineRule="auto"/>
        <w:jc w:val="both"/>
        <w:rPr>
          <w:rFonts w:ascii="Times New Roman" w:hAnsi="Times New Roman" w:cs="Times New Roman"/>
          <w:sz w:val="24"/>
          <w:szCs w:val="24"/>
        </w:rPr>
      </w:pPr>
      <w:r w:rsidRPr="007721FB">
        <w:rPr>
          <w:rFonts w:ascii="Times New Roman" w:hAnsi="Times New Roman" w:cs="Times New Roman"/>
          <w:sz w:val="24"/>
        </w:rPr>
        <w:t xml:space="preserve">   </w:t>
      </w:r>
      <w:r w:rsidR="007D233F" w:rsidRPr="007721FB">
        <w:rPr>
          <w:rFonts w:ascii="Times New Roman" w:hAnsi="Times New Roman" w:cs="Times New Roman"/>
          <w:sz w:val="24"/>
        </w:rPr>
        <w:t>B</w:t>
      </w:r>
      <w:r w:rsidR="00B40C01" w:rsidRPr="007721FB">
        <w:rPr>
          <w:rFonts w:ascii="Times New Roman" w:hAnsi="Times New Roman" w:cs="Times New Roman"/>
          <w:sz w:val="24"/>
        </w:rPr>
        <w:t>one is one of the most dynamic</w:t>
      </w:r>
      <w:r w:rsidR="007C119D" w:rsidRPr="007721FB">
        <w:rPr>
          <w:rFonts w:ascii="Times New Roman" w:hAnsi="Times New Roman" w:cs="Times New Roman"/>
          <w:sz w:val="24"/>
        </w:rPr>
        <w:t xml:space="preserve"> tissue</w:t>
      </w:r>
      <w:r w:rsidR="00B40C01" w:rsidRPr="007721FB">
        <w:rPr>
          <w:rFonts w:ascii="Times New Roman" w:hAnsi="Times New Roman" w:cs="Times New Roman"/>
          <w:sz w:val="24"/>
        </w:rPr>
        <w:t>s being in constant adsorption/remodeling during lifetime. Naturally</w:t>
      </w:r>
      <w:r w:rsidR="007D233F" w:rsidRPr="007721FB">
        <w:rPr>
          <w:rFonts w:ascii="Times New Roman" w:hAnsi="Times New Roman" w:cs="Times New Roman"/>
          <w:sz w:val="24"/>
        </w:rPr>
        <w:t>,</w:t>
      </w:r>
      <w:r w:rsidR="00B40C01" w:rsidRPr="007721FB">
        <w:rPr>
          <w:rFonts w:ascii="Times New Roman" w:hAnsi="Times New Roman" w:cs="Times New Roman"/>
          <w:sz w:val="24"/>
        </w:rPr>
        <w:t xml:space="preserve"> a </w:t>
      </w:r>
      <w:r w:rsidR="001341FB" w:rsidRPr="007721FB">
        <w:rPr>
          <w:rFonts w:ascii="Times New Roman" w:hAnsi="Times New Roman" w:cs="Times New Roman"/>
          <w:sz w:val="24"/>
        </w:rPr>
        <w:t xml:space="preserve">myriad of </w:t>
      </w:r>
      <w:r w:rsidR="003D1CA7" w:rsidRPr="007721FB">
        <w:rPr>
          <w:rFonts w:ascii="Times New Roman" w:hAnsi="Times New Roman" w:cs="Times New Roman"/>
          <w:sz w:val="24"/>
        </w:rPr>
        <w:t>biomolecular cues and</w:t>
      </w:r>
      <w:r w:rsidR="008269B8" w:rsidRPr="007721FB">
        <w:rPr>
          <w:rFonts w:ascii="Times New Roman" w:hAnsi="Times New Roman" w:cs="Times New Roman"/>
          <w:sz w:val="24"/>
        </w:rPr>
        <w:t xml:space="preserve"> hotspot</w:t>
      </w:r>
      <w:r w:rsidR="003D1CA7" w:rsidRPr="007721FB">
        <w:rPr>
          <w:rFonts w:ascii="Times New Roman" w:hAnsi="Times New Roman" w:cs="Times New Roman"/>
          <w:sz w:val="24"/>
        </w:rPr>
        <w:t xml:space="preserve"> microenvironments </w:t>
      </w:r>
      <w:r w:rsidR="00B40C01" w:rsidRPr="007721FB">
        <w:rPr>
          <w:rFonts w:ascii="Times New Roman" w:hAnsi="Times New Roman" w:cs="Times New Roman"/>
          <w:sz w:val="24"/>
        </w:rPr>
        <w:t>render bone an interesting organ in which to explore stimuli-re</w:t>
      </w:r>
      <w:r w:rsidR="00332A74" w:rsidRPr="007721FB">
        <w:rPr>
          <w:rFonts w:ascii="Times New Roman" w:hAnsi="Times New Roman" w:cs="Times New Roman"/>
          <w:sz w:val="24"/>
        </w:rPr>
        <w:t>sponsive delivery at</w:t>
      </w:r>
      <w:r w:rsidR="008269B8" w:rsidRPr="007721FB">
        <w:rPr>
          <w:rFonts w:ascii="Times New Roman" w:hAnsi="Times New Roman" w:cs="Times New Roman"/>
          <w:sz w:val="24"/>
        </w:rPr>
        <w:t xml:space="preserve"> both</w:t>
      </w:r>
      <w:r w:rsidR="00B40C01" w:rsidRPr="007721FB">
        <w:rPr>
          <w:rFonts w:ascii="Times New Roman" w:hAnsi="Times New Roman" w:cs="Times New Roman"/>
          <w:sz w:val="24"/>
        </w:rPr>
        <w:t xml:space="preserve"> homeostatic or pathological scenarios</w:t>
      </w:r>
      <w:r w:rsidR="003D1CA7" w:rsidRPr="007721FB">
        <w:rPr>
          <w:rFonts w:ascii="Times New Roman" w:hAnsi="Times New Roman" w:cs="Times New Roman"/>
          <w:sz w:val="24"/>
        </w:rPr>
        <w:t xml:space="preserve">. </w:t>
      </w:r>
      <w:r w:rsidR="008269B8" w:rsidRPr="007721FB">
        <w:rPr>
          <w:rFonts w:ascii="Times New Roman" w:hAnsi="Times New Roman" w:cs="Times New Roman"/>
          <w:sz w:val="24"/>
        </w:rPr>
        <w:t xml:space="preserve">The latter is particularly interesting since </w:t>
      </w:r>
      <w:r w:rsidR="003D1CA7" w:rsidRPr="007721FB">
        <w:rPr>
          <w:rFonts w:ascii="Times New Roman" w:hAnsi="Times New Roman" w:cs="Times New Roman"/>
          <w:sz w:val="24"/>
        </w:rPr>
        <w:t xml:space="preserve">during the onset and progression of different bone disorders many of skeletal microenvironment hallmarks and cellular functions become profoundly deregulated. </w:t>
      </w:r>
      <w:r w:rsidR="001341FB" w:rsidRPr="007721FB">
        <w:rPr>
          <w:rFonts w:ascii="Times New Roman" w:hAnsi="Times New Roman" w:cs="Times New Roman"/>
          <w:sz w:val="24"/>
        </w:rPr>
        <w:t xml:space="preserve">Each of these </w:t>
      </w:r>
      <w:r w:rsidR="003D1CA7" w:rsidRPr="007721FB">
        <w:rPr>
          <w:rFonts w:ascii="Times New Roman" w:hAnsi="Times New Roman" w:cs="Times New Roman"/>
          <w:sz w:val="24"/>
        </w:rPr>
        <w:t>disease-specific features represent</w:t>
      </w:r>
      <w:r w:rsidR="00081D43" w:rsidRPr="007721FB">
        <w:rPr>
          <w:rFonts w:ascii="Times New Roman" w:hAnsi="Times New Roman" w:cs="Times New Roman"/>
          <w:sz w:val="24"/>
        </w:rPr>
        <w:t xml:space="preserve"> </w:t>
      </w:r>
      <w:r w:rsidR="001341FB" w:rsidRPr="007721FB">
        <w:rPr>
          <w:rFonts w:ascii="Times New Roman" w:hAnsi="Times New Roman" w:cs="Times New Roman"/>
          <w:sz w:val="24"/>
        </w:rPr>
        <w:t>unique</w:t>
      </w:r>
      <w:r w:rsidR="007D233F" w:rsidRPr="007721FB">
        <w:rPr>
          <w:rFonts w:ascii="Times New Roman" w:hAnsi="Times New Roman" w:cs="Times New Roman"/>
          <w:sz w:val="24"/>
        </w:rPr>
        <w:t xml:space="preserve"> barrier</w:t>
      </w:r>
      <w:r w:rsidR="00E4012F" w:rsidRPr="007721FB">
        <w:rPr>
          <w:rFonts w:ascii="Times New Roman" w:hAnsi="Times New Roman" w:cs="Times New Roman"/>
          <w:sz w:val="24"/>
        </w:rPr>
        <w:t>s,</w:t>
      </w:r>
      <w:r w:rsidR="007D233F" w:rsidRPr="007721FB">
        <w:rPr>
          <w:rFonts w:ascii="Times New Roman" w:hAnsi="Times New Roman" w:cs="Times New Roman"/>
          <w:sz w:val="24"/>
        </w:rPr>
        <w:t xml:space="preserve"> but also</w:t>
      </w:r>
      <w:r w:rsidR="00E4012F" w:rsidRPr="007721FB">
        <w:rPr>
          <w:rFonts w:ascii="Times New Roman" w:hAnsi="Times New Roman" w:cs="Times New Roman"/>
          <w:sz w:val="24"/>
        </w:rPr>
        <w:t xml:space="preserve"> unique</w:t>
      </w:r>
      <w:r w:rsidR="001341FB" w:rsidRPr="007721FB">
        <w:rPr>
          <w:rFonts w:ascii="Times New Roman" w:hAnsi="Times New Roman" w:cs="Times New Roman"/>
          <w:sz w:val="24"/>
        </w:rPr>
        <w:t xml:space="preserve"> opportunities for</w:t>
      </w:r>
      <w:r w:rsidR="00AB16E2" w:rsidRPr="007721FB">
        <w:rPr>
          <w:rFonts w:ascii="Times New Roman" w:hAnsi="Times New Roman" w:cs="Times New Roman"/>
          <w:sz w:val="24"/>
        </w:rPr>
        <w:t xml:space="preserve"> </w:t>
      </w:r>
      <w:r w:rsidR="008269B8" w:rsidRPr="007721FB">
        <w:rPr>
          <w:rFonts w:ascii="Times New Roman" w:hAnsi="Times New Roman" w:cs="Times New Roman"/>
          <w:sz w:val="24"/>
        </w:rPr>
        <w:t>nanocarrier-mediated</w:t>
      </w:r>
      <w:r w:rsidR="007C119D" w:rsidRPr="007721FB">
        <w:rPr>
          <w:rFonts w:ascii="Times New Roman" w:hAnsi="Times New Roman" w:cs="Times New Roman"/>
          <w:sz w:val="24"/>
        </w:rPr>
        <w:t xml:space="preserve"> stimuli-responsive</w:t>
      </w:r>
      <w:r w:rsidR="008269B8" w:rsidRPr="007721FB">
        <w:rPr>
          <w:rFonts w:ascii="Times New Roman" w:hAnsi="Times New Roman" w:cs="Times New Roman"/>
          <w:sz w:val="24"/>
        </w:rPr>
        <w:t xml:space="preserve"> release of therapeutics.</w:t>
      </w:r>
      <w:r w:rsidR="00831B99" w:rsidRPr="007721FB">
        <w:rPr>
          <w:rFonts w:ascii="Times New Roman" w:hAnsi="Times New Roman" w:cs="Times New Roman"/>
          <w:sz w:val="24"/>
          <w:szCs w:val="24"/>
        </w:rPr>
        <w:t xml:space="preserve"> </w:t>
      </w:r>
      <w:r w:rsidR="00E4012F" w:rsidRPr="007721FB">
        <w:rPr>
          <w:rFonts w:ascii="Times New Roman" w:hAnsi="Times New Roman" w:cs="Times New Roman"/>
          <w:sz w:val="24"/>
          <w:szCs w:val="24"/>
        </w:rPr>
        <w:t>To date s</w:t>
      </w:r>
      <w:r w:rsidR="001341FB" w:rsidRPr="007721FB">
        <w:rPr>
          <w:rFonts w:ascii="Times New Roman" w:hAnsi="Times New Roman" w:cs="Times New Roman"/>
          <w:sz w:val="24"/>
          <w:szCs w:val="24"/>
        </w:rPr>
        <w:t>everal</w:t>
      </w:r>
      <w:r w:rsidR="00696BAA" w:rsidRPr="007721FB">
        <w:rPr>
          <w:rFonts w:ascii="Times New Roman" w:hAnsi="Times New Roman" w:cs="Times New Roman"/>
          <w:sz w:val="24"/>
          <w:szCs w:val="24"/>
        </w:rPr>
        <w:t xml:space="preserve"> </w:t>
      </w:r>
      <w:r w:rsidR="000C1BA2" w:rsidRPr="007721FB">
        <w:rPr>
          <w:rFonts w:ascii="Times New Roman" w:hAnsi="Times New Roman" w:cs="Times New Roman"/>
          <w:sz w:val="24"/>
          <w:szCs w:val="24"/>
        </w:rPr>
        <w:t>type</w:t>
      </w:r>
      <w:r w:rsidR="00E4012F" w:rsidRPr="007721FB">
        <w:rPr>
          <w:rFonts w:ascii="Times New Roman" w:hAnsi="Times New Roman" w:cs="Times New Roman"/>
          <w:sz w:val="24"/>
          <w:szCs w:val="24"/>
        </w:rPr>
        <w:t>s</w:t>
      </w:r>
      <w:r w:rsidR="000C1BA2" w:rsidRPr="007721FB">
        <w:rPr>
          <w:rFonts w:ascii="Times New Roman" w:hAnsi="Times New Roman" w:cs="Times New Roman"/>
          <w:sz w:val="24"/>
          <w:szCs w:val="24"/>
        </w:rPr>
        <w:t xml:space="preserve"> of</w:t>
      </w:r>
      <w:r w:rsidR="00E4012F" w:rsidRPr="007721FB">
        <w:rPr>
          <w:rFonts w:ascii="Times New Roman" w:hAnsi="Times New Roman" w:cs="Times New Roman"/>
          <w:sz w:val="24"/>
          <w:szCs w:val="24"/>
        </w:rPr>
        <w:t xml:space="preserve"> non-responsive</w:t>
      </w:r>
      <w:r w:rsidR="000C1BA2" w:rsidRPr="007721FB">
        <w:rPr>
          <w:rFonts w:ascii="Times New Roman" w:hAnsi="Times New Roman" w:cs="Times New Roman"/>
          <w:sz w:val="24"/>
          <w:szCs w:val="24"/>
        </w:rPr>
        <w:t xml:space="preserve"> nanocarriers </w:t>
      </w:r>
      <w:r w:rsidR="00696BAA" w:rsidRPr="007721FB">
        <w:rPr>
          <w:rFonts w:ascii="Times New Roman" w:hAnsi="Times New Roman" w:cs="Times New Roman"/>
          <w:sz w:val="24"/>
          <w:szCs w:val="24"/>
        </w:rPr>
        <w:t>have been explored for bone</w:t>
      </w:r>
      <w:r w:rsidR="00E4012F" w:rsidRPr="007721FB">
        <w:rPr>
          <w:rFonts w:ascii="Times New Roman" w:hAnsi="Times New Roman" w:cs="Times New Roman"/>
          <w:sz w:val="24"/>
          <w:szCs w:val="24"/>
        </w:rPr>
        <w:t xml:space="preserve"> therapeutics</w:t>
      </w:r>
      <w:r w:rsidR="006F26C7" w:rsidRPr="007721FB">
        <w:rPr>
          <w:rFonts w:ascii="Times New Roman" w:hAnsi="Times New Roman" w:cs="Times New Roman"/>
          <w:sz w:val="24"/>
          <w:szCs w:val="24"/>
        </w:rPr>
        <w:t xml:space="preserve"> delivery, reviewed in detail elsewhere</w:t>
      </w:r>
      <w:r w:rsidR="000C1BA2" w:rsidRPr="007721FB">
        <w:rPr>
          <w:rFonts w:ascii="Times New Roman" w:hAnsi="Times New Roman" w:cs="Times New Roman"/>
          <w:sz w:val="24"/>
          <w:szCs w:val="24"/>
        </w:rPr>
        <w:t xml:space="preserve"> </w:t>
      </w:r>
      <w:r w:rsidR="00BA47A6"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"ISSN" : "1359-6446", "author" : [ { "dropping-particle" : "", "family" : "Cheng", "given" : "Hao", "non-dropping-particle" : "", "parse-names" : false, "suffix" : "" }, { "dropping-particle" : "", "family" : "Chawla", "given" : "Aditya", "non-dropping-particle" : "", "parse-names" : false, "suffix" : "" }, { "dropping-particle" : "", "family" : "Yang", "given" : "Yafeng", "non-dropping-particle" : "", "parse-names" : false, "suffix" : "" }, { "dropping-particle" : "", "family" : "Li", "given" : "Yuxiao", "non-dropping-particle" : "", "parse-names" : false, "suffix" : "" }, { "dropping-particle" : "", "family" : "Zhang", "given" : "Jin", "non-dropping-particle" : "", "parse-names" : false, "suffix" : "" }, { "dropping-particle" : "", "family" : "Jang", "given" : "Hae Lin", "non-dropping-particle" : "", "parse-names" : false, "suffix" : "" }, { "dropping-particle" : "", "family" : "Khademhosseini", "given" : "Ali", "non-dropping-particle" : "", "parse-names" : false, "suffix" : "" } ], "container-title" : "Drug Discovery Today", "id" : "ITEM-1", "issued" : { "date-parts" : [ [ "2017" ] ] }, "publisher" : "Elsevier", "title" : "Development of nanomaterials for bone-targeted drug delivery", "type" : "article-journal" }, "uris" : [ "http://www.mendeley.com/documents/?uuid=050d833c-044a-4792-bfe7-f329b73d55d9" ] } ], "mendeley" : { "formattedCitation" : "[30]", "plainTextFormattedCitation" : "[30]", "previouslyFormattedCitation" : "[30]" }, "properties" : { "noteIndex" : 10 }, "schema" : "https://github.com/citation-style-language/schema/raw/master/csl-citation.json" }</w:instrText>
      </w:r>
      <w:r w:rsidR="00BA47A6"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[30]</w:t>
      </w:r>
      <w:r w:rsidR="00BA47A6" w:rsidRPr="007721FB">
        <w:rPr>
          <w:rFonts w:ascii="Times New Roman" w:hAnsi="Times New Roman" w:cs="Times New Roman"/>
          <w:sz w:val="24"/>
          <w:szCs w:val="24"/>
        </w:rPr>
        <w:fldChar w:fldCharType="end"/>
      </w:r>
      <w:r w:rsidR="004B47AF" w:rsidRPr="007721FB">
        <w:rPr>
          <w:rFonts w:ascii="Times New Roman" w:hAnsi="Times New Roman" w:cs="Times New Roman"/>
          <w:sz w:val="24"/>
          <w:szCs w:val="24"/>
        </w:rPr>
        <w:t>.</w:t>
      </w:r>
      <w:r w:rsidR="006F26C7" w:rsidRPr="007721FB">
        <w:rPr>
          <w:rFonts w:ascii="Times New Roman" w:hAnsi="Times New Roman" w:cs="Times New Roman"/>
          <w:sz w:val="24"/>
          <w:szCs w:val="24"/>
        </w:rPr>
        <w:t xml:space="preserve"> Yet, the</w:t>
      </w:r>
      <w:r w:rsidR="000C1BA2" w:rsidRPr="007721FB">
        <w:rPr>
          <w:rFonts w:ascii="Times New Roman" w:hAnsi="Times New Roman" w:cs="Times New Roman"/>
          <w:sz w:val="24"/>
          <w:szCs w:val="24"/>
        </w:rPr>
        <w:t xml:space="preserve"> majority is unable to achieve a </w:t>
      </w:r>
      <w:r w:rsidR="00E4012F" w:rsidRPr="007721FB">
        <w:rPr>
          <w:rFonts w:ascii="Times New Roman" w:hAnsi="Times New Roman" w:cs="Times New Roman"/>
          <w:sz w:val="24"/>
          <w:szCs w:val="24"/>
        </w:rPr>
        <w:t>realistic spatiotemporally controlled release of their payload</w:t>
      </w:r>
      <w:r w:rsidR="00AC380E" w:rsidRPr="007721FB">
        <w:rPr>
          <w:rFonts w:ascii="Times New Roman" w:hAnsi="Times New Roman" w:cs="Times New Roman"/>
          <w:sz w:val="24"/>
          <w:szCs w:val="24"/>
        </w:rPr>
        <w:t xml:space="preserve"> at the target site</w:t>
      </w:r>
      <w:r w:rsidR="00E4012F" w:rsidRPr="007721FB">
        <w:rPr>
          <w:rFonts w:ascii="Times New Roman" w:hAnsi="Times New Roman" w:cs="Times New Roman"/>
          <w:sz w:val="24"/>
          <w:szCs w:val="24"/>
        </w:rPr>
        <w:t>. This is observed for various types of cargo including small molecule drugs, nucleic acids or proteins (e.g., bone morphogen</w:t>
      </w:r>
      <w:r w:rsidR="003F35D7" w:rsidRPr="007721FB">
        <w:rPr>
          <w:rFonts w:ascii="Times New Roman" w:hAnsi="Times New Roman" w:cs="Times New Roman"/>
          <w:sz w:val="24"/>
          <w:szCs w:val="24"/>
        </w:rPr>
        <w:t>et</w:t>
      </w:r>
      <w:r w:rsidR="00E4012F" w:rsidRPr="007721FB">
        <w:rPr>
          <w:rFonts w:ascii="Times New Roman" w:hAnsi="Times New Roman" w:cs="Times New Roman"/>
          <w:sz w:val="24"/>
          <w:szCs w:val="24"/>
        </w:rPr>
        <w:t>ic proteins).</w:t>
      </w:r>
      <w:r w:rsidR="00696BAA" w:rsidRPr="007721FB">
        <w:rPr>
          <w:rFonts w:ascii="Times New Roman" w:hAnsi="Times New Roman" w:cs="Times New Roman"/>
          <w:sz w:val="24"/>
          <w:szCs w:val="24"/>
        </w:rPr>
        <w:t xml:space="preserve"> </w:t>
      </w:r>
    </w:p>
    <w:p w14:paraId="00BE5AB7" w14:textId="08C9BBF2" w:rsidR="004B47AF" w:rsidRPr="007721FB" w:rsidRDefault="008004D3" w:rsidP="00EE0E61">
      <w:pPr>
        <w:spacing w:after="0" w:line="240" w:lineRule="auto"/>
        <w:jc w:val="both"/>
        <w:rPr>
          <w:rFonts w:ascii="Times New Roman" w:hAnsi="Times New Roman" w:cs="Times New Roman"/>
          <w:sz w:val="24"/>
          <w:szCs w:val="24"/>
        </w:rPr>
      </w:pPr>
      <w:r w:rsidRPr="007721FB">
        <w:rPr>
          <w:rFonts w:ascii="Times New Roman" w:hAnsi="Times New Roman" w:cs="Times New Roman"/>
          <w:sz w:val="24"/>
          <w:szCs w:val="24"/>
        </w:rPr>
        <w:t xml:space="preserve">   </w:t>
      </w:r>
      <w:r w:rsidR="004C3C36" w:rsidRPr="007721FB">
        <w:rPr>
          <w:rFonts w:ascii="Times New Roman" w:hAnsi="Times New Roman" w:cs="Times New Roman"/>
          <w:sz w:val="24"/>
          <w:szCs w:val="24"/>
        </w:rPr>
        <w:t>In general, t</w:t>
      </w:r>
      <w:r w:rsidR="00696BAA" w:rsidRPr="007721FB">
        <w:rPr>
          <w:rFonts w:ascii="Times New Roman" w:hAnsi="Times New Roman" w:cs="Times New Roman"/>
          <w:sz w:val="24"/>
          <w:szCs w:val="24"/>
        </w:rPr>
        <w:t xml:space="preserve">here are several interesting </w:t>
      </w:r>
      <w:r w:rsidR="004C3C36" w:rsidRPr="007721FB">
        <w:rPr>
          <w:rFonts w:ascii="Times New Roman" w:hAnsi="Times New Roman" w:cs="Times New Roman"/>
          <w:sz w:val="24"/>
          <w:szCs w:val="24"/>
        </w:rPr>
        <w:t xml:space="preserve">biological </w:t>
      </w:r>
      <w:r w:rsidR="00696BAA" w:rsidRPr="007721FB">
        <w:rPr>
          <w:rFonts w:ascii="Times New Roman" w:hAnsi="Times New Roman" w:cs="Times New Roman"/>
          <w:sz w:val="24"/>
          <w:szCs w:val="24"/>
        </w:rPr>
        <w:t>characteristics within bone tissue</w:t>
      </w:r>
      <w:r w:rsidR="00004DCC" w:rsidRPr="007721FB">
        <w:rPr>
          <w:rFonts w:ascii="Times New Roman" w:hAnsi="Times New Roman" w:cs="Times New Roman"/>
          <w:sz w:val="24"/>
          <w:szCs w:val="24"/>
        </w:rPr>
        <w:t>s</w:t>
      </w:r>
      <w:r w:rsidR="00696BAA" w:rsidRPr="007721FB">
        <w:rPr>
          <w:rFonts w:ascii="Times New Roman" w:hAnsi="Times New Roman" w:cs="Times New Roman"/>
          <w:sz w:val="24"/>
          <w:szCs w:val="24"/>
        </w:rPr>
        <w:t xml:space="preserve"> and alterations found in </w:t>
      </w:r>
      <w:r w:rsidR="00004DCC" w:rsidRPr="007721FB">
        <w:rPr>
          <w:rFonts w:ascii="Times New Roman" w:hAnsi="Times New Roman" w:cs="Times New Roman"/>
          <w:sz w:val="24"/>
          <w:szCs w:val="24"/>
        </w:rPr>
        <w:t xml:space="preserve">different </w:t>
      </w:r>
      <w:r w:rsidR="00696BAA" w:rsidRPr="007721FB">
        <w:rPr>
          <w:rFonts w:ascii="Times New Roman" w:hAnsi="Times New Roman" w:cs="Times New Roman"/>
          <w:sz w:val="24"/>
          <w:szCs w:val="24"/>
        </w:rPr>
        <w:t xml:space="preserve">skeletal </w:t>
      </w:r>
      <w:r w:rsidR="00004DCC" w:rsidRPr="007721FB">
        <w:rPr>
          <w:rFonts w:ascii="Times New Roman" w:hAnsi="Times New Roman" w:cs="Times New Roman"/>
          <w:sz w:val="24"/>
          <w:szCs w:val="24"/>
        </w:rPr>
        <w:t xml:space="preserve">pathologies </w:t>
      </w:r>
      <w:r w:rsidR="00696BAA" w:rsidRPr="007721FB">
        <w:rPr>
          <w:rFonts w:ascii="Times New Roman" w:hAnsi="Times New Roman" w:cs="Times New Roman"/>
          <w:sz w:val="24"/>
          <w:szCs w:val="24"/>
        </w:rPr>
        <w:t xml:space="preserve">that </w:t>
      </w:r>
      <w:r w:rsidR="00E15633" w:rsidRPr="007721FB">
        <w:rPr>
          <w:rFonts w:ascii="Times New Roman" w:hAnsi="Times New Roman" w:cs="Times New Roman"/>
          <w:sz w:val="24"/>
          <w:szCs w:val="24"/>
        </w:rPr>
        <w:t xml:space="preserve">can </w:t>
      </w:r>
      <w:r w:rsidR="00004DCC" w:rsidRPr="007721FB">
        <w:rPr>
          <w:rFonts w:ascii="Times New Roman" w:hAnsi="Times New Roman" w:cs="Times New Roman"/>
          <w:sz w:val="24"/>
          <w:szCs w:val="24"/>
        </w:rPr>
        <w:t>be</w:t>
      </w:r>
      <w:r w:rsidR="00696BAA" w:rsidRPr="007721FB">
        <w:rPr>
          <w:rFonts w:ascii="Times New Roman" w:hAnsi="Times New Roman" w:cs="Times New Roman"/>
          <w:sz w:val="24"/>
          <w:szCs w:val="24"/>
        </w:rPr>
        <w:t xml:space="preserve"> exploited for stimuli-responsive delivery of </w:t>
      </w:r>
      <w:r w:rsidR="004B47AF" w:rsidRPr="007721FB">
        <w:rPr>
          <w:rFonts w:ascii="Times New Roman" w:hAnsi="Times New Roman" w:cs="Times New Roman"/>
          <w:sz w:val="24"/>
          <w:szCs w:val="24"/>
        </w:rPr>
        <w:t>bone therapeutics</w:t>
      </w:r>
      <w:r w:rsidR="00F9198F" w:rsidRPr="007721FB">
        <w:rPr>
          <w:rFonts w:ascii="Times New Roman" w:hAnsi="Times New Roman" w:cs="Times New Roman"/>
          <w:sz w:val="24"/>
          <w:szCs w:val="24"/>
        </w:rPr>
        <w:t xml:space="preserve"> (Figure </w:t>
      </w:r>
      <w:r w:rsidR="00831B99" w:rsidRPr="007721FB">
        <w:rPr>
          <w:rFonts w:ascii="Times New Roman" w:hAnsi="Times New Roman" w:cs="Times New Roman"/>
          <w:sz w:val="24"/>
          <w:szCs w:val="24"/>
        </w:rPr>
        <w:t>4</w:t>
      </w:r>
      <w:r w:rsidR="00F9198F" w:rsidRPr="007721FB">
        <w:rPr>
          <w:rFonts w:ascii="Times New Roman" w:hAnsi="Times New Roman" w:cs="Times New Roman"/>
          <w:sz w:val="24"/>
          <w:szCs w:val="24"/>
        </w:rPr>
        <w:t>).</w:t>
      </w:r>
    </w:p>
    <w:p w14:paraId="6D6C11D6" w14:textId="1A586859" w:rsidR="003F197A" w:rsidRPr="007721FB" w:rsidRDefault="003F197A" w:rsidP="003F197A">
      <w:pPr>
        <w:spacing w:after="0" w:line="240" w:lineRule="auto"/>
        <w:jc w:val="center"/>
        <w:rPr>
          <w:rFonts w:ascii="Times New Roman" w:hAnsi="Times New Roman" w:cs="Times New Roman"/>
          <w:sz w:val="24"/>
          <w:szCs w:val="24"/>
        </w:rPr>
      </w:pPr>
      <w:r w:rsidRPr="007721FB">
        <w:rPr>
          <w:noProof/>
        </w:rPr>
        <w:lastRenderedPageBreak/>
        <w:drawing>
          <wp:inline distT="0" distB="0" distL="0" distR="0" wp14:anchorId="2E91943E" wp14:editId="205655D2">
            <wp:extent cx="5062220" cy="2979063"/>
            <wp:effectExtent l="0" t="0" r="5080" b="0"/>
            <wp:docPr id="4" name="Imagem 4" descr="C:\Users\Vítor Gaspar\AppData\Local\Microsoft\Windows\INetCache\Content.Word\Figure 1_FINAL_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ítor Gaspar\AppData\Local\Microsoft\Windows\INetCache\Content.Word\Figure 1_FINAL_FINAL!.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19" t="5215" r="5095"/>
                    <a:stretch/>
                  </pic:blipFill>
                  <pic:spPr bwMode="auto">
                    <a:xfrm>
                      <a:off x="0" y="0"/>
                      <a:ext cx="5064524" cy="2980419"/>
                    </a:xfrm>
                    <a:prstGeom prst="rect">
                      <a:avLst/>
                    </a:prstGeom>
                    <a:noFill/>
                    <a:ln>
                      <a:noFill/>
                    </a:ln>
                    <a:extLst>
                      <a:ext uri="{53640926-AAD7-44D8-BBD7-CCE9431645EC}">
                        <a14:shadowObscured xmlns:a14="http://schemas.microsoft.com/office/drawing/2010/main"/>
                      </a:ext>
                    </a:extLst>
                  </pic:spPr>
                </pic:pic>
              </a:graphicData>
            </a:graphic>
          </wp:inline>
        </w:drawing>
      </w:r>
    </w:p>
    <w:p w14:paraId="20F8E199" w14:textId="3E3BF6E0" w:rsidR="003F35D7" w:rsidRPr="007721FB" w:rsidRDefault="008004D3" w:rsidP="003F35D7">
      <w:pPr>
        <w:spacing w:after="0" w:line="240" w:lineRule="auto"/>
        <w:jc w:val="both"/>
        <w:rPr>
          <w:rFonts w:ascii="Times New Roman" w:hAnsi="Times New Roman" w:cs="Times New Roman"/>
        </w:rPr>
      </w:pPr>
      <w:r w:rsidRPr="007721FB">
        <w:rPr>
          <w:rFonts w:ascii="Times New Roman" w:hAnsi="Times New Roman" w:cs="Times New Roman"/>
          <w:b/>
        </w:rPr>
        <w:t xml:space="preserve">Figure </w:t>
      </w:r>
      <w:r w:rsidR="00831B99" w:rsidRPr="007721FB">
        <w:rPr>
          <w:rFonts w:ascii="Times New Roman" w:hAnsi="Times New Roman" w:cs="Times New Roman"/>
          <w:b/>
        </w:rPr>
        <w:t>4</w:t>
      </w:r>
      <w:r w:rsidRPr="007721FB">
        <w:rPr>
          <w:rFonts w:ascii="Times New Roman" w:hAnsi="Times New Roman" w:cs="Times New Roman"/>
        </w:rPr>
        <w:t>.</w:t>
      </w:r>
      <w:r w:rsidR="004B47AF" w:rsidRPr="007721FB">
        <w:rPr>
          <w:rFonts w:ascii="Times New Roman" w:hAnsi="Times New Roman" w:cs="Times New Roman"/>
        </w:rPr>
        <w:t xml:space="preserve"> </w:t>
      </w:r>
      <w:r w:rsidRPr="007721FB">
        <w:rPr>
          <w:rFonts w:ascii="Times New Roman" w:hAnsi="Times New Roman" w:cs="Times New Roman"/>
        </w:rPr>
        <w:t>Schematics of different stimuli that can be explored to promote the release of therapeutics from nanocarriers engineered for different bone-specific disorders.</w:t>
      </w:r>
    </w:p>
    <w:p w14:paraId="00C59AA7" w14:textId="1B19307D" w:rsidR="004B47AF" w:rsidRPr="007721FB" w:rsidRDefault="004B47AF" w:rsidP="00EE0E61">
      <w:pPr>
        <w:spacing w:after="0" w:line="240" w:lineRule="auto"/>
        <w:jc w:val="both"/>
        <w:rPr>
          <w:rFonts w:ascii="Times New Roman" w:hAnsi="Times New Roman" w:cs="Times New Roman"/>
        </w:rPr>
      </w:pPr>
    </w:p>
    <w:p w14:paraId="0B755E24" w14:textId="4AD8AC6F" w:rsidR="004B47AF" w:rsidRPr="007721FB" w:rsidRDefault="004B47AF" w:rsidP="00EE0E61">
      <w:pPr>
        <w:spacing w:after="0" w:line="240" w:lineRule="auto"/>
        <w:jc w:val="both"/>
        <w:rPr>
          <w:rFonts w:ascii="Times New Roman" w:hAnsi="Times New Roman" w:cs="Times New Roman"/>
          <w:sz w:val="24"/>
          <w:szCs w:val="24"/>
        </w:rPr>
      </w:pPr>
      <w:r w:rsidRPr="007721FB">
        <w:rPr>
          <w:rFonts w:ascii="Times New Roman" w:hAnsi="Times New Roman" w:cs="Times New Roman"/>
          <w:sz w:val="24"/>
          <w:szCs w:val="24"/>
        </w:rPr>
        <w:t xml:space="preserve">   </w:t>
      </w:r>
      <w:r w:rsidR="00186724" w:rsidRPr="007721FB">
        <w:rPr>
          <w:rFonts w:ascii="Times New Roman" w:hAnsi="Times New Roman" w:cs="Times New Roman"/>
          <w:sz w:val="24"/>
          <w:szCs w:val="24"/>
        </w:rPr>
        <w:t>In the context of bone regeneration scenarios</w:t>
      </w:r>
      <w:r w:rsidR="00696BAA" w:rsidRPr="007721FB">
        <w:rPr>
          <w:rFonts w:ascii="Times New Roman" w:hAnsi="Times New Roman" w:cs="Times New Roman"/>
          <w:sz w:val="24"/>
          <w:szCs w:val="24"/>
        </w:rPr>
        <w:t xml:space="preserve">, the existence of specific enzymes involved in the bone </w:t>
      </w:r>
      <w:r w:rsidR="00674C16" w:rsidRPr="007721FB">
        <w:rPr>
          <w:rFonts w:ascii="Times New Roman" w:hAnsi="Times New Roman" w:cs="Times New Roman"/>
          <w:sz w:val="24"/>
          <w:szCs w:val="24"/>
        </w:rPr>
        <w:t>remodeling</w:t>
      </w:r>
      <w:r w:rsidR="00696BAA" w:rsidRPr="007721FB">
        <w:rPr>
          <w:rFonts w:ascii="Times New Roman" w:hAnsi="Times New Roman" w:cs="Times New Roman"/>
          <w:sz w:val="24"/>
          <w:szCs w:val="24"/>
        </w:rPr>
        <w:t xml:space="preserve"> process, such as cathepsin K, certain matrix metalloproteinases (e</w:t>
      </w:r>
      <w:r w:rsidR="00186724" w:rsidRPr="007721FB">
        <w:rPr>
          <w:rFonts w:ascii="Times New Roman" w:hAnsi="Times New Roman" w:cs="Times New Roman"/>
          <w:sz w:val="24"/>
          <w:szCs w:val="24"/>
        </w:rPr>
        <w:t>.</w:t>
      </w:r>
      <w:r w:rsidR="00696BAA" w:rsidRPr="007721FB">
        <w:rPr>
          <w:rFonts w:ascii="Times New Roman" w:hAnsi="Times New Roman" w:cs="Times New Roman"/>
          <w:sz w:val="24"/>
          <w:szCs w:val="24"/>
        </w:rPr>
        <w:t>g.</w:t>
      </w:r>
      <w:r w:rsidR="00CC7CE6" w:rsidRPr="007721FB">
        <w:rPr>
          <w:rFonts w:ascii="Times New Roman" w:hAnsi="Times New Roman" w:cs="Times New Roman"/>
          <w:sz w:val="24"/>
          <w:szCs w:val="24"/>
        </w:rPr>
        <w:t>,</w:t>
      </w:r>
      <w:r w:rsidR="00696BAA" w:rsidRPr="007721FB">
        <w:rPr>
          <w:rFonts w:ascii="Times New Roman" w:hAnsi="Times New Roman" w:cs="Times New Roman"/>
          <w:sz w:val="24"/>
          <w:szCs w:val="24"/>
        </w:rPr>
        <w:t xml:space="preserve"> MMPs -2, -9, -13, -14 and -16), vacuolar H</w:t>
      </w:r>
      <w:r w:rsidR="00696BAA" w:rsidRPr="007721FB">
        <w:rPr>
          <w:rFonts w:ascii="Times New Roman" w:hAnsi="Times New Roman" w:cs="Times New Roman"/>
          <w:sz w:val="24"/>
          <w:szCs w:val="24"/>
          <w:vertAlign w:val="superscript"/>
        </w:rPr>
        <w:t>+</w:t>
      </w:r>
      <w:r w:rsidR="00696BAA" w:rsidRPr="007721FB">
        <w:rPr>
          <w:rFonts w:ascii="Times New Roman" w:hAnsi="Times New Roman" w:cs="Times New Roman"/>
          <w:sz w:val="24"/>
          <w:szCs w:val="24"/>
        </w:rPr>
        <w:t xml:space="preserve"> ATPase (</w:t>
      </w:r>
      <w:r w:rsidR="00186724" w:rsidRPr="007721FB">
        <w:rPr>
          <w:rFonts w:ascii="Times New Roman" w:hAnsi="Times New Roman" w:cs="Times New Roman"/>
          <w:sz w:val="24"/>
          <w:szCs w:val="24"/>
        </w:rPr>
        <w:t xml:space="preserve">an </w:t>
      </w:r>
      <w:r w:rsidR="00696BAA" w:rsidRPr="007721FB">
        <w:rPr>
          <w:rFonts w:ascii="Times New Roman" w:hAnsi="Times New Roman" w:cs="Times New Roman"/>
          <w:sz w:val="24"/>
          <w:szCs w:val="24"/>
        </w:rPr>
        <w:t>osteoclastic enzyme</w:t>
      </w:r>
      <w:r w:rsidR="00186724" w:rsidRPr="007721FB">
        <w:rPr>
          <w:rFonts w:ascii="Times New Roman" w:hAnsi="Times New Roman" w:cs="Times New Roman"/>
          <w:sz w:val="24"/>
          <w:szCs w:val="24"/>
        </w:rPr>
        <w:t xml:space="preserve"> that</w:t>
      </w:r>
      <w:r w:rsidR="00696BAA" w:rsidRPr="007721FB">
        <w:rPr>
          <w:rFonts w:ascii="Times New Roman" w:hAnsi="Times New Roman" w:cs="Times New Roman"/>
          <w:sz w:val="24"/>
          <w:szCs w:val="24"/>
        </w:rPr>
        <w:t xml:space="preserve"> contains a unique 116-kD subunit </w:t>
      </w:r>
      <w:r w:rsidR="00186724" w:rsidRPr="007721FB">
        <w:rPr>
          <w:rFonts w:ascii="Times New Roman" w:hAnsi="Times New Roman" w:cs="Times New Roman"/>
          <w:sz w:val="24"/>
          <w:szCs w:val="24"/>
        </w:rPr>
        <w:t>which</w:t>
      </w:r>
      <w:r w:rsidR="00696BAA" w:rsidRPr="007721FB">
        <w:rPr>
          <w:rFonts w:ascii="Times New Roman" w:hAnsi="Times New Roman" w:cs="Times New Roman"/>
          <w:sz w:val="24"/>
          <w:szCs w:val="24"/>
        </w:rPr>
        <w:t xml:space="preserve"> may</w:t>
      </w:r>
      <w:r w:rsidRPr="007721FB">
        <w:rPr>
          <w:rFonts w:ascii="Times New Roman" w:hAnsi="Times New Roman" w:cs="Times New Roman"/>
          <w:sz w:val="24"/>
          <w:szCs w:val="24"/>
        </w:rPr>
        <w:t xml:space="preserve"> also</w:t>
      </w:r>
      <w:r w:rsidR="00696BAA" w:rsidRPr="007721FB">
        <w:rPr>
          <w:rFonts w:ascii="Times New Roman" w:hAnsi="Times New Roman" w:cs="Times New Roman"/>
          <w:sz w:val="24"/>
          <w:szCs w:val="24"/>
        </w:rPr>
        <w:t xml:space="preserve"> be exploited for specific targeting)</w:t>
      </w:r>
      <w:r w:rsidR="00F76578" w:rsidRPr="007721FB">
        <w:rPr>
          <w:rFonts w:ascii="Times New Roman" w:hAnsi="Times New Roman" w:cs="Times New Roman"/>
          <w:sz w:val="24"/>
          <w:szCs w:val="24"/>
        </w:rPr>
        <w:t>, are valuable triggers to be exploited</w:t>
      </w:r>
      <w:r w:rsidR="00186724" w:rsidRPr="007721FB">
        <w:rPr>
          <w:rFonts w:ascii="Times New Roman" w:hAnsi="Times New Roman" w:cs="Times New Roman"/>
          <w:sz w:val="24"/>
          <w:szCs w:val="24"/>
        </w:rPr>
        <w:t>. T</w:t>
      </w:r>
      <w:r w:rsidR="00696BAA" w:rsidRPr="007721FB">
        <w:rPr>
          <w:rFonts w:ascii="Times New Roman" w:hAnsi="Times New Roman" w:cs="Times New Roman"/>
          <w:sz w:val="24"/>
          <w:szCs w:val="24"/>
        </w:rPr>
        <w:t>artrate-resistant acid phosphatase (TRAP)</w:t>
      </w:r>
      <w:r w:rsidR="00186724" w:rsidRPr="007721FB">
        <w:rPr>
          <w:rFonts w:ascii="Times New Roman" w:hAnsi="Times New Roman" w:cs="Times New Roman"/>
          <w:sz w:val="24"/>
          <w:szCs w:val="24"/>
        </w:rPr>
        <w:t xml:space="preserve">, normally present </w:t>
      </w:r>
      <w:r w:rsidR="00696BAA" w:rsidRPr="007721FB">
        <w:rPr>
          <w:rFonts w:ascii="Times New Roman" w:hAnsi="Times New Roman" w:cs="Times New Roman"/>
          <w:sz w:val="24"/>
          <w:szCs w:val="24"/>
        </w:rPr>
        <w:t xml:space="preserve">within the bone milieu </w:t>
      </w:r>
      <w:r w:rsidR="00186724" w:rsidRPr="007721FB">
        <w:rPr>
          <w:rFonts w:ascii="Times New Roman" w:hAnsi="Times New Roman" w:cs="Times New Roman"/>
          <w:sz w:val="24"/>
          <w:szCs w:val="24"/>
        </w:rPr>
        <w:t>is also an</w:t>
      </w:r>
      <w:r w:rsidR="00696BAA" w:rsidRPr="007721FB">
        <w:rPr>
          <w:rFonts w:ascii="Times New Roman" w:hAnsi="Times New Roman" w:cs="Times New Roman"/>
          <w:sz w:val="24"/>
          <w:szCs w:val="24"/>
        </w:rPr>
        <w:t xml:space="preserve"> interesting</w:t>
      </w:r>
      <w:r w:rsidR="00186724" w:rsidRPr="007721FB">
        <w:rPr>
          <w:rFonts w:ascii="Times New Roman" w:hAnsi="Times New Roman" w:cs="Times New Roman"/>
          <w:sz w:val="24"/>
          <w:szCs w:val="24"/>
        </w:rPr>
        <w:t xml:space="preserve"> endogenous</w:t>
      </w:r>
      <w:r w:rsidR="00696BAA" w:rsidRPr="007721FB">
        <w:rPr>
          <w:rFonts w:ascii="Times New Roman" w:hAnsi="Times New Roman" w:cs="Times New Roman"/>
          <w:sz w:val="24"/>
          <w:szCs w:val="24"/>
        </w:rPr>
        <w:t xml:space="preserve"> target for stimuli-responsive delivery</w:t>
      </w:r>
      <w:r w:rsidR="00E15633" w:rsidRPr="007721FB">
        <w:rPr>
          <w:rFonts w:ascii="Times New Roman" w:hAnsi="Times New Roman" w:cs="Times New Roman"/>
          <w:sz w:val="24"/>
          <w:szCs w:val="24"/>
        </w:rPr>
        <w:t xml:space="preserve"> </w:t>
      </w:r>
      <w:r w:rsidR="00696BAA"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"DOI" : "10.1080/08916930701694667", "ISBN" : "1607-842X (Electronic)\\r0891-6934 (Linking)", "ISSN" : "1607-842X", "PMID" : "18365835", "abstract" : "Tartrate-resistant acid phosphatase (TRAP), once considered to be just a histochemical marker of osteoclasts is now recognised to be a molecule of widespread occurrence with functions in both the skeleton and the immune system. TRAP is expressed by osteoclasts, macrophages, dendritic cells and a number of other cell types. It has a critical role in many biological processes including skeletal development, collagen synthesis and degradation, the mineralisation of bone, cytokine production by macrophages and dendritic cells, macrophage recruitment, dendritic cell maturation and a role in the development of Th1 responses. TRAP is able to degrade skeletal phosphoproteins including osteopontin (OPN), identical to the T-cell cytokine, Eta-1. In this review, we discuss the role of TRAP in bone and immune cells and suggest that TRAP may be implicated in autoimmune disorders regulated by Th1 inflammatory responses as well as certain cancers.", "author" : [ { "dropping-particle" : "", "family" : "Hayman", "given" : "Alison R", "non-dropping-particle" : "", "parse-names" : false, "suffix" : "" } ], "container-title" : "Autoimmunity", "id" : "ITEM-1", "issue" : "3", "issued" : { "date-parts" : [ [ "2008" ] ] }, "page" : "218-23", "title" : "Tartrate-resistant acid phosphatase (TRAP) and the osteoclast/immune cell dichotomy.", "type" : "article-journal", "volume" : "41" }, "uris" : [ "http://www.mendeley.com/documents/?uuid=0ce679c8-16de-4a13-a10e-69f04bb13c74", "http://www.mendeley.com/documents/?uuid=373c904e-231d-48c0-9980-aa3505355185" ] }, { "id" : "ITEM-2", "itemData" : { "DOI" : "10.1016/j.abb.2014.07.034", "ISBN" : "0003-9861", "ISSN" : "10960384", "PMID" : "25157440", "abstract" : "Bone-forming cells originate from distinct embryological layers, mesoderm (axial and appendicular bones) and ectoderm (precursor of neural crest cells, which mainly form facial bones). These cells will develop bones by two principal mechanisms: intramembranous and endochondral ossification. In both cases, condensation of multipotent mesenchymal cells occurs, at the site of the future bone, which differentiate into bone and cartilage-forming cells. During long bone development, an initial cartilaginous template is formed and replaced by bone in a coordinated and refined program involving chondrocyte proliferation and maturation, vascular invasion, recruitment of adult stem cells and intense remodeling of cartilage and bone matrix. Matrix metalloproteinases (MMPs) are the most important enzymes for cleaving structural components of the extracellular matrix (ECM), as well as other non-ECM molecules in the ECM space, pericellular perimeter and intracellularly. Thus, the bioactive molecules generated act on several biological events, such as development, tissue remodeling and homeostasis. Since the discovery of collagenase in bone cells, more than half of the MMP members have been detected in bone tissues under both physiological and pathological conditions. Pivotal functions of MMPs during development and bone regeneration have been revealed by knockout mouse models, such as chondrocyte proliferation and differentiation, osteoclast recruitment and function, bone modeling, coupling of bone resorption and formation (bone remodeling), osteoblast recruitment and survival, angiogenesis, osteocyte viability and function (biomechanical properties); as such alterations in MMP function may alter bone quality. In this review, we look at the principal properties of MMPs and their inhibitors (TIMPs and RECK), provide an up-date on their known functions in bone development and remodeling and discuss their potential application to Bone Bioengineering.", "author" : [ { "dropping-particle" : "", "family" : "Paiva", "given" : "Katiucia Batista Silva", "non-dropping-particle" : "", "parse-names" : false, "suffix" : "" }, { "dropping-particle" : "", "family" : "Granjeiro", "given" : "Jos?? Mauro", "non-dropping-particle" : "", "parse-names" : false, "suffix" : "" } ], "container-title" : "Archives of Biochemistry and Biophysics", "id" : "ITEM-2", "issued" : { "date-parts" : [ [ "2014" ] ] }, "page" : "74-87", "publisher" : "Elsevier Inc.", "title" : "Bone tissue remodeling and development: Focus on matrix metalloproteinase functions", "type" : "article-journal", "volume" : "561" }, "uris" : [ "http://www.mendeley.com/documents/?uuid=299f91b1-eba7-4a56-b4f7-12da1181d260", "http://www.mendeley.com/documents/?uuid=82fa5c08-3a21-4ab3-bfdc-bff7a8806b89" ] }, { "id" : "ITEM-3", "itemData" : { "author" : [ { "dropping-particle" : "", "family" : "Rodan", "given" : "G.A.", "non-dropping-particle" : "", "parse-names" : false, "suffix" : "" }, { "dropping-particle" : "", "family" : "Martin", "given" : "T. J.", "non-dropping-particle" : "", "parse-names" : false, "suffix" : "" } ], "container-title" : "Science", "id" : "ITEM-3", "issue" : "5484", "issued" : { "date-parts" : [ [ "2000" ] ] }, "page" : "1508-1514", "title" : "Therapeutic Approaches to Bone Diseases", "type" : "article-journal", "volume" : "289" }, "uris" : [ "http://www.mendeley.com/documents/?uuid=f01e2b78-ee83-4b0e-9b29-602a70e41c4f", "http://www.mendeley.com/documents/?uuid=9daa0a80-bb10-42e8-a39d-fd89ff8fd7e4" ] } ], "mendeley" : { "formattedCitation" : "[1,61,62]", "plainTextFormattedCitation" : "[1,61,62]", "previouslyFormattedCitation" : "[1,61,62]" }, "properties" : { "noteIndex" : 0 }, "schema" : "https://github.com/citation-style-language/schema/raw/master/csl-citation.json" }</w:instrText>
      </w:r>
      <w:r w:rsidR="00696BAA"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[1,61,62]</w:t>
      </w:r>
      <w:r w:rsidR="00696BAA" w:rsidRPr="007721FB">
        <w:rPr>
          <w:rFonts w:ascii="Times New Roman" w:hAnsi="Times New Roman" w:cs="Times New Roman"/>
          <w:sz w:val="24"/>
          <w:szCs w:val="24"/>
        </w:rPr>
        <w:fldChar w:fldCharType="end"/>
      </w:r>
      <w:r w:rsidR="00E15633" w:rsidRPr="007721FB">
        <w:rPr>
          <w:rFonts w:ascii="Times New Roman" w:hAnsi="Times New Roman" w:cs="Times New Roman"/>
          <w:sz w:val="24"/>
          <w:szCs w:val="24"/>
        </w:rPr>
        <w:t>.</w:t>
      </w:r>
    </w:p>
    <w:p w14:paraId="6CEFDF2E" w14:textId="1D7ABF8D" w:rsidR="00170D30" w:rsidRPr="007721FB" w:rsidRDefault="004B47AF" w:rsidP="00EE0E61">
      <w:pPr>
        <w:spacing w:after="0" w:line="240" w:lineRule="auto"/>
        <w:jc w:val="both"/>
        <w:rPr>
          <w:rFonts w:ascii="Times New Roman" w:hAnsi="Times New Roman" w:cs="Times New Roman"/>
          <w:sz w:val="24"/>
          <w:szCs w:val="24"/>
        </w:rPr>
      </w:pPr>
      <w:r w:rsidRPr="007721FB">
        <w:rPr>
          <w:rFonts w:ascii="Times New Roman" w:hAnsi="Times New Roman" w:cs="Times New Roman"/>
          <w:sz w:val="24"/>
          <w:szCs w:val="24"/>
        </w:rPr>
        <w:t xml:space="preserve">   </w:t>
      </w:r>
      <w:r w:rsidR="00186724" w:rsidRPr="007721FB">
        <w:rPr>
          <w:rFonts w:ascii="Times New Roman" w:hAnsi="Times New Roman" w:cs="Times New Roman"/>
          <w:sz w:val="24"/>
          <w:szCs w:val="24"/>
        </w:rPr>
        <w:t>On the other hand</w:t>
      </w:r>
      <w:r w:rsidR="00696BAA" w:rsidRPr="007721FB">
        <w:rPr>
          <w:rFonts w:ascii="Times New Roman" w:hAnsi="Times New Roman" w:cs="Times New Roman"/>
          <w:sz w:val="24"/>
          <w:szCs w:val="24"/>
        </w:rPr>
        <w:t>, certain bone disorders are characterized by specific biological modifications in the bone vicinity that could trigger cargo release. For example, a</w:t>
      </w:r>
      <w:r w:rsidR="00F76578" w:rsidRPr="007721FB">
        <w:rPr>
          <w:rFonts w:ascii="Times New Roman" w:hAnsi="Times New Roman" w:cs="Times New Roman"/>
          <w:sz w:val="24"/>
          <w:szCs w:val="24"/>
        </w:rPr>
        <w:t>n</w:t>
      </w:r>
      <w:r w:rsidR="00696BAA" w:rsidRPr="007721FB">
        <w:rPr>
          <w:rFonts w:ascii="Times New Roman" w:hAnsi="Times New Roman" w:cs="Times New Roman"/>
          <w:sz w:val="24"/>
          <w:szCs w:val="24"/>
        </w:rPr>
        <w:t xml:space="preserve"> hallmark of </w:t>
      </w:r>
      <w:r w:rsidR="00F76578" w:rsidRPr="007721FB">
        <w:rPr>
          <w:rFonts w:ascii="Times New Roman" w:hAnsi="Times New Roman" w:cs="Times New Roman"/>
          <w:sz w:val="24"/>
          <w:szCs w:val="24"/>
        </w:rPr>
        <w:t>o</w:t>
      </w:r>
      <w:r w:rsidR="00696BAA" w:rsidRPr="007721FB">
        <w:rPr>
          <w:rFonts w:ascii="Times New Roman" w:hAnsi="Times New Roman" w:cs="Times New Roman"/>
          <w:sz w:val="24"/>
          <w:szCs w:val="24"/>
        </w:rPr>
        <w:t xml:space="preserve">steomyelitis is </w:t>
      </w:r>
      <w:r w:rsidR="004C1FA6" w:rsidRPr="007721FB">
        <w:rPr>
          <w:rFonts w:ascii="Times New Roman" w:hAnsi="Times New Roman" w:cs="Times New Roman"/>
          <w:sz w:val="24"/>
          <w:szCs w:val="24"/>
        </w:rPr>
        <w:t>the</w:t>
      </w:r>
      <w:r w:rsidR="00696BAA" w:rsidRPr="007721FB">
        <w:rPr>
          <w:rFonts w:ascii="Times New Roman" w:hAnsi="Times New Roman" w:cs="Times New Roman"/>
          <w:sz w:val="24"/>
          <w:szCs w:val="24"/>
        </w:rPr>
        <w:t xml:space="preserve"> reduction in local pH due to bacterial infection</w:t>
      </w:r>
      <w:r w:rsidR="00E15633" w:rsidRPr="007721FB">
        <w:rPr>
          <w:rFonts w:ascii="Times New Roman" w:hAnsi="Times New Roman" w:cs="Times New Roman"/>
          <w:sz w:val="24"/>
          <w:szCs w:val="24"/>
        </w:rPr>
        <w:t xml:space="preserve"> </w:t>
      </w:r>
      <w:r w:rsidR="00696BAA"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"DOI" : "10.1615/CritRevTherDrugCarrierSyst.2014010920", "ISBN" : "0743-4863", "ISSN" : "2162-660X", "PMID" : "25746204", "abstract" : "This article provides a critical view of the current state of the development of nanoparticulate and other solid-state carriers for the local delivery of antibiotics in the treatment of osteomyelitis. Mentioned are the downsides of traditional means for treating bone infection, which involve systemic administration of antibiotics and surgical debridement, along with the rather imperfect local delivery options currently available in the clinic. Envisaged are more sophisticated carriers for the local and sustained delivery of antimicrobials, including bioresorbable polymeric, collagenous, liquid crystalline, and bioglass- and nanotube-based carriers, as well as those composed of calcium phosphate, the mineral component of bone and teeth. A special emphasis is placed on composite multifunctional antibiotic carriers of a nanoparticulate nature and on their ability to induce osteogenesis of hard tissues demineralized due to disease. An ideal carrier of this type would prevent the long-term, repetitive, and systemic administration of antibiotics and either minimize or completely eliminate the need for surgical debridement of necrotic tissue. Potential problems faced by even hypothetically \"perfect\" antibiotic delivery vehicles are mentioned too, including (i) intracellular bacterial colonies involved in recurrent, chronic osteomyelitis; (ii) the need for mechanical and release properties to be adjusted to the area of surgical placement; (iii) different environments in which in vitro and in vivo testings are carried out; (iv) unpredictable synergies between drug delivery system components; and (v) experimental sensitivity issues entailing the increasing subtlety of the design of nanoplatforms for the controlled delivery of therapeutics.", "author" : [ { "dropping-particle" : "", "family" : "Uskokovic", "given" : "Vuk", "non-dropping-particle" : "", "parse-names" : false, "suffix" : "" } ], "container-title" : "Critical reviews in therapeutic drug carrier systems", "id" : "ITEM-1", "issue" : "1", "issued" : { "date-parts" : [ [ "2015" ] ] }, "page" : "1-59", "title" : "Nanostructured platforms for the sustained and local delivery of antibiotics in the treatment of osteomyelitis.", "type" : "article-journal", "volume" : "32" }, "uris" : [ "http://www.mendeley.com/documents/?uuid=b8f33a85-63e0-4156-b559-98c147cf88c7", "http://www.mendeley.com/documents/?uuid=176e171f-3ca4-4ed7-ba9b-855a3cde5fee" ] } ], "mendeley" : { "formattedCitation" : "[63]", "plainTextFormattedCitation" : "[63]", "previouslyFormattedCitation" : "[63]" }, "properties" : { "noteIndex" : 0 }, "schema" : "https://github.com/citation-style-language/schema/raw/master/csl-citation.json" }</w:instrText>
      </w:r>
      <w:r w:rsidR="00696BAA"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[63]</w:t>
      </w:r>
      <w:r w:rsidR="00696BAA" w:rsidRPr="007721FB">
        <w:rPr>
          <w:rFonts w:ascii="Times New Roman" w:hAnsi="Times New Roman" w:cs="Times New Roman"/>
          <w:sz w:val="24"/>
          <w:szCs w:val="24"/>
        </w:rPr>
        <w:fldChar w:fldCharType="end"/>
      </w:r>
      <w:r w:rsidR="00E15633" w:rsidRPr="007721FB">
        <w:rPr>
          <w:rFonts w:ascii="Times New Roman" w:hAnsi="Times New Roman" w:cs="Times New Roman"/>
          <w:sz w:val="24"/>
          <w:szCs w:val="24"/>
        </w:rPr>
        <w:t>.</w:t>
      </w:r>
      <w:r w:rsidR="004C1FA6" w:rsidRPr="007721FB">
        <w:rPr>
          <w:rFonts w:ascii="Times New Roman" w:hAnsi="Times New Roman" w:cs="Times New Roman"/>
          <w:sz w:val="24"/>
          <w:szCs w:val="24"/>
        </w:rPr>
        <w:t xml:space="preserve"> On the other hand, i</w:t>
      </w:r>
      <w:r w:rsidR="00696BAA" w:rsidRPr="007721FB">
        <w:rPr>
          <w:rFonts w:ascii="Times New Roman" w:hAnsi="Times New Roman" w:cs="Times New Roman"/>
          <w:sz w:val="24"/>
          <w:szCs w:val="24"/>
        </w:rPr>
        <w:t xml:space="preserve">n </w:t>
      </w:r>
      <w:r w:rsidR="00F76578" w:rsidRPr="007721FB">
        <w:rPr>
          <w:rFonts w:ascii="Times New Roman" w:hAnsi="Times New Roman" w:cs="Times New Roman"/>
          <w:sz w:val="24"/>
          <w:szCs w:val="24"/>
        </w:rPr>
        <w:t>o</w:t>
      </w:r>
      <w:r w:rsidR="00696BAA" w:rsidRPr="007721FB">
        <w:rPr>
          <w:rFonts w:ascii="Times New Roman" w:hAnsi="Times New Roman" w:cs="Times New Roman"/>
          <w:sz w:val="24"/>
          <w:szCs w:val="24"/>
        </w:rPr>
        <w:t xml:space="preserve">steoarthritis there is a slight </w:t>
      </w:r>
      <w:r w:rsidR="009C533B" w:rsidRPr="007721FB">
        <w:rPr>
          <w:rFonts w:ascii="Times New Roman" w:hAnsi="Times New Roman" w:cs="Times New Roman"/>
          <w:sz w:val="24"/>
          <w:szCs w:val="24"/>
        </w:rPr>
        <w:t>local</w:t>
      </w:r>
      <w:r w:rsidR="004C1FA6" w:rsidRPr="007721FB">
        <w:rPr>
          <w:rFonts w:ascii="Times New Roman" w:hAnsi="Times New Roman" w:cs="Times New Roman"/>
          <w:sz w:val="24"/>
          <w:szCs w:val="24"/>
        </w:rPr>
        <w:t>ized</w:t>
      </w:r>
      <w:r w:rsidR="009C533B" w:rsidRPr="007721FB">
        <w:rPr>
          <w:rFonts w:ascii="Times New Roman" w:hAnsi="Times New Roman" w:cs="Times New Roman"/>
          <w:sz w:val="24"/>
          <w:szCs w:val="24"/>
        </w:rPr>
        <w:t xml:space="preserve"> </w:t>
      </w:r>
      <w:r w:rsidR="00696BAA" w:rsidRPr="007721FB">
        <w:rPr>
          <w:rFonts w:ascii="Times New Roman" w:hAnsi="Times New Roman" w:cs="Times New Roman"/>
          <w:sz w:val="24"/>
          <w:szCs w:val="24"/>
        </w:rPr>
        <w:t xml:space="preserve">temperature increase </w:t>
      </w:r>
      <w:r w:rsidR="00A37677" w:rsidRPr="007721FB">
        <w:rPr>
          <w:rFonts w:ascii="Times New Roman" w:hAnsi="Times New Roman" w:cs="Times New Roman"/>
          <w:sz w:val="24"/>
          <w:szCs w:val="24"/>
        </w:rPr>
        <w:t>(~2</w:t>
      </w:r>
      <w:r w:rsidR="004C1FA6" w:rsidRPr="007721FB">
        <w:rPr>
          <w:rFonts w:ascii="Times New Roman" w:hAnsi="Times New Roman" w:cs="Times New Roman"/>
          <w:sz w:val="24"/>
          <w:szCs w:val="24"/>
        </w:rPr>
        <w:t xml:space="preserve"> – </w:t>
      </w:r>
      <w:r w:rsidR="00A37677" w:rsidRPr="007721FB">
        <w:rPr>
          <w:rFonts w:ascii="Times New Roman" w:hAnsi="Times New Roman" w:cs="Times New Roman"/>
          <w:sz w:val="24"/>
          <w:szCs w:val="24"/>
        </w:rPr>
        <w:t>3</w:t>
      </w:r>
      <w:r w:rsidRPr="007721FB">
        <w:rPr>
          <w:rFonts w:ascii="Times New Roman" w:hAnsi="Times New Roman" w:cs="Times New Roman"/>
          <w:sz w:val="24"/>
          <w:szCs w:val="24"/>
        </w:rPr>
        <w:t xml:space="preserve"> </w:t>
      </w:r>
      <w:r w:rsidR="00A37677" w:rsidRPr="007721FB">
        <w:rPr>
          <w:rFonts w:ascii="Times New Roman" w:hAnsi="Times New Roman" w:cs="Times New Roman"/>
          <w:sz w:val="24"/>
          <w:szCs w:val="24"/>
        </w:rPr>
        <w:t xml:space="preserve">ºC), </w:t>
      </w:r>
      <w:r w:rsidR="00696BAA" w:rsidRPr="007721FB">
        <w:rPr>
          <w:rFonts w:ascii="Times New Roman" w:hAnsi="Times New Roman" w:cs="Times New Roman"/>
          <w:sz w:val="24"/>
          <w:szCs w:val="24"/>
        </w:rPr>
        <w:t>due to joint inflammation</w:t>
      </w:r>
      <w:r w:rsidR="00E15633" w:rsidRPr="007721FB">
        <w:rPr>
          <w:rFonts w:ascii="Times New Roman" w:hAnsi="Times New Roman" w:cs="Times New Roman"/>
          <w:sz w:val="24"/>
          <w:szCs w:val="24"/>
        </w:rPr>
        <w:t xml:space="preserve"> </w:t>
      </w:r>
      <w:r w:rsidR="00696BAA"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"DOI" : "10.1046/j.1365-2648.2003.02629.x", "ISBN" : "0309-2402", "ISSN" : "03092402", "PMID" : "12752882", "abstract" : "BACKGROUND: Osteoarthritis is a highly prevalent, disabling condition that causes significant pain and suffering among older adults. Cognitively impaired elders are as susceptible to osteoarthritis as their peers. However, since they have diminished ability to communicate their pain, an alternative method to detect osteoarthritis pain in cognitively impaired elders is urgently needed. Because the late stages of osteoarthritis involve joint inflammation with a mild increase in local temperature, skin surface temperature might reasonably be expected to serve as a proxy measure of osteoarthritis pain. If knee surface temperature could be shown to predict pain in cognitively intact elders, it could be used as a proxy measure of pain for cognitively impaired elders. AIM: To test this, the study reported here assessed the relationship between knee surface temperature and pain in cognitively intact elders with osteoarthritis of the knee. METHODS: We recruited 12 cognitively intact elders with documented osteoarthritis of the knee who lived in retirement apartments. Elders' pain and knee temperature were measured three times on three separate occasions. Osteoarthritis pain of the knee was measured using the Knee Pain Scale and the Western Ontario and McMaster Osteoarthritis Index pain subscale. A YSI Model 4000 Dual Channel Display Telethermometer was used to measure knee temperature. RESULTS: We found no significant associations between knee temperature and any of the pain measures used, with one exception. However, body mass index, amount of pain medication used and activity level observed during the interview were significantly related to elders' pain. CONCLUSION: Knee temperature does not appear to predict knee pain in elders with osteoarthritis of the knee. Body mass index, use of pain medication and activity level are better predictors of this.", "author" : [ { "dropping-particle" : "", "family" : "Tsai", "given" : "Pao Feng", "non-dropping-particle" : "", "parse-names" : false, "suffix" : "" }, { "dropping-particle" : "", "family" : "Richards", "given" : "Kathy", "non-dropping-particle" : "", "parse-names" : false, "suffix" : "" }, { "dropping-particle" : "", "family" : "Tatom", "given" : "Iris", "non-dropping-particle" : "", "parse-names" : false, "suffix" : "" } ], "container-title" : "Journal of Advanced Nursing", "id" : "ITEM-1", "issue" : "4", "issued" : { "date-parts" : [ [ "2003" ] ] }, "page" : "373-381", "title" : "The association between knee temperature and pain in elders with osteoarthritis of the knee: A pilot study", "type" : "article-journal", "volume" : "42" }, "uris" : [ "http://www.mendeley.com/documents/?uuid=1738db7d-38ce-4755-86e0-85d16aaa711a", "http://www.mendeley.com/documents/?uuid=fc6090a7-e223-492f-818d-e9a572745557" ] } ], "mendeley" : { "formattedCitation" : "[64]", "plainTextFormattedCitation" : "[64]", "previouslyFormattedCitation" : "[64]" }, "properties" : { "noteIndex" : 0 }, "schema" : "https://github.com/citation-style-language/schema/raw/master/csl-citation.json" }</w:instrText>
      </w:r>
      <w:r w:rsidR="00696BAA"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[64]</w:t>
      </w:r>
      <w:r w:rsidR="00696BAA" w:rsidRPr="007721FB">
        <w:rPr>
          <w:rFonts w:ascii="Times New Roman" w:hAnsi="Times New Roman" w:cs="Times New Roman"/>
          <w:sz w:val="24"/>
          <w:szCs w:val="24"/>
        </w:rPr>
        <w:fldChar w:fldCharType="end"/>
      </w:r>
      <w:r w:rsidR="00E15633" w:rsidRPr="007721FB">
        <w:rPr>
          <w:rFonts w:ascii="Times New Roman" w:hAnsi="Times New Roman" w:cs="Times New Roman"/>
          <w:sz w:val="24"/>
          <w:szCs w:val="24"/>
        </w:rPr>
        <w:t>.</w:t>
      </w:r>
      <w:r w:rsidR="00696BAA" w:rsidRPr="007721FB">
        <w:rPr>
          <w:rFonts w:ascii="Times New Roman" w:hAnsi="Times New Roman" w:cs="Times New Roman"/>
          <w:sz w:val="24"/>
          <w:szCs w:val="24"/>
        </w:rPr>
        <w:t xml:space="preserve"> In osteolytic cancer there is a markedly decreased pH due to exaggerated osteoclastic activity</w:t>
      </w:r>
      <w:r w:rsidR="004C1FA6" w:rsidRPr="007721FB">
        <w:rPr>
          <w:rFonts w:ascii="Times New Roman" w:hAnsi="Times New Roman" w:cs="Times New Roman"/>
          <w:sz w:val="24"/>
          <w:szCs w:val="24"/>
        </w:rPr>
        <w:t xml:space="preserve"> that can be explored as trigger,</w:t>
      </w:r>
      <w:r w:rsidR="00696BAA" w:rsidRPr="007721FB">
        <w:rPr>
          <w:rFonts w:ascii="Times New Roman" w:hAnsi="Times New Roman" w:cs="Times New Roman"/>
          <w:sz w:val="24"/>
          <w:szCs w:val="24"/>
        </w:rPr>
        <w:t xml:space="preserve"> amongst other more common exploitation</w:t>
      </w:r>
      <w:r w:rsidR="00F76578" w:rsidRPr="007721FB">
        <w:rPr>
          <w:rFonts w:ascii="Times New Roman" w:hAnsi="Times New Roman" w:cs="Times New Roman"/>
          <w:sz w:val="24"/>
          <w:szCs w:val="24"/>
        </w:rPr>
        <w:t>s in cancers</w:t>
      </w:r>
      <w:r w:rsidR="00696BAA" w:rsidRPr="007721FB">
        <w:rPr>
          <w:rFonts w:ascii="Times New Roman" w:hAnsi="Times New Roman" w:cs="Times New Roman"/>
          <w:sz w:val="24"/>
          <w:szCs w:val="24"/>
        </w:rPr>
        <w:t xml:space="preserve"> such as redox-based stimuli within the tumor microenvironment</w:t>
      </w:r>
      <w:r w:rsidR="00E15633" w:rsidRPr="007721FB">
        <w:rPr>
          <w:rFonts w:ascii="Times New Roman" w:hAnsi="Times New Roman" w:cs="Times New Roman"/>
          <w:sz w:val="24"/>
          <w:szCs w:val="24"/>
        </w:rPr>
        <w:t xml:space="preserve"> </w:t>
      </w:r>
      <w:r w:rsidR="00696BAA"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"DOI" : "10.3978/j.issn.2218-676X.2013.08.11.Tumor", "ISBN" : "6176321972", "ISSN" : "2218-676X", "PMID" : "24634853", "abstract" : "Recent studies delineate a predominant role for the tumor microenvironment in tumor growth and progression. Improved knowledge of cancer biology and investigation of the complex functional interrelation between the cellular and noncellular compartments of the tumor microenvironment have provided an ideal platform for the evolution of novel cancer nanotherapies. In addition, multifunctional \u201csmart\u201d nanoparticles carrying imaging agents and delivering multiple drugs targeted preferentially to the tumor/tumor microenvironment will lead to early diagnosis and better treatment for patients with cancer. The emerging knowledge of the tumor microenvironment has enabled rational designing of nanoparticles for combinatorial treatment strategies that include radiotherapy, antiangiogenesis and chemotherapy. This multimodality approach is thus expected to achieve therapeutic efficacy and enhance the quality of life of cancer patients. This review highlights the unique characteristics of the tumor microenvironment that are exploited by nanotechnology to develop novel drug delivery systems aimed to target the tumor/tumor microenvironment.", "author" : [ { "dropping-particle" : "", "family" : "Upreti", "given" : "Mennakshi", "non-dropping-particle" : "", "parse-names" : false, "suffix" : "" }, { "dropping-particle" : "", "family" : "Jyoti", "given" : "Amar", "non-dropping-particle" : "", "parse-names" : false, "suffix" : "" }, { "dropping-particle" : "", "family" : "Sethi", "given" : "Pallavi", "non-dropping-particle" : "", "parse-names" : false, "suffix" : "" } ], "container-title" : "Translational Cancer Research", "id" : "ITEM-1", "issue" : "4", "issued" : { "date-parts" : [ [ "2013" ] ] }, "page" : "309-319", "title" : "Tumor microenvironment and nanotherapeutics", "type" : "article-journal", "volume" : "2" }, "uris" : [ "http://www.mendeley.com/documents/?uuid=b4fe7676-c25d-4e4d-b0d9-0a2b7d009a30", "http://www.mendeley.com/documents/?uuid=fb22df54-3f59-4b0e-9c60-1a8317f9e315" ] }, { "id" : "ITEM-2", "itemData" : { "DOI" : "10.1038/bonekey.2015.58", "ISBN" : "2047-6396 (Electronic)\\r2047-6396 (Linking)", "ISSN" : "2047-6396", "PMID" : "25987988", "abstract" : "Solid cancers and hematologic cancers frequently colonize bone and induce skeletal-related complications. Bone pain is one of the most common complications associated with cancer colonization in bone and a major cause of increased morbidity and diminished quality of life, leading to poor survival in cancer patients. Although the mechanisms responsible for cancer-associated bone pain (CABP) are poorly understood, it is likely that complex interactions among cancer cells, bone cells and peripheral nerve cells contribute to the pathophysiology of CABP. Clinical observations that specific inhibitors of osteoclasts reduce CABP indicate a critical role of osteoclasts. Osteoclasts are proton-secreting cells and acidify extracellular bone microenvironment. Cancer cell-colonized bone also releases proton/lactate to avoid intracellular acidification resulting from increased aerobic glycolysis known as the Warburg effect. Thus, extracellular microenvironment of cancer-colonized bone is acidic. Acidosis is algogenic for nociceptive sensory neurons. The bone is densely innervated by the sensory neurons that express acid-sensing nociceptors. Collectively, CABP is evoked by the activation of these nociceptors on the sensory neurons innervating bone by the acidic extracellular microenvironment created by bone-resorbing osteoclasts and bone-colonizing cancer cells. As current treatments do not satisfactorily control CABP and can elicit serious side effects, new therapeutic interventions are needed to manage CABP. Understanding of the cellular and molecular mechanism by which the acidic extracellular microenvironment is created in cancer-colonized bone and by which the expression and function of the acid-sensing nociceptors on the sensory neurons are regulated would facilitate to develop novel therapeutic approaches for the management of CABP.", "author" : [ { "dropping-particle" : "", "family" : "Yoneda", "given" : "Toshiyuki", "non-dropping-particle" : "", "parse-names" : false, "suffix" : "" }, { "dropping-particle" : "", "family" : "Hiasa", "given" : "Masahiro", "non-dropping-particle" : "", "parse-names" : false, "suffix" : "" }, { "dropping-particle" : "", "family" : "Nagata", "given" : "Yuki", "non-dropping-particle" : "", "parse-names" : false, "suffix" : "" }, { "dropping-particle" : "", "family" : "Okui", "given" : "Tatsuo", "non-dropping-particle" : "", "parse-names" : false, "suffix" : "" }, { "dropping-particle" : "", "family" : "White", "given" : "Fletcher A", "non-dropping-particle" : "", "parse-names" : false, "suffix" : "" } ], "container-title" : "BoneKEy reports", "id" : "ITEM-2", "issue" : "MAY", "issued" : { "date-parts" : [ [ "2015" ] ] }, "page" : "690", "publisher" : "Nature Publishing Group", "title" : "Acidic microenvironment and bone pain in cancer-colonized bone.", "type" : "article-journal", "volume" : "4" }, "uris" : [ "http://www.mendeley.com/documents/?uuid=8c8e20e7-9fea-4543-b004-4e4e9090598f", "http://www.mendeley.com/documents/?uuid=6ac27ab0-8e15-4613-9cdd-17d556022578" ] } ], "mendeley" : { "formattedCitation" : "[65,66]", "plainTextFormattedCitation" : "[65,66]", "previouslyFormattedCitation" : "[65,66]" }, "properties" : { "noteIndex" : 0 }, "schema" : "https://github.com/citation-style-language/schema/raw/master/csl-citation.json" }</w:instrText>
      </w:r>
      <w:r w:rsidR="00696BAA"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[65,66]</w:t>
      </w:r>
      <w:r w:rsidR="00696BAA" w:rsidRPr="007721FB">
        <w:rPr>
          <w:rFonts w:ascii="Times New Roman" w:hAnsi="Times New Roman" w:cs="Times New Roman"/>
          <w:sz w:val="24"/>
          <w:szCs w:val="24"/>
        </w:rPr>
        <w:fldChar w:fldCharType="end"/>
      </w:r>
      <w:r w:rsidR="00E15633" w:rsidRPr="007721FB">
        <w:rPr>
          <w:rFonts w:ascii="Times New Roman" w:hAnsi="Times New Roman" w:cs="Times New Roman"/>
          <w:sz w:val="24"/>
          <w:szCs w:val="24"/>
        </w:rPr>
        <w:t>.</w:t>
      </w:r>
      <w:r w:rsidR="00696BAA" w:rsidRPr="007721FB">
        <w:rPr>
          <w:rFonts w:ascii="Times New Roman" w:hAnsi="Times New Roman" w:cs="Times New Roman"/>
          <w:sz w:val="24"/>
          <w:szCs w:val="24"/>
        </w:rPr>
        <w:t xml:space="preserve"> In this context, the following subchapters highlight the </w:t>
      </w:r>
      <w:r w:rsidR="004C1FA6" w:rsidRPr="007721FB">
        <w:rPr>
          <w:rFonts w:ascii="Times New Roman" w:hAnsi="Times New Roman" w:cs="Times New Roman"/>
          <w:sz w:val="24"/>
          <w:szCs w:val="24"/>
        </w:rPr>
        <w:t xml:space="preserve">different </w:t>
      </w:r>
      <w:r w:rsidR="00696BAA" w:rsidRPr="007721FB">
        <w:rPr>
          <w:rFonts w:ascii="Times New Roman" w:hAnsi="Times New Roman" w:cs="Times New Roman"/>
          <w:sz w:val="24"/>
          <w:szCs w:val="24"/>
        </w:rPr>
        <w:t>strategies currently being explored for the design of stimuli-responsive nanocarriers aimed to be use</w:t>
      </w:r>
      <w:r w:rsidR="00170D30" w:rsidRPr="007721FB">
        <w:rPr>
          <w:rFonts w:ascii="Times New Roman" w:hAnsi="Times New Roman" w:cs="Times New Roman"/>
          <w:sz w:val="24"/>
          <w:szCs w:val="24"/>
        </w:rPr>
        <w:t>d for different bone disorders.</w:t>
      </w:r>
    </w:p>
    <w:p w14:paraId="30DED9DA" w14:textId="77777777" w:rsidR="00186724" w:rsidRPr="007721FB" w:rsidRDefault="00186724" w:rsidP="00F42607">
      <w:pPr>
        <w:spacing w:after="0" w:line="240" w:lineRule="auto"/>
        <w:ind w:firstLine="709"/>
        <w:jc w:val="both"/>
        <w:rPr>
          <w:rFonts w:ascii="Times New Roman" w:hAnsi="Times New Roman" w:cs="Times New Roman"/>
          <w:sz w:val="24"/>
          <w:szCs w:val="24"/>
        </w:rPr>
      </w:pPr>
    </w:p>
    <w:p w14:paraId="31501CEA" w14:textId="248638C7" w:rsidR="00636AAB" w:rsidRPr="007721FB" w:rsidRDefault="00461DB2" w:rsidP="00EE0E61">
      <w:pPr>
        <w:spacing w:after="0"/>
        <w:rPr>
          <w:rStyle w:val="apple-converted-space"/>
          <w:rFonts w:ascii="Times New Roman" w:hAnsi="Times New Roman" w:cs="Times New Roman"/>
          <w:b/>
          <w:sz w:val="24"/>
          <w:szCs w:val="24"/>
        </w:rPr>
      </w:pPr>
      <w:bookmarkStart w:id="8" w:name="_Toc471752566"/>
      <w:bookmarkStart w:id="9" w:name="_Toc471829470"/>
      <w:r w:rsidRPr="007721FB">
        <w:rPr>
          <w:rStyle w:val="apple-converted-space"/>
          <w:rFonts w:ascii="Times New Roman" w:hAnsi="Times New Roman" w:cs="Times New Roman"/>
          <w:b/>
          <w:sz w:val="24"/>
          <w:szCs w:val="24"/>
        </w:rPr>
        <w:t>3</w:t>
      </w:r>
      <w:r w:rsidR="00636AAB" w:rsidRPr="007721FB">
        <w:rPr>
          <w:rStyle w:val="apple-converted-space"/>
          <w:rFonts w:ascii="Times New Roman" w:hAnsi="Times New Roman" w:cs="Times New Roman"/>
          <w:b/>
          <w:sz w:val="24"/>
          <w:szCs w:val="24"/>
        </w:rPr>
        <w:t>.</w:t>
      </w:r>
      <w:r w:rsidR="00540512" w:rsidRPr="007721FB">
        <w:rPr>
          <w:rFonts w:ascii="Times New Roman" w:hAnsi="Times New Roman" w:cs="Times New Roman"/>
          <w:b/>
          <w:sz w:val="24"/>
          <w:szCs w:val="24"/>
        </w:rPr>
        <w:t>1 Enzyme-responsive</w:t>
      </w:r>
      <w:bookmarkEnd w:id="8"/>
      <w:bookmarkEnd w:id="9"/>
      <w:r w:rsidR="00186724" w:rsidRPr="007721FB">
        <w:rPr>
          <w:rFonts w:ascii="Times New Roman" w:hAnsi="Times New Roman" w:cs="Times New Roman"/>
          <w:b/>
          <w:sz w:val="24"/>
          <w:szCs w:val="24"/>
        </w:rPr>
        <w:t xml:space="preserve"> nanocarriers</w:t>
      </w:r>
    </w:p>
    <w:p w14:paraId="2E3BFC24" w14:textId="09134557" w:rsidR="006B39AA" w:rsidRPr="007721FB" w:rsidRDefault="00CC7CE6" w:rsidP="00EE0E61">
      <w:pPr>
        <w:spacing w:after="0" w:line="240" w:lineRule="auto"/>
        <w:jc w:val="both"/>
        <w:rPr>
          <w:rFonts w:ascii="Times New Roman" w:hAnsi="Times New Roman" w:cs="Times New Roman"/>
          <w:sz w:val="24"/>
          <w:szCs w:val="24"/>
        </w:rPr>
      </w:pPr>
      <w:r w:rsidRPr="007721FB">
        <w:rPr>
          <w:rFonts w:ascii="Times New Roman" w:hAnsi="Times New Roman" w:cs="Times New Roman"/>
          <w:sz w:val="24"/>
          <w:szCs w:val="24"/>
        </w:rPr>
        <w:t xml:space="preserve">   </w:t>
      </w:r>
      <w:r w:rsidR="00636AAB" w:rsidRPr="007721FB">
        <w:rPr>
          <w:rFonts w:ascii="Times New Roman" w:hAnsi="Times New Roman" w:cs="Times New Roman"/>
          <w:sz w:val="24"/>
          <w:szCs w:val="24"/>
        </w:rPr>
        <w:t>Enzyme</w:t>
      </w:r>
      <w:r w:rsidR="00540512" w:rsidRPr="007721FB">
        <w:rPr>
          <w:rFonts w:ascii="Times New Roman" w:hAnsi="Times New Roman" w:cs="Times New Roman"/>
          <w:sz w:val="24"/>
          <w:szCs w:val="24"/>
        </w:rPr>
        <w:t>-</w:t>
      </w:r>
      <w:r w:rsidR="00636AAB" w:rsidRPr="007721FB">
        <w:rPr>
          <w:rFonts w:ascii="Times New Roman" w:hAnsi="Times New Roman" w:cs="Times New Roman"/>
          <w:sz w:val="24"/>
          <w:szCs w:val="24"/>
        </w:rPr>
        <w:t>re</w:t>
      </w:r>
      <w:r w:rsidR="00696BAA" w:rsidRPr="007721FB">
        <w:rPr>
          <w:rFonts w:ascii="Times New Roman" w:hAnsi="Times New Roman" w:cs="Times New Roman"/>
          <w:sz w:val="24"/>
          <w:szCs w:val="24"/>
        </w:rPr>
        <w:t xml:space="preserve">sponsive nanocarriers take advantage of </w:t>
      </w:r>
      <w:r w:rsidR="00146B4B" w:rsidRPr="007721FB">
        <w:rPr>
          <w:rFonts w:ascii="Times New Roman" w:hAnsi="Times New Roman" w:cs="Times New Roman"/>
          <w:sz w:val="24"/>
          <w:szCs w:val="24"/>
        </w:rPr>
        <w:t xml:space="preserve">intrinsic </w:t>
      </w:r>
      <w:r w:rsidR="00696BAA" w:rsidRPr="007721FB">
        <w:rPr>
          <w:rFonts w:ascii="Times New Roman" w:hAnsi="Times New Roman" w:cs="Times New Roman"/>
          <w:sz w:val="24"/>
          <w:szCs w:val="24"/>
        </w:rPr>
        <w:t>enzymatic activity at the target tissues</w:t>
      </w:r>
      <w:r w:rsidR="00612214" w:rsidRPr="007721FB">
        <w:rPr>
          <w:rFonts w:ascii="Times New Roman" w:hAnsi="Times New Roman" w:cs="Times New Roman"/>
          <w:sz w:val="24"/>
          <w:szCs w:val="24"/>
        </w:rPr>
        <w:t>.</w:t>
      </w:r>
      <w:r w:rsidR="00696BAA" w:rsidRPr="007721FB">
        <w:rPr>
          <w:rFonts w:ascii="Times New Roman" w:hAnsi="Times New Roman" w:cs="Times New Roman"/>
          <w:sz w:val="24"/>
          <w:szCs w:val="24"/>
        </w:rPr>
        <w:t xml:space="preserve"> </w:t>
      </w:r>
      <w:r w:rsidR="00146B4B" w:rsidRPr="007721FB">
        <w:rPr>
          <w:rFonts w:ascii="Times New Roman" w:hAnsi="Times New Roman" w:cs="Times New Roman"/>
          <w:sz w:val="24"/>
          <w:szCs w:val="24"/>
        </w:rPr>
        <w:t xml:space="preserve">Such stimuli can be explored </w:t>
      </w:r>
      <w:r w:rsidR="00696BAA" w:rsidRPr="007721FB">
        <w:rPr>
          <w:rFonts w:ascii="Times New Roman" w:hAnsi="Times New Roman" w:cs="Times New Roman"/>
          <w:sz w:val="24"/>
          <w:szCs w:val="24"/>
        </w:rPr>
        <w:t xml:space="preserve">in </w:t>
      </w:r>
      <w:r w:rsidR="00146B4B" w:rsidRPr="007721FB">
        <w:rPr>
          <w:rFonts w:ascii="Times New Roman" w:hAnsi="Times New Roman" w:cs="Times New Roman"/>
          <w:sz w:val="24"/>
          <w:szCs w:val="24"/>
        </w:rPr>
        <w:t>certain pathologies</w:t>
      </w:r>
      <w:r w:rsidR="00E00194" w:rsidRPr="007721FB">
        <w:rPr>
          <w:rFonts w:ascii="Times New Roman" w:hAnsi="Times New Roman" w:cs="Times New Roman"/>
          <w:sz w:val="24"/>
          <w:szCs w:val="24"/>
        </w:rPr>
        <w:t xml:space="preserve"> or during tissue remodel</w:t>
      </w:r>
      <w:r w:rsidR="00696BAA" w:rsidRPr="007721FB">
        <w:rPr>
          <w:rFonts w:ascii="Times New Roman" w:hAnsi="Times New Roman" w:cs="Times New Roman"/>
          <w:sz w:val="24"/>
          <w:szCs w:val="24"/>
        </w:rPr>
        <w:t>ing/repair</w:t>
      </w:r>
      <w:r w:rsidR="00146B4B" w:rsidRPr="007721FB">
        <w:rPr>
          <w:rFonts w:ascii="Times New Roman" w:hAnsi="Times New Roman" w:cs="Times New Roman"/>
          <w:sz w:val="24"/>
          <w:szCs w:val="24"/>
        </w:rPr>
        <w:t xml:space="preserve"> where</w:t>
      </w:r>
      <w:r w:rsidR="00696BAA" w:rsidRPr="007721FB">
        <w:rPr>
          <w:rFonts w:ascii="Times New Roman" w:hAnsi="Times New Roman" w:cs="Times New Roman"/>
          <w:sz w:val="24"/>
          <w:szCs w:val="24"/>
        </w:rPr>
        <w:t xml:space="preserve"> enzyme activity can be upregulated</w:t>
      </w:r>
      <w:r w:rsidR="00146B4B" w:rsidRPr="007721FB">
        <w:rPr>
          <w:rFonts w:ascii="Times New Roman" w:hAnsi="Times New Roman" w:cs="Times New Roman"/>
          <w:sz w:val="24"/>
          <w:szCs w:val="24"/>
        </w:rPr>
        <w:t>, thus</w:t>
      </w:r>
      <w:r w:rsidR="00696BAA" w:rsidRPr="007721FB">
        <w:rPr>
          <w:rFonts w:ascii="Times New Roman" w:hAnsi="Times New Roman" w:cs="Times New Roman"/>
          <w:sz w:val="24"/>
          <w:szCs w:val="24"/>
        </w:rPr>
        <w:t xml:space="preserve"> making it an i</w:t>
      </w:r>
      <w:r w:rsidR="0087715F" w:rsidRPr="007721FB">
        <w:rPr>
          <w:rFonts w:ascii="Times New Roman" w:hAnsi="Times New Roman" w:cs="Times New Roman"/>
          <w:sz w:val="24"/>
          <w:szCs w:val="24"/>
        </w:rPr>
        <w:t xml:space="preserve">nteresting </w:t>
      </w:r>
      <w:r w:rsidR="00696BAA" w:rsidRPr="007721FB">
        <w:rPr>
          <w:rFonts w:ascii="Times New Roman" w:hAnsi="Times New Roman" w:cs="Times New Roman"/>
          <w:sz w:val="24"/>
          <w:szCs w:val="24"/>
        </w:rPr>
        <w:t>biological trigger to promote the release of bioactive molecules from</w:t>
      </w:r>
      <w:r w:rsidR="00146B4B" w:rsidRPr="007721FB">
        <w:rPr>
          <w:rFonts w:ascii="Times New Roman" w:hAnsi="Times New Roman" w:cs="Times New Roman"/>
          <w:sz w:val="24"/>
          <w:szCs w:val="24"/>
        </w:rPr>
        <w:t xml:space="preserve"> </w:t>
      </w:r>
      <w:r w:rsidR="00696BAA" w:rsidRPr="007721FB">
        <w:rPr>
          <w:rFonts w:ascii="Times New Roman" w:hAnsi="Times New Roman" w:cs="Times New Roman"/>
          <w:sz w:val="24"/>
          <w:szCs w:val="24"/>
        </w:rPr>
        <w:t>nanocarriers</w:t>
      </w:r>
      <w:r w:rsidR="00146B4B" w:rsidRPr="007721FB">
        <w:rPr>
          <w:rFonts w:ascii="Times New Roman" w:hAnsi="Times New Roman" w:cs="Times New Roman"/>
          <w:sz w:val="24"/>
          <w:szCs w:val="24"/>
        </w:rPr>
        <w:t xml:space="preserve"> </w:t>
      </w:r>
      <w:r w:rsidR="001A5053" w:rsidRPr="007721FB">
        <w:rPr>
          <w:rFonts w:ascii="Times New Roman" w:hAnsi="Times New Roman" w:cs="Times New Roman"/>
          <w:sz w:val="24"/>
          <w:szCs w:val="24"/>
        </w:rPr>
        <w:t>at specific sites</w:t>
      </w:r>
      <w:r w:rsidR="00E15633" w:rsidRPr="007721FB">
        <w:rPr>
          <w:rFonts w:ascii="Times New Roman" w:hAnsi="Times New Roman" w:cs="Times New Roman"/>
          <w:sz w:val="24"/>
          <w:szCs w:val="24"/>
        </w:rPr>
        <w:t xml:space="preserve"> </w:t>
      </w:r>
      <w:r w:rsidR="00696BAA" w:rsidRPr="007721FB">
        <w:rPr>
          <w:rFonts w:ascii="Times New Roman" w:hAnsi="Times New Roman" w:cs="Times New Roman"/>
          <w:sz w:val="24"/>
          <w:szCs w:val="24"/>
        </w:rPr>
        <w:fldChar w:fldCharType="begin" w:fldLock="1"/>
      </w:r>
      <w:r w:rsidR="00496BD7" w:rsidRPr="007721FB">
        <w:rPr>
          <w:rFonts w:ascii="Times New Roman" w:hAnsi="Times New Roman" w:cs="Times New Roman"/>
          <w:sz w:val="24"/>
          <w:szCs w:val="24"/>
        </w:rPr>
        <w:instrText>ADDIN CSL_CITATION { "citationItems" : [ { "id" : "ITEM-1", "itemData" : { "DOI" : "10.1038/NMAT3776", "ISBN" : "1476-1122 (Print)\\r1476-1122 (Linking)", "ISSN" : "1476-1122", "PMID" : "24150417", "abstract" : "Spurred by recent progress in materials chemistry and drug delivery, stimuli-responsive devices that deliver a drug in spatial-, temporal-and dosage-controlled fashions have become possible. Implementation of such devices requires the use of biocompatible materials that are susceptible to a specific physical incitement or that, in response to a specific stimulus, undergo a protonation, a hydrolytic cleavage or a (supra) molecular conformational change. In this Review, we discuss recent advances in the design of nanoscale stimuli-responsive systems that are able to control drug biodistribution in response to specific stimuli, either exogenous (variations in temperature, magnetic field, ultrasound intensity, light or electric pulses) or endogenous (changes in pH, enzyme concentration or redox gradients).", "author" : [ { "dropping-particle" : "", "family" : "Mura", "given" : "Simona", "non-dropping-particle" : "", "parse-names" : false, "suffix" : "" }, { "dropping-particle" : "", "family" : "Nicolas", "given" : "Julien", "non-dropping-particle" : "", "parse-names" : false, "suffix" : "" }, { "dropping-particle" : "", "family" : "Couvreur", "given" : "Patrick", "non-dropping-particle" : "", "parse-names" : false, "suffix" : "" } ], "container-title" : "Nature Materials", "id" : "ITEM-1", "issue" : "11", "issued" : { "date-parts" : [ [ "2013" ] ] }, "page" : "991-1003", "publisher" : "Nature Publishing Group", "title" : "Stimuli-responsive nanocarriers for drug delivery", "type" : "article-journal", "volume" : "12" }, "uris" : [ "http://www.mendeley.com/documents/?uuid=ed9334db-2ea4-434c-a81e-73d3c218823f", "http://www.mendeley.com/documents/?uuid=89a4a394-f260-4f82-b443-d41d8cdf09ef" ] } ], "mendeley" : { "formattedCitation" : "[20]", "plainTextFormattedCitation" : "[20]", "previouslyFormattedCitation" : "[20]" }, "properties" : { "noteIndex" : 0 }, "schema" : "https://github.com/citation-style-language/schema/raw/master/csl-citation.json" }</w:instrText>
      </w:r>
      <w:r w:rsidR="00696BAA" w:rsidRPr="007721FB">
        <w:rPr>
          <w:rFonts w:ascii="Times New Roman" w:hAnsi="Times New Roman" w:cs="Times New Roman"/>
          <w:sz w:val="24"/>
          <w:szCs w:val="24"/>
        </w:rPr>
        <w:fldChar w:fldCharType="separate"/>
      </w:r>
      <w:r w:rsidR="00496BD7" w:rsidRPr="007721FB">
        <w:rPr>
          <w:rFonts w:ascii="Times New Roman" w:hAnsi="Times New Roman" w:cs="Times New Roman"/>
          <w:noProof/>
          <w:sz w:val="24"/>
          <w:szCs w:val="24"/>
        </w:rPr>
        <w:t>[20]</w:t>
      </w:r>
      <w:r w:rsidR="00696BAA" w:rsidRPr="007721FB">
        <w:rPr>
          <w:rFonts w:ascii="Times New Roman" w:hAnsi="Times New Roman" w:cs="Times New Roman"/>
          <w:sz w:val="24"/>
          <w:szCs w:val="24"/>
        </w:rPr>
        <w:fldChar w:fldCharType="end"/>
      </w:r>
      <w:r w:rsidR="00E15633" w:rsidRPr="007721FB">
        <w:rPr>
          <w:rFonts w:ascii="Times New Roman" w:hAnsi="Times New Roman" w:cs="Times New Roman"/>
          <w:sz w:val="24"/>
          <w:szCs w:val="24"/>
        </w:rPr>
        <w:t>.</w:t>
      </w:r>
      <w:r w:rsidR="00696BAA" w:rsidRPr="007721FB">
        <w:rPr>
          <w:rFonts w:ascii="Times New Roman" w:hAnsi="Times New Roman" w:cs="Times New Roman"/>
          <w:sz w:val="24"/>
          <w:szCs w:val="24"/>
        </w:rPr>
        <w:t xml:space="preserve"> </w:t>
      </w:r>
      <w:r w:rsidR="001341FB" w:rsidRPr="007721FB">
        <w:rPr>
          <w:rFonts w:ascii="Times New Roman" w:hAnsi="Times New Roman" w:cs="Times New Roman"/>
          <w:sz w:val="24"/>
          <w:szCs w:val="24"/>
        </w:rPr>
        <w:t xml:space="preserve">Typically, the most commonly explored instances of enzyme-responsive delivery take advantage of </w:t>
      </w:r>
      <w:r w:rsidR="00D1740D" w:rsidRPr="007721FB">
        <w:rPr>
          <w:rFonts w:ascii="Times New Roman" w:hAnsi="Times New Roman" w:cs="Times New Roman"/>
          <w:sz w:val="24"/>
          <w:szCs w:val="24"/>
        </w:rPr>
        <w:t>altered expression profiles</w:t>
      </w:r>
      <w:r w:rsidR="001341FB" w:rsidRPr="007721FB">
        <w:rPr>
          <w:rFonts w:ascii="Times New Roman" w:hAnsi="Times New Roman" w:cs="Times New Roman"/>
          <w:sz w:val="24"/>
          <w:szCs w:val="24"/>
        </w:rPr>
        <w:t xml:space="preserve"> of proteases, phospholipases</w:t>
      </w:r>
      <w:r w:rsidR="00D1740D" w:rsidRPr="007721FB">
        <w:rPr>
          <w:rFonts w:ascii="Times New Roman" w:hAnsi="Times New Roman" w:cs="Times New Roman"/>
          <w:sz w:val="24"/>
          <w:szCs w:val="24"/>
        </w:rPr>
        <w:t xml:space="preserve"> and oxireductases </w:t>
      </w:r>
      <w:r w:rsidR="004C1FA6" w:rsidRPr="007721FB">
        <w:rPr>
          <w:rFonts w:ascii="Times New Roman" w:hAnsi="Times New Roman" w:cs="Times New Roman"/>
          <w:sz w:val="24"/>
          <w:szCs w:val="24"/>
        </w:rPr>
        <w:t>underlying</w:t>
      </w:r>
      <w:r w:rsidR="00D1740D" w:rsidRPr="007721FB">
        <w:rPr>
          <w:rFonts w:ascii="Times New Roman" w:hAnsi="Times New Roman" w:cs="Times New Roman"/>
          <w:sz w:val="24"/>
          <w:szCs w:val="24"/>
        </w:rPr>
        <w:t xml:space="preserve"> various scenarios such as wound healing, infectious pathogens, neurodegeneration, diabetes or tumor invasion</w:t>
      </w:r>
      <w:r w:rsidR="00E15633" w:rsidRPr="007721FB">
        <w:rPr>
          <w:rFonts w:ascii="Times New Roman" w:hAnsi="Times New Roman" w:cs="Times New Roman"/>
          <w:sz w:val="24"/>
          <w:szCs w:val="24"/>
        </w:rPr>
        <w:t xml:space="preserve"> </w:t>
      </w:r>
      <w:r w:rsidR="00D1740D"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"DOI" : "10.1039/C4NR04249B", "ISSN" : "2040-3364", "author" : [ { "dropping-particle" : "", "family" : "Hu", "given" : "Quanyin", "non-dropping-particle" : "", "parse-names" : false, "suffix" : "" }, { "dropping-particle" : "", "family" : "Katti", "given" : "Prateek S", "non-dropping-particle" : "", "parse-names" : false, "suffix" : "" }, { "dropping-particle" : "", "family" : "Gu", "given" : "Zhen", "non-dropping-particle" : "", "parse-names" : false, "suffix" : "" } ], "container-title" : "Nanoscale", "id" : "ITEM-1", "issue" : "21", "issued" : { "date-parts" : [ [ "2014", "9" ] ] }, "page" : "12273-12286", "title" : "Enzyme-responsive nanomaterials for controlled drug delivery", "type" : "article-journal", "volume" : "6" }, "uris" : [ "http://www.mendeley.com/documents/?uuid=d6aa66a3-4de2-4624-a10e-38ae168538b2", "http://www.mendeley.com/documents/?uuid=82ebf394-f25f-4bdd-b6c4-e18067f1f4dc" ] } ], "mendeley" : { "formattedCitation" : "[67]", "plainTextFormattedCitation" : "[67]", "previouslyFormattedCitation" : "[67]" }, "properties" : { "noteIndex" : 0 }, "schema" : "https://github.com/citation-style-language/schema/raw/master/csl-citation.json" }</w:instrText>
      </w:r>
      <w:r w:rsidR="00D1740D"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[67]</w:t>
      </w:r>
      <w:r w:rsidR="00D1740D" w:rsidRPr="007721FB">
        <w:rPr>
          <w:rFonts w:ascii="Times New Roman" w:hAnsi="Times New Roman" w:cs="Times New Roman"/>
          <w:sz w:val="24"/>
          <w:szCs w:val="24"/>
        </w:rPr>
        <w:fldChar w:fldCharType="end"/>
      </w:r>
      <w:r w:rsidR="00E15633" w:rsidRPr="007721FB">
        <w:rPr>
          <w:rFonts w:ascii="Times New Roman" w:hAnsi="Times New Roman" w:cs="Times New Roman"/>
          <w:sz w:val="24"/>
          <w:szCs w:val="24"/>
        </w:rPr>
        <w:t>.</w:t>
      </w:r>
      <w:r w:rsidR="00D1740D" w:rsidRPr="007721FB">
        <w:rPr>
          <w:rFonts w:ascii="Times New Roman" w:hAnsi="Times New Roman" w:cs="Times New Roman"/>
          <w:sz w:val="24"/>
          <w:szCs w:val="24"/>
        </w:rPr>
        <w:t xml:space="preserve"> </w:t>
      </w:r>
      <w:r w:rsidR="00696BAA" w:rsidRPr="007721FB">
        <w:rPr>
          <w:rFonts w:ascii="Times New Roman" w:hAnsi="Times New Roman" w:cs="Times New Roman"/>
          <w:sz w:val="24"/>
          <w:szCs w:val="24"/>
        </w:rPr>
        <w:t xml:space="preserve">Particularly in the bone milieu, cathepsin K (CTSK) is one of the most </w:t>
      </w:r>
      <w:r w:rsidR="006B39AA" w:rsidRPr="007721FB">
        <w:rPr>
          <w:rFonts w:ascii="Times New Roman" w:hAnsi="Times New Roman" w:cs="Times New Roman"/>
          <w:sz w:val="24"/>
          <w:szCs w:val="24"/>
        </w:rPr>
        <w:t xml:space="preserve">valuable </w:t>
      </w:r>
      <w:r w:rsidR="00696BAA" w:rsidRPr="007721FB">
        <w:rPr>
          <w:rFonts w:ascii="Times New Roman" w:hAnsi="Times New Roman" w:cs="Times New Roman"/>
          <w:sz w:val="24"/>
          <w:szCs w:val="24"/>
        </w:rPr>
        <w:t>enzyme-based stimul</w:t>
      </w:r>
      <w:r w:rsidR="003F35D7" w:rsidRPr="007721FB">
        <w:rPr>
          <w:rFonts w:ascii="Times New Roman" w:hAnsi="Times New Roman" w:cs="Times New Roman"/>
          <w:sz w:val="24"/>
          <w:szCs w:val="24"/>
        </w:rPr>
        <w:t>i</w:t>
      </w:r>
      <w:r w:rsidR="00696BAA" w:rsidRPr="007721FB">
        <w:rPr>
          <w:rFonts w:ascii="Times New Roman" w:hAnsi="Times New Roman" w:cs="Times New Roman"/>
          <w:sz w:val="24"/>
          <w:szCs w:val="24"/>
        </w:rPr>
        <w:t xml:space="preserve"> to be explored.</w:t>
      </w:r>
    </w:p>
    <w:p w14:paraId="03585B3F" w14:textId="4357C829" w:rsidR="00FC52F4" w:rsidRPr="007721FB" w:rsidRDefault="006B39AA" w:rsidP="00EE0E61">
      <w:pPr>
        <w:spacing w:after="0" w:line="240" w:lineRule="auto"/>
        <w:jc w:val="both"/>
        <w:rPr>
          <w:rFonts w:ascii="Times New Roman" w:hAnsi="Times New Roman" w:cs="Times New Roman"/>
          <w:sz w:val="24"/>
          <w:szCs w:val="24"/>
          <w:lang w:val="en-GB"/>
        </w:rPr>
      </w:pPr>
      <w:r w:rsidRPr="007721FB">
        <w:rPr>
          <w:rFonts w:ascii="Times New Roman" w:hAnsi="Times New Roman" w:cs="Times New Roman"/>
          <w:sz w:val="24"/>
          <w:szCs w:val="24"/>
        </w:rPr>
        <w:lastRenderedPageBreak/>
        <w:t xml:space="preserve">  </w:t>
      </w:r>
      <w:r w:rsidR="00696BAA" w:rsidRPr="007721FB">
        <w:rPr>
          <w:rFonts w:ascii="Times New Roman" w:hAnsi="Times New Roman" w:cs="Times New Roman"/>
          <w:sz w:val="24"/>
          <w:szCs w:val="24"/>
        </w:rPr>
        <w:t xml:space="preserve"> </w:t>
      </w:r>
      <w:r w:rsidRPr="007721FB">
        <w:rPr>
          <w:rFonts w:ascii="Times New Roman" w:hAnsi="Times New Roman" w:cs="Times New Roman"/>
          <w:sz w:val="24"/>
          <w:szCs w:val="24"/>
        </w:rPr>
        <w:t>CTSK production is associated with the bone remodeling dynamics</w:t>
      </w:r>
      <w:r w:rsidR="00ED680D" w:rsidRPr="007721FB">
        <w:rPr>
          <w:rFonts w:ascii="Times New Roman" w:hAnsi="Times New Roman" w:cs="Times New Roman"/>
          <w:sz w:val="24"/>
          <w:szCs w:val="24"/>
        </w:rPr>
        <w:t>, particularly</w:t>
      </w:r>
      <w:r w:rsidR="000461A8" w:rsidRPr="007721FB">
        <w:rPr>
          <w:rFonts w:ascii="Times New Roman" w:hAnsi="Times New Roman" w:cs="Times New Roman"/>
          <w:sz w:val="24"/>
          <w:szCs w:val="24"/>
        </w:rPr>
        <w:t xml:space="preserve"> bone catabolism</w:t>
      </w:r>
      <w:r w:rsidRPr="007721FB">
        <w:rPr>
          <w:rFonts w:ascii="Times New Roman" w:hAnsi="Times New Roman" w:cs="Times New Roman"/>
          <w:sz w:val="24"/>
          <w:szCs w:val="24"/>
        </w:rPr>
        <w:t>. In this process, o</w:t>
      </w:r>
      <w:r w:rsidR="00696BAA" w:rsidRPr="007721FB">
        <w:rPr>
          <w:rFonts w:ascii="Times New Roman" w:hAnsi="Times New Roman" w:cs="Times New Roman"/>
          <w:sz w:val="24"/>
          <w:szCs w:val="24"/>
        </w:rPr>
        <w:t>steoclasts</w:t>
      </w:r>
      <w:r w:rsidRPr="007721FB">
        <w:rPr>
          <w:rFonts w:ascii="Times New Roman" w:hAnsi="Times New Roman" w:cs="Times New Roman"/>
          <w:sz w:val="24"/>
          <w:szCs w:val="24"/>
        </w:rPr>
        <w:t xml:space="preserve"> (</w:t>
      </w:r>
      <w:r w:rsidR="00696BAA" w:rsidRPr="007721FB">
        <w:rPr>
          <w:rFonts w:ascii="Times New Roman" w:hAnsi="Times New Roman" w:cs="Times New Roman"/>
          <w:sz w:val="24"/>
          <w:szCs w:val="24"/>
        </w:rPr>
        <w:t>multinucleated cells responsible for resorbing bone</w:t>
      </w:r>
      <w:r w:rsidR="00A74B95" w:rsidRPr="007721FB">
        <w:rPr>
          <w:rFonts w:ascii="Times New Roman" w:hAnsi="Times New Roman" w:cs="Times New Roman"/>
          <w:sz w:val="24"/>
          <w:szCs w:val="24"/>
        </w:rPr>
        <w:t>), are localized</w:t>
      </w:r>
      <w:r w:rsidRPr="007721FB">
        <w:rPr>
          <w:rFonts w:ascii="Times New Roman" w:hAnsi="Times New Roman" w:cs="Times New Roman"/>
          <w:sz w:val="24"/>
          <w:szCs w:val="24"/>
        </w:rPr>
        <w:t xml:space="preserve"> </w:t>
      </w:r>
      <w:r w:rsidR="00A74B95" w:rsidRPr="007721FB">
        <w:rPr>
          <w:rFonts w:ascii="Times New Roman" w:hAnsi="Times New Roman" w:cs="Times New Roman"/>
          <w:sz w:val="24"/>
          <w:szCs w:val="24"/>
        </w:rPr>
        <w:t>within the resorption lacunae,</w:t>
      </w:r>
      <w:r w:rsidR="00696BAA" w:rsidRPr="007721FB">
        <w:rPr>
          <w:rFonts w:ascii="Times New Roman" w:hAnsi="Times New Roman" w:cs="Times New Roman"/>
          <w:sz w:val="24"/>
          <w:szCs w:val="24"/>
        </w:rPr>
        <w:t xml:space="preserve"> an acidic sealed </w:t>
      </w:r>
      <w:r w:rsidR="00ED680D" w:rsidRPr="007721FB">
        <w:rPr>
          <w:rFonts w:ascii="Times New Roman" w:hAnsi="Times New Roman" w:cs="Times New Roman"/>
          <w:sz w:val="24"/>
          <w:szCs w:val="24"/>
        </w:rPr>
        <w:t xml:space="preserve">area </w:t>
      </w:r>
      <w:r w:rsidR="00696BAA" w:rsidRPr="007721FB">
        <w:rPr>
          <w:rFonts w:ascii="Times New Roman" w:hAnsi="Times New Roman" w:cs="Times New Roman"/>
          <w:sz w:val="24"/>
          <w:szCs w:val="24"/>
        </w:rPr>
        <w:t>(pH</w:t>
      </w:r>
      <w:r w:rsidR="00EB4946" w:rsidRPr="007721FB">
        <w:rPr>
          <w:rFonts w:ascii="Times New Roman" w:hAnsi="Times New Roman" w:cs="Times New Roman"/>
          <w:sz w:val="24"/>
          <w:szCs w:val="24"/>
        </w:rPr>
        <w:t>~</w:t>
      </w:r>
      <w:r w:rsidR="00696BAA" w:rsidRPr="007721FB">
        <w:rPr>
          <w:rFonts w:ascii="Times New Roman" w:hAnsi="Times New Roman" w:cs="Times New Roman"/>
          <w:sz w:val="24"/>
          <w:szCs w:val="24"/>
        </w:rPr>
        <w:t>4)</w:t>
      </w:r>
      <w:r w:rsidR="00A74B95" w:rsidRPr="007721FB">
        <w:rPr>
          <w:rFonts w:ascii="Times New Roman" w:hAnsi="Times New Roman" w:cs="Times New Roman"/>
          <w:sz w:val="24"/>
          <w:szCs w:val="24"/>
        </w:rPr>
        <w:t>, where</w:t>
      </w:r>
      <w:r w:rsidR="00696BAA" w:rsidRPr="007721FB">
        <w:rPr>
          <w:rFonts w:ascii="Times New Roman" w:hAnsi="Times New Roman" w:cs="Times New Roman"/>
          <w:sz w:val="24"/>
          <w:szCs w:val="24"/>
        </w:rPr>
        <w:t xml:space="preserve"> t</w:t>
      </w:r>
      <w:r w:rsidR="00B1563B" w:rsidRPr="007721FB">
        <w:rPr>
          <w:rFonts w:ascii="Times New Roman" w:hAnsi="Times New Roman" w:cs="Times New Roman"/>
          <w:sz w:val="24"/>
          <w:szCs w:val="24"/>
        </w:rPr>
        <w:t xml:space="preserve">hese cells release </w:t>
      </w:r>
      <w:r w:rsidR="00696BAA" w:rsidRPr="007721FB">
        <w:rPr>
          <w:rFonts w:ascii="Times New Roman" w:hAnsi="Times New Roman" w:cs="Times New Roman"/>
          <w:sz w:val="24"/>
          <w:szCs w:val="24"/>
        </w:rPr>
        <w:t xml:space="preserve">CTSK and HCl to digest the collagenous organic matrix and </w:t>
      </w:r>
      <w:r w:rsidRPr="007721FB">
        <w:rPr>
          <w:rFonts w:ascii="Times New Roman" w:hAnsi="Times New Roman" w:cs="Times New Roman"/>
          <w:sz w:val="24"/>
          <w:szCs w:val="24"/>
        </w:rPr>
        <w:t>hydroxyapatite (HA)</w:t>
      </w:r>
      <w:r w:rsidR="008F5E15" w:rsidRPr="007721FB">
        <w:rPr>
          <w:rFonts w:ascii="Times New Roman" w:hAnsi="Times New Roman" w:cs="Times New Roman"/>
          <w:sz w:val="24"/>
          <w:szCs w:val="24"/>
        </w:rPr>
        <w:t xml:space="preserve"> </w:t>
      </w:r>
      <w:r w:rsidR="00696BAA" w:rsidRPr="007721FB">
        <w:rPr>
          <w:rFonts w:ascii="Times New Roman" w:hAnsi="Times New Roman" w:cs="Times New Roman"/>
          <w:sz w:val="24"/>
          <w:szCs w:val="24"/>
        </w:rPr>
        <w:t>crystals, respectively</w:t>
      </w:r>
      <w:r w:rsidR="00A74B95" w:rsidRPr="007721FB">
        <w:rPr>
          <w:rFonts w:ascii="Times New Roman" w:hAnsi="Times New Roman" w:cs="Times New Roman"/>
          <w:sz w:val="24"/>
          <w:szCs w:val="24"/>
        </w:rPr>
        <w:t xml:space="preserve">. Apart from osteoclast-mediated expression, breast cancer skeletal metastases are also known to overexpress this specific proteinase </w:t>
      </w:r>
      <w:r w:rsidR="00A74B95"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"DOI" : "10.1158/0008-5472.CAN-06-3940", "ISBN" : "0008-5472 (Print)\\r0008-5472 (Linking)", "ISSN" : "0008-5472", "PMID" : "17942921", "abstract" : "Osteoclasts mediate bone destruction in breast cancer skeletal metastases. Cathepsin K is a proteinase that is secreted by osteoclasts and degrades bone. Here, immunohistochemistry revealed that cathepsin K was expressed not only by osteoclasts but also by breast cancer cells that metastasize to bone. Following intratibial injection with cathepsin K-expressing human BT474 breast cancer cells, tumor-bearing mice treated with a clinical dosing regimen of cathepsin K inhibitor (CKI; 50 mg/kg, twice daily) had osteolytic lesions that were 79% smaller than those of tumor-bearing mice treated with the vehicle. The effect of CKI was also studied in a mouse model in which the i.v. inoculation of human B02 breast cancer cells expressing cathepsin K leads to bone metastasis formation. Drug administration was started before (preventive protocol) or after (treatment protocol) the occurrence of osteolytic lesions. In treatment protocols, CKI (50 mg/kg, twice daily) or a single clinical dose of 100 microg/kg zoledronic acid (osteoclast inhibitor) reduced the progression of osteolytic lesions by 59% to 66%. CKI therapy also reduced skeletal tumor burden by 62% compared with vehicle, whereas zoledronic acid did not decrease the tumor burden. The efficacy of CKI at inhibiting skeletal tumor burden was similar in the treatment and preventive protocols. By contrast, CKI did not block the growth of s.c. B02 tumor xenografts in animals. Thus, CKI may render the bone a less favorable microenvironment for tumor growth by inhibiting bone resorption. These findings raise the possibility that cathepsin K could be a therapeutic target for the treatment of bone metastases.", "author" : [ { "dropping-particle" : "", "family" : "Gall", "given" : "C\u00e9line", "non-dropping-particle" : "Le", "parse-names" : false, "suffix" : "" }, { "dropping-particle" : "", "family" : "Bellahc\u00e8ne", "given" : "Akeila", "non-dropping-particle" : "", "parse-names" : false, "suffix" : "" }, { "dropping-particle" : "", "family" : "Bonnelye", "given" : "Edith", "non-dropping-particle" : "", "parse-names" : false, "suffix" : "" }, { "dropping-particle" : "", "family" : "Gasser", "given" : "J\u00fcrg a", "non-dropping-particle" : "", "parse-names" : false, "suffix" : "" }, { "dropping-particle" : "", "family" : "Castronovo", "given" : "Vincent", "non-dropping-particle" : "", "parse-names" : false, "suffix" : "" }, { "dropping-particle" : "", "family" : "Green", "given" : "Jonathan", "non-dropping-particle" : "", "parse-names" : false, "suffix" : "" }, { "dropping-particle" : "", "family" : "Zimmermann", "given" : "Johann", "non-dropping-particle" : "", "parse-names" : false, "suffix" : "" }, { "dropping-particle" : "", "family" : "Cl\u00e9zardin", "given" : "Philippe", "non-dropping-particle" : "", "parse-names" : false, "suffix" : "" } ], "container-title" : "Cancer research", "id" : "ITEM-1", "issue" : "20", "issued" : { "date-parts" : [ [ "2007" ] ] }, "page" : "9894-9902", "title" : "A cathepsin K inhibitor reduces breast cancer induced osteolysis and skeletal tumor burden.", "type" : "article-journal", "volume" : "67" }, "uris" : [ "http://www.mendeley.com/documents/?uuid=ec02f216-acff-47c9-8c4c-2903f32644ec", "http://www.mendeley.com/documents/?uuid=544a20c1-62e6-467e-a012-5d4b5a57d574" ] } ], "mendeley" : { "formattedCitation" : "[68]", "plainTextFormattedCitation" : "[68]", "previouslyFormattedCitation" : "[68]" }, "properties" : { "noteIndex" : 0 }, "schema" : "https://github.com/citation-style-language/schema/raw/master/csl-citation.json" }</w:instrText>
      </w:r>
      <w:r w:rsidR="00A74B95"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[68]</w:t>
      </w:r>
      <w:r w:rsidR="00A74B95" w:rsidRPr="007721FB">
        <w:rPr>
          <w:rFonts w:ascii="Times New Roman" w:hAnsi="Times New Roman" w:cs="Times New Roman"/>
          <w:sz w:val="24"/>
          <w:szCs w:val="24"/>
        </w:rPr>
        <w:fldChar w:fldCharType="end"/>
      </w:r>
      <w:r w:rsidR="00A74B95" w:rsidRPr="007721FB">
        <w:rPr>
          <w:rFonts w:ascii="Times New Roman" w:hAnsi="Times New Roman" w:cs="Times New Roman"/>
          <w:sz w:val="24"/>
          <w:szCs w:val="24"/>
        </w:rPr>
        <w:t>.</w:t>
      </w:r>
      <w:r w:rsidR="00A74B95" w:rsidRPr="007721FB">
        <w:rPr>
          <w:rFonts w:ascii="Times New Roman" w:hAnsi="Times New Roman" w:cs="Times New Roman"/>
          <w:sz w:val="24"/>
          <w:szCs w:val="24"/>
          <w:lang w:val="en-GB"/>
        </w:rPr>
        <w:t xml:space="preserve"> </w:t>
      </w:r>
      <w:r w:rsidR="00ED680D" w:rsidRPr="007721FB">
        <w:rPr>
          <w:rFonts w:ascii="Times New Roman" w:hAnsi="Times New Roman" w:cs="Times New Roman"/>
          <w:sz w:val="24"/>
          <w:szCs w:val="24"/>
          <w:lang w:val="en-GB"/>
        </w:rPr>
        <w:t>Also,</w:t>
      </w:r>
      <w:r w:rsidRPr="007721FB">
        <w:rPr>
          <w:rFonts w:ascii="Times New Roman" w:hAnsi="Times New Roman" w:cs="Times New Roman"/>
          <w:sz w:val="24"/>
          <w:szCs w:val="24"/>
          <w:lang w:val="en-GB"/>
        </w:rPr>
        <w:t xml:space="preserve"> </w:t>
      </w:r>
      <w:r w:rsidR="00FC52F4" w:rsidRPr="007721FB">
        <w:rPr>
          <w:rFonts w:ascii="Times New Roman" w:hAnsi="Times New Roman" w:cs="Times New Roman"/>
          <w:sz w:val="24"/>
          <w:szCs w:val="24"/>
          <w:lang w:val="en-GB"/>
        </w:rPr>
        <w:t>CTSK expression</w:t>
      </w:r>
      <w:r w:rsidRPr="007721FB">
        <w:rPr>
          <w:rFonts w:ascii="Times New Roman" w:hAnsi="Times New Roman" w:cs="Times New Roman"/>
          <w:sz w:val="24"/>
          <w:szCs w:val="24"/>
          <w:lang w:val="en-GB"/>
        </w:rPr>
        <w:t xml:space="preserve"> has been reported</w:t>
      </w:r>
      <w:r w:rsidR="00FC52F4" w:rsidRPr="007721FB">
        <w:rPr>
          <w:rFonts w:ascii="Times New Roman" w:hAnsi="Times New Roman" w:cs="Times New Roman"/>
          <w:sz w:val="24"/>
          <w:szCs w:val="24"/>
          <w:lang w:val="en-GB"/>
        </w:rPr>
        <w:t xml:space="preserve"> in </w:t>
      </w:r>
      <w:r w:rsidR="00ED680D" w:rsidRPr="007721FB">
        <w:rPr>
          <w:rFonts w:ascii="Times New Roman" w:hAnsi="Times New Roman" w:cs="Times New Roman"/>
          <w:sz w:val="24"/>
          <w:szCs w:val="24"/>
          <w:lang w:val="en-GB"/>
        </w:rPr>
        <w:t xml:space="preserve">fibrotic </w:t>
      </w:r>
      <w:r w:rsidR="00FC52F4" w:rsidRPr="007721FB">
        <w:rPr>
          <w:rFonts w:ascii="Times New Roman" w:hAnsi="Times New Roman" w:cs="Times New Roman"/>
          <w:sz w:val="24"/>
          <w:szCs w:val="24"/>
          <w:lang w:val="en-GB"/>
        </w:rPr>
        <w:t>lung tissues</w:t>
      </w:r>
      <w:r w:rsidR="00B87CB6" w:rsidRPr="007721FB">
        <w:rPr>
          <w:rFonts w:ascii="Times New Roman" w:hAnsi="Times New Roman" w:cs="Times New Roman"/>
          <w:sz w:val="24"/>
          <w:szCs w:val="24"/>
          <w:lang w:val="en-GB"/>
        </w:rPr>
        <w:t xml:space="preserve"> </w:t>
      </w:r>
      <w:r w:rsidR="00ED680D" w:rsidRPr="007721FB">
        <w:rPr>
          <w:rFonts w:ascii="Times New Roman" w:hAnsi="Times New Roman" w:cs="Times New Roman"/>
          <w:sz w:val="24"/>
          <w:szCs w:val="24"/>
          <w:lang w:val="en-GB"/>
        </w:rPr>
        <w:fldChar w:fldCharType="begin" w:fldLock="1"/>
      </w:r>
      <w:r w:rsidR="00B31E12" w:rsidRPr="007721FB">
        <w:rPr>
          <w:rFonts w:ascii="Times New Roman" w:hAnsi="Times New Roman" w:cs="Times New Roman"/>
          <w:sz w:val="24"/>
          <w:szCs w:val="24"/>
          <w:lang w:val="en-GB"/>
        </w:rPr>
        <w:instrText>ADDIN CSL_CITATION { "citationItems" : [ { "id" : "ITEM-1", "itemData" : { "ISSN" : "0002-9440", "abstract" : "The paramount importance of the homeostasis of the extracellular matrix for pulmonary function is exemplified by two opposing extremes: emphysema and pulmonary fibrosis. This study examined the putative role of cathepsin K (catK) in the pathology of lung fibrosis in mice and its relevance to the human disease activity. We compared the induction of lung fibrosis by administration of bleomycin. CTSK(\u2212/\u2212) mice deposited significantly more extracellular matrix than control mice. Primary lung fibroblasts derived from CTSK(\u2212/\u2212) mice showed a decreased collagenolytic activity indicating the role of catK in collagen degradation. Interestingly, CTSK(+/+) control mice revealed an increased expression of catK in fibrotic lung regions suggesting a protective role of catK to counter the excessive deposition of collagen matrix in the diseased lung. Similarly, in lung specimens obtained from patients with lung fibrosis fibroblasts expressed larger amounts of catK than those obtained from normal lungs. Activation of human pulmonary fibroblasts in primary cell cultures led to an increased activity of catK through enhanced gene transcription and protein expression and to increased intracellular collagenolytic activity. We believe that this is the first study to show that catK plays a pivotal role in lung matrix homeostasis under physiological and pathological conditions. ", "author" : [ { "dropping-particle" : "", "family" : "B\u00fchling", "given" : "Frank", "non-dropping-particle" : "", "parse-names" : false, "suffix" : "" }, { "dropping-particle" : "", "family" : "R\u00f6cken", "given" : "Christoph", "non-dropping-particle" : "", "parse-names" : false, "suffix" : "" }, { "dropping-particle" : "", "family" : "Brasch", "given" : "Frank", "non-dropping-particle" : "", "parse-names" : false, "suffix" : "" }, { "dropping-particle" : "", "family" : "Hartig", "given" : "Roland", "non-dropping-particle" : "", "parse-names" : false, "suffix" : "" }, { "dropping-particle" : "", "family" : "Yasuda", "given" : "Yoshiyuki", "non-dropping-particle" : "", "parse-names" : false, "suffix" : "" }, { "dropping-particle" : "", "family" : "Saftig", "given" : "Paul", "non-dropping-particle" : "", "parse-names" : false, "suffix" : "" }, { "dropping-particle" : "", "family" : "Br\u00f6mme", "given" : "Dieter", "non-dropping-particle" : "", "parse-names" : false, "suffix" : "" }, { "dropping-particle" : "", "family" : "Welte", "given" : "Tobias", "non-dropping-particle" : "", "parse-names" : false, "suffix" : "" } ], "container-title" : "The American Journal of Pathology", "id" : "ITEM-1", "issue" : "6", "issued" : { "date-parts" : [ [ "2004", "6", "23" ] ] }, "page" : "2203-2216", "publisher" : "American Society for Investigative Pathology", "title" : "Pivotal Role of Cathepsin K in Lung Fibrosis", "type" : "article-journal", "volume" : "164" }, "uris" : [ "http://www.mendeley.com/documents/?uuid=f24cfb47-64ef-4920-84b7-fa3c148bc6a5" ] } ], "mendeley" : { "formattedCitation" : "[69]", "plainTextFormattedCitation" : "[69]", "previouslyFormattedCitation" : "[69]" }, "properties" : { "noteIndex" : 12 }, "schema" : "https://github.com/citation-style-language/schema/raw/master/csl-citation.json" }</w:instrText>
      </w:r>
      <w:r w:rsidR="00ED680D" w:rsidRPr="007721FB">
        <w:rPr>
          <w:rFonts w:ascii="Times New Roman" w:hAnsi="Times New Roman" w:cs="Times New Roman"/>
          <w:sz w:val="24"/>
          <w:szCs w:val="24"/>
          <w:lang w:val="en-GB"/>
        </w:rPr>
        <w:fldChar w:fldCharType="separate"/>
      </w:r>
      <w:r w:rsidR="00B31E12" w:rsidRPr="007721FB">
        <w:rPr>
          <w:rFonts w:ascii="Times New Roman" w:hAnsi="Times New Roman" w:cs="Times New Roman"/>
          <w:noProof/>
          <w:sz w:val="24"/>
          <w:szCs w:val="24"/>
          <w:lang w:val="en-GB"/>
        </w:rPr>
        <w:t>[69]</w:t>
      </w:r>
      <w:r w:rsidR="00ED680D" w:rsidRPr="007721FB">
        <w:rPr>
          <w:rFonts w:ascii="Times New Roman" w:hAnsi="Times New Roman" w:cs="Times New Roman"/>
          <w:sz w:val="24"/>
          <w:szCs w:val="24"/>
          <w:lang w:val="en-GB"/>
        </w:rPr>
        <w:fldChar w:fldCharType="end"/>
      </w:r>
      <w:r w:rsidR="00FC52F4" w:rsidRPr="007721FB">
        <w:rPr>
          <w:rFonts w:ascii="Times New Roman" w:hAnsi="Times New Roman" w:cs="Times New Roman"/>
          <w:sz w:val="24"/>
          <w:szCs w:val="24"/>
          <w:lang w:val="en-GB"/>
        </w:rPr>
        <w:t>.</w:t>
      </w:r>
      <w:r w:rsidR="003F35D7" w:rsidRPr="007721FB">
        <w:rPr>
          <w:rFonts w:ascii="Times New Roman" w:hAnsi="Times New Roman" w:cs="Times New Roman"/>
          <w:sz w:val="24"/>
          <w:szCs w:val="24"/>
          <w:lang w:val="en-GB"/>
        </w:rPr>
        <w:t xml:space="preserve"> </w:t>
      </w:r>
      <w:r w:rsidRPr="007721FB">
        <w:rPr>
          <w:rFonts w:ascii="Times New Roman" w:hAnsi="Times New Roman" w:cs="Times New Roman"/>
          <w:sz w:val="24"/>
          <w:szCs w:val="24"/>
          <w:lang w:val="en-GB"/>
        </w:rPr>
        <w:t>Hence during pre-clinical analysis of CTSK-re</w:t>
      </w:r>
      <w:r w:rsidR="00AC380E" w:rsidRPr="007721FB">
        <w:rPr>
          <w:rFonts w:ascii="Times New Roman" w:hAnsi="Times New Roman" w:cs="Times New Roman"/>
          <w:sz w:val="24"/>
          <w:szCs w:val="24"/>
          <w:lang w:val="en-GB"/>
        </w:rPr>
        <w:t>s</w:t>
      </w:r>
      <w:r w:rsidRPr="007721FB">
        <w:rPr>
          <w:rFonts w:ascii="Times New Roman" w:hAnsi="Times New Roman" w:cs="Times New Roman"/>
          <w:sz w:val="24"/>
          <w:szCs w:val="24"/>
          <w:lang w:val="en-GB"/>
        </w:rPr>
        <w:t>ponsive nanocarriers</w:t>
      </w:r>
      <w:r w:rsidR="00D116C3" w:rsidRPr="007721FB">
        <w:rPr>
          <w:rFonts w:ascii="Times New Roman" w:hAnsi="Times New Roman" w:cs="Times New Roman"/>
          <w:sz w:val="24"/>
          <w:szCs w:val="24"/>
          <w:lang w:val="en-GB"/>
        </w:rPr>
        <w:t xml:space="preserve"> aimed for bone</w:t>
      </w:r>
      <w:r w:rsidR="00AC380E" w:rsidRPr="007721FB">
        <w:rPr>
          <w:rFonts w:ascii="Times New Roman" w:hAnsi="Times New Roman" w:cs="Times New Roman"/>
          <w:sz w:val="24"/>
          <w:szCs w:val="24"/>
          <w:lang w:val="en-GB"/>
        </w:rPr>
        <w:t xml:space="preserve"> therapies,</w:t>
      </w:r>
      <w:r w:rsidRPr="007721FB">
        <w:rPr>
          <w:rFonts w:ascii="Times New Roman" w:hAnsi="Times New Roman" w:cs="Times New Roman"/>
          <w:sz w:val="24"/>
          <w:szCs w:val="24"/>
          <w:lang w:val="en-GB"/>
        </w:rPr>
        <w:t xml:space="preserve"> one should take into conside</w:t>
      </w:r>
      <w:r w:rsidR="00D116C3" w:rsidRPr="007721FB">
        <w:rPr>
          <w:rFonts w:ascii="Times New Roman" w:hAnsi="Times New Roman" w:cs="Times New Roman"/>
          <w:sz w:val="24"/>
          <w:szCs w:val="24"/>
          <w:lang w:val="en-GB"/>
        </w:rPr>
        <w:t>ration possible</w:t>
      </w:r>
      <w:r w:rsidR="00B87CB6" w:rsidRPr="007721FB">
        <w:rPr>
          <w:rFonts w:ascii="Times New Roman" w:hAnsi="Times New Roman" w:cs="Times New Roman"/>
          <w:sz w:val="24"/>
          <w:szCs w:val="24"/>
          <w:lang w:val="en-GB"/>
        </w:rPr>
        <w:t xml:space="preserve"> unspecific particle</w:t>
      </w:r>
      <w:r w:rsidR="00D116C3" w:rsidRPr="007721FB">
        <w:rPr>
          <w:rFonts w:ascii="Times New Roman" w:hAnsi="Times New Roman" w:cs="Times New Roman"/>
          <w:sz w:val="24"/>
          <w:szCs w:val="24"/>
          <w:lang w:val="en-GB"/>
        </w:rPr>
        <w:t xml:space="preserve"> accumulation in these organs and </w:t>
      </w:r>
      <w:r w:rsidR="00B87CB6" w:rsidRPr="007721FB">
        <w:rPr>
          <w:rFonts w:ascii="Times New Roman" w:hAnsi="Times New Roman" w:cs="Times New Roman"/>
          <w:sz w:val="24"/>
          <w:szCs w:val="24"/>
          <w:lang w:val="en-GB"/>
        </w:rPr>
        <w:t>undesired</w:t>
      </w:r>
      <w:r w:rsidR="00D116C3" w:rsidRPr="007721FB">
        <w:rPr>
          <w:rFonts w:ascii="Times New Roman" w:hAnsi="Times New Roman" w:cs="Times New Roman"/>
          <w:sz w:val="24"/>
          <w:szCs w:val="24"/>
          <w:lang w:val="en-GB"/>
        </w:rPr>
        <w:t xml:space="preserve"> </w:t>
      </w:r>
      <w:r w:rsidR="00B87CB6" w:rsidRPr="007721FB">
        <w:rPr>
          <w:rFonts w:ascii="Times New Roman" w:hAnsi="Times New Roman" w:cs="Times New Roman"/>
          <w:sz w:val="24"/>
          <w:szCs w:val="24"/>
          <w:lang w:val="en-GB"/>
        </w:rPr>
        <w:t>drug</w:t>
      </w:r>
      <w:r w:rsidR="00D116C3" w:rsidRPr="007721FB">
        <w:rPr>
          <w:rFonts w:ascii="Times New Roman" w:hAnsi="Times New Roman" w:cs="Times New Roman"/>
          <w:sz w:val="24"/>
          <w:szCs w:val="24"/>
          <w:lang w:val="en-GB"/>
        </w:rPr>
        <w:t xml:space="preserve"> release</w:t>
      </w:r>
      <w:r w:rsidR="00AC380E" w:rsidRPr="007721FB">
        <w:rPr>
          <w:rFonts w:ascii="Times New Roman" w:hAnsi="Times New Roman" w:cs="Times New Roman"/>
          <w:sz w:val="24"/>
          <w:szCs w:val="24"/>
          <w:lang w:val="en-GB"/>
        </w:rPr>
        <w:t>.</w:t>
      </w:r>
      <w:r w:rsidR="00FC52F4" w:rsidRPr="007721FB">
        <w:rPr>
          <w:rFonts w:ascii="Times New Roman" w:hAnsi="Times New Roman" w:cs="Times New Roman"/>
          <w:sz w:val="24"/>
          <w:szCs w:val="24"/>
          <w:lang w:val="en-GB"/>
        </w:rPr>
        <w:t xml:space="preserve"> </w:t>
      </w:r>
      <w:r w:rsidR="00B87CB6" w:rsidRPr="007721FB">
        <w:rPr>
          <w:rFonts w:ascii="Times New Roman" w:hAnsi="Times New Roman" w:cs="Times New Roman"/>
          <w:sz w:val="24"/>
          <w:szCs w:val="24"/>
          <w:lang w:val="en-GB"/>
        </w:rPr>
        <w:t>Directing CTSK-responsive particles to target skeletal tissues is therefore crucial to maximize their efficacy and reduce side-effects.</w:t>
      </w:r>
    </w:p>
    <w:p w14:paraId="39B8E972" w14:textId="7996BB13" w:rsidR="00186724" w:rsidRPr="007721FB" w:rsidRDefault="002536BA" w:rsidP="00EE0E61">
      <w:pPr>
        <w:spacing w:after="0" w:line="240" w:lineRule="auto"/>
        <w:jc w:val="both"/>
        <w:rPr>
          <w:rFonts w:ascii="Times New Roman" w:hAnsi="Times New Roman" w:cs="Times New Roman"/>
          <w:sz w:val="24"/>
          <w:szCs w:val="24"/>
        </w:rPr>
      </w:pPr>
      <w:r w:rsidRPr="007721FB">
        <w:rPr>
          <w:rFonts w:ascii="Times New Roman" w:hAnsi="Times New Roman" w:cs="Times New Roman"/>
          <w:sz w:val="24"/>
          <w:szCs w:val="24"/>
        </w:rPr>
        <w:t xml:space="preserve">   V</w:t>
      </w:r>
      <w:r w:rsidR="00680394" w:rsidRPr="007721FB">
        <w:rPr>
          <w:rFonts w:ascii="Times New Roman" w:hAnsi="Times New Roman" w:cs="Times New Roman"/>
          <w:sz w:val="24"/>
          <w:szCs w:val="24"/>
        </w:rPr>
        <w:t xml:space="preserve">arious researchers have explored the incorporation of specific </w:t>
      </w:r>
      <w:r w:rsidR="00696BAA" w:rsidRPr="007721FB">
        <w:rPr>
          <w:rFonts w:ascii="Times New Roman" w:hAnsi="Times New Roman" w:cs="Times New Roman"/>
          <w:sz w:val="24"/>
          <w:szCs w:val="24"/>
        </w:rPr>
        <w:t>peptides</w:t>
      </w:r>
      <w:r w:rsidR="00680394" w:rsidRPr="007721FB">
        <w:rPr>
          <w:rFonts w:ascii="Times New Roman" w:hAnsi="Times New Roman" w:cs="Times New Roman"/>
          <w:sz w:val="24"/>
          <w:szCs w:val="24"/>
        </w:rPr>
        <w:t xml:space="preserve"> as</w:t>
      </w:r>
      <w:r w:rsidR="00696BAA" w:rsidRPr="007721FB">
        <w:rPr>
          <w:rFonts w:ascii="Times New Roman" w:hAnsi="Times New Roman" w:cs="Times New Roman"/>
          <w:sz w:val="24"/>
          <w:szCs w:val="24"/>
        </w:rPr>
        <w:t xml:space="preserve"> </w:t>
      </w:r>
      <w:r w:rsidR="00003507" w:rsidRPr="007721FB">
        <w:rPr>
          <w:rFonts w:ascii="Times New Roman" w:hAnsi="Times New Roman" w:cs="Times New Roman"/>
          <w:sz w:val="24"/>
          <w:szCs w:val="24"/>
        </w:rPr>
        <w:t>CTSK-</w:t>
      </w:r>
      <w:r w:rsidR="00680394" w:rsidRPr="007721FB">
        <w:rPr>
          <w:rFonts w:ascii="Times New Roman" w:hAnsi="Times New Roman" w:cs="Times New Roman"/>
          <w:sz w:val="24"/>
          <w:szCs w:val="24"/>
        </w:rPr>
        <w:t>cleavable linkers in</w:t>
      </w:r>
      <w:r w:rsidR="000246FE" w:rsidRPr="007721FB">
        <w:rPr>
          <w:rFonts w:ascii="Times New Roman" w:hAnsi="Times New Roman" w:cs="Times New Roman"/>
          <w:sz w:val="24"/>
          <w:szCs w:val="24"/>
        </w:rPr>
        <w:t xml:space="preserve"> the</w:t>
      </w:r>
      <w:r w:rsidR="00680394" w:rsidRPr="007721FB">
        <w:rPr>
          <w:rFonts w:ascii="Times New Roman" w:hAnsi="Times New Roman" w:cs="Times New Roman"/>
          <w:sz w:val="24"/>
          <w:szCs w:val="24"/>
        </w:rPr>
        <w:t xml:space="preserve"> </w:t>
      </w:r>
      <w:r w:rsidR="00696BAA" w:rsidRPr="007721FB">
        <w:rPr>
          <w:rFonts w:ascii="Times New Roman" w:hAnsi="Times New Roman" w:cs="Times New Roman"/>
          <w:sz w:val="24"/>
          <w:szCs w:val="24"/>
        </w:rPr>
        <w:t xml:space="preserve">design </w:t>
      </w:r>
      <w:r w:rsidR="00003507" w:rsidRPr="007721FB">
        <w:rPr>
          <w:rFonts w:ascii="Times New Roman" w:hAnsi="Times New Roman" w:cs="Times New Roman"/>
          <w:sz w:val="24"/>
          <w:szCs w:val="24"/>
        </w:rPr>
        <w:t xml:space="preserve">of </w:t>
      </w:r>
      <w:r w:rsidR="00696BAA" w:rsidRPr="007721FB">
        <w:rPr>
          <w:rFonts w:ascii="Times New Roman" w:hAnsi="Times New Roman" w:cs="Times New Roman"/>
          <w:sz w:val="24"/>
          <w:szCs w:val="24"/>
        </w:rPr>
        <w:t>stimuli-responsive nanocarrier</w:t>
      </w:r>
      <w:r w:rsidR="00003507" w:rsidRPr="007721FB">
        <w:rPr>
          <w:rFonts w:ascii="Times New Roman" w:hAnsi="Times New Roman" w:cs="Times New Roman"/>
          <w:sz w:val="24"/>
          <w:szCs w:val="24"/>
        </w:rPr>
        <w:t>s</w:t>
      </w:r>
      <w:r w:rsidR="00696BAA" w:rsidRPr="007721FB">
        <w:rPr>
          <w:rFonts w:ascii="Times New Roman" w:hAnsi="Times New Roman" w:cs="Times New Roman"/>
          <w:sz w:val="24"/>
          <w:szCs w:val="24"/>
        </w:rPr>
        <w:t xml:space="preserve"> for delivery to osteoclastic bone resorbing zones</w:t>
      </w:r>
      <w:r w:rsidR="00003507" w:rsidRPr="007721FB">
        <w:rPr>
          <w:rFonts w:ascii="Times New Roman" w:hAnsi="Times New Roman" w:cs="Times New Roman"/>
          <w:sz w:val="24"/>
          <w:szCs w:val="24"/>
        </w:rPr>
        <w:t>,</w:t>
      </w:r>
      <w:r w:rsidR="000246FE" w:rsidRPr="007721FB">
        <w:rPr>
          <w:rFonts w:ascii="Times New Roman" w:hAnsi="Times New Roman" w:cs="Times New Roman"/>
          <w:sz w:val="24"/>
          <w:szCs w:val="24"/>
        </w:rPr>
        <w:t xml:space="preserve"> </w:t>
      </w:r>
      <w:r w:rsidR="00B87CB6" w:rsidRPr="007721FB">
        <w:rPr>
          <w:rFonts w:ascii="Times New Roman" w:hAnsi="Times New Roman" w:cs="Times New Roman"/>
          <w:sz w:val="24"/>
          <w:szCs w:val="24"/>
        </w:rPr>
        <w:t>including</w:t>
      </w:r>
      <w:r w:rsidR="000246FE" w:rsidRPr="007721FB">
        <w:rPr>
          <w:rFonts w:ascii="Times New Roman" w:hAnsi="Times New Roman" w:cs="Times New Roman"/>
          <w:sz w:val="24"/>
          <w:szCs w:val="24"/>
        </w:rPr>
        <w:t xml:space="preserve"> those occurring in osteoporosis</w:t>
      </w:r>
      <w:r w:rsidR="00186724" w:rsidRPr="007721FB">
        <w:rPr>
          <w:rFonts w:ascii="Times New Roman" w:hAnsi="Times New Roman" w:cs="Times New Roman"/>
          <w:sz w:val="24"/>
          <w:szCs w:val="24"/>
        </w:rPr>
        <w:t>.</w:t>
      </w:r>
    </w:p>
    <w:p w14:paraId="27FC4EF7" w14:textId="19A6B785" w:rsidR="00B87CB6" w:rsidRPr="007721FB" w:rsidRDefault="0001535F" w:rsidP="00D867DF">
      <w:pPr>
        <w:spacing w:after="0" w:line="240" w:lineRule="auto"/>
        <w:jc w:val="both"/>
        <w:rPr>
          <w:rFonts w:ascii="Times New Roman" w:hAnsi="Times New Roman" w:cs="Times New Roman"/>
          <w:sz w:val="24"/>
          <w:szCs w:val="24"/>
        </w:rPr>
      </w:pPr>
      <w:r w:rsidRPr="007721FB">
        <w:rPr>
          <w:rFonts w:ascii="Times New Roman" w:hAnsi="Times New Roman" w:cs="Times New Roman"/>
          <w:sz w:val="24"/>
          <w:szCs w:val="24"/>
        </w:rPr>
        <w:t xml:space="preserve">   </w:t>
      </w:r>
      <w:r w:rsidR="00696BAA" w:rsidRPr="007721FB">
        <w:rPr>
          <w:rFonts w:ascii="Times New Roman" w:hAnsi="Times New Roman" w:cs="Times New Roman"/>
          <w:sz w:val="24"/>
          <w:szCs w:val="24"/>
        </w:rPr>
        <w:t>Peptide sequences that are CTSK substrates such a</w:t>
      </w:r>
      <w:r w:rsidR="008F0C18" w:rsidRPr="007721FB">
        <w:rPr>
          <w:rFonts w:ascii="Times New Roman" w:hAnsi="Times New Roman" w:cs="Times New Roman"/>
          <w:sz w:val="24"/>
          <w:szCs w:val="24"/>
        </w:rPr>
        <w:t>s the</w:t>
      </w:r>
      <w:r w:rsidR="00696BAA" w:rsidRPr="007721FB">
        <w:rPr>
          <w:rFonts w:ascii="Times New Roman" w:hAnsi="Times New Roman" w:cs="Times New Roman"/>
          <w:sz w:val="24"/>
          <w:szCs w:val="24"/>
        </w:rPr>
        <w:t xml:space="preserve"> GGP-Nle, GGGMGPSGPWGGK and HPGGPQ have been</w:t>
      </w:r>
      <w:r w:rsidR="008F0C18" w:rsidRPr="007721FB">
        <w:rPr>
          <w:rFonts w:ascii="Times New Roman" w:hAnsi="Times New Roman" w:cs="Times New Roman"/>
          <w:sz w:val="24"/>
          <w:szCs w:val="24"/>
        </w:rPr>
        <w:t xml:space="preserve"> extensively</w:t>
      </w:r>
      <w:r w:rsidR="00696BAA" w:rsidRPr="007721FB">
        <w:rPr>
          <w:rFonts w:ascii="Times New Roman" w:hAnsi="Times New Roman" w:cs="Times New Roman"/>
          <w:sz w:val="24"/>
          <w:szCs w:val="24"/>
        </w:rPr>
        <w:t xml:space="preserve"> employed for enzyme-responsive delivery in </w:t>
      </w:r>
      <w:r w:rsidR="000246FE" w:rsidRPr="007721FB">
        <w:rPr>
          <w:rFonts w:ascii="Times New Roman" w:hAnsi="Times New Roman" w:cs="Times New Roman"/>
          <w:sz w:val="24"/>
          <w:szCs w:val="24"/>
        </w:rPr>
        <w:t xml:space="preserve">various </w:t>
      </w:r>
      <w:r w:rsidR="00696BAA" w:rsidRPr="007721FB">
        <w:rPr>
          <w:rFonts w:ascii="Times New Roman" w:hAnsi="Times New Roman" w:cs="Times New Roman"/>
          <w:sz w:val="24"/>
          <w:szCs w:val="24"/>
        </w:rPr>
        <w:t>studies</w:t>
      </w:r>
      <w:r w:rsidR="00CC7CE6" w:rsidRPr="007721FB">
        <w:rPr>
          <w:rFonts w:ascii="Times New Roman" w:hAnsi="Times New Roman" w:cs="Times New Roman"/>
          <w:sz w:val="24"/>
          <w:szCs w:val="24"/>
        </w:rPr>
        <w:t xml:space="preserve"> </w:t>
      </w:r>
      <w:r w:rsidR="00696BAA"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"DOI" : "10.1016/j.biomaterials.2013.05.003", "ISSN" : "01429612", "PMID" : "23731780", "abstract" : "Multiblock, high molecular weight, linear, backbone degradable HPMA copolymer-prostaglandin E1 (PGE1) conjugate has been synthesized by RAFT polymerization mediated by a new bifunctional chain transfer agent (CTA), which contains an enzymatically degradable oligopeptide sequence flanked by two dithiobenzoate groups, followed by postpolymerization aminolysis and thiol-ene chain extension. The multiblock conjugate contains Asp8 as the bone targeting moiety and enzymatically degradable bonds in the polymer backbone; invivo degradation produces cleavage products that are below the renal threshold. Using an ovariectomized (OVX) rat model, the accumulation in bone and efficacy to promote bone formation was evaluated; low molecular weight conjugates served as control. The results indicated a higher accumulation in bone, greater enhancement of bone density, and higher plasma osteocalcin levels for the backbone degradable conjugate. ?? 2013 Elsevier Ltd.", "author" : [ { "dropping-particle" : "", "family" : "Pan", "given" : "Huaizhong", "non-dropping-particle" : "", "parse-names" : false, "suffix" : "" }, { "dropping-particle" : "", "family" : "Sima", "given" : "Monika", "non-dropping-particle" : "", "parse-names" : false, "suffix" : "" }, { "dropping-particle" : "", "family" : "Miller", "given" : "Scott C.", "non-dropping-particle" : "", "parse-names" : false, "suffix" : "" }, { "dropping-particle" : "", "family" : "Kope\u010dkov\u00e1", "given" : "Pavla", "non-dropping-particle" : "", "parse-names" : false, "suffix" : "" }, { "dropping-particle" : "", "family" : "Yang", "given" : "Jiyuan", "non-dropping-particle" : "", "parse-names" : false, "suffix" : "" }, { "dropping-particle" : "", "family" : "Kope\u010dek", "given" : "Jind\u0159ich", "non-dropping-particle" : "", "parse-names" : false, "suffix" : "" } ], "container-title" : "Biomaterials", "id" : "ITEM-1", "issue" : "27", "issued" : { "date-parts" : [ [ "2013" ] ] }, "page" : "6528-6538", "title" : "Efficiency of high molecular weight backbone degradable HPMA copolymer-Prostaglandin E1 conjugate in promotion of bone formation in ovariectomized rats", "type" : "article-journal", "volume" : "34" }, "uris" : [ "http://www.mendeley.com/documents/?uuid=b6ea40e1-96ba-41ce-9ffc-1b7b1df1126b", "http://www.mendeley.com/documents/?uuid=4938d83a-997b-43b8-9fe6-86e3b847375c" ] }, { "id" : "ITEM-2", "itemData" : { "DOI" : "10.1002/jbm.a.33076", "ISBN" : "1552-4965 (Electronic)\\r1549-3296 (Linking)", "ISSN" : "15493296", "PMID" : "21523904", "abstract" : "We propose a new strategy of biomaterial design to achieve selective cellular degradation by the incorporation of cathepsin K-degradable peptide sequences into a scaffold structure so that scaffold biodegradation can be induced at the end of the bone formation process. Poly(ethylene glycol) diacrylate (PEGDA) hydrogels were used as a model biomaterial system in this study. A cathepsin K-sensitive peptide, GGGMGPSGPWGGK (GPSG), was synthesized and modified with acryloyl-PEG-succinimidyl carbonate to produce a cross-linkable cathepsin K-sensitive polymer that can be used to form a hydrogel. Specificity of degradation of the GPSG hydrogels was tested with cathepsin K and proteinase K as a positive control, with both resulting in significant degradation compared to incubation with nonspecific collagenases over a 24-h time period. No degradation was observed when the hydrogels were incubated with plasmin or control buffers. Cell-induced degradation was evaluated by seeding differentiated MC3T3-E1 osteoblasts and RAW264.7 osteoclasts on GPSG hydrogels that were also modified with the cell adhesion peptide RGDS. Resulting surface features and resorption pits were analyzed by differential interference contrast (DIC) and fluorescent images obtained with confocal microscopy. Results from both analyses demonstrated that GPSG hydrogels can be degraded specifically in response to osteoclast attachment but not in response to osteoblasts. In summary, we have demonstrated that by incorporating a cathepsin K-sensitive peptide into a synthetic polymer structure, we can generate biomaterials that specifically respond to cues from the natural process of bone remodeling.", "author" : [ { "dropping-particle" : "", "family" : "Hsu", "given" : "Chih Wei", "non-dropping-particle" : "", "parse-names" : false, "suffix" : "" }, { "dropping-particle" : "", "family" : "Olabisi", "given" : "Ronke M.", "non-dropping-particle" : "", "parse-names" : false, "suffix" : "" }, { "dropping-particle" : "", "family" : "Olmsted-Davis", "given" : "Elizabeth A.", "non-dropping-particle" : "", "parse-names" : false, "suffix" : "" }, { "dropping-particle" : "", "family" : "Davis", "given" : "Alan R.", "non-dropping-particle" : "", "parse-names" : false, "suffix" : "" }, { "dropping-particle" : "", "family" : "West", "given" : "Jennifer L.", "non-dropping-particle" : "", "parse-names" : false, "suffix" : "" } ], "container-title" : "Journal of Biomedical Materials Research - Part A", "id" : "ITEM-2", "issue" : "1", "issued" : { "date-parts" : [ [ "2011" ] ] }, "page" : "53-62", "title" : "Cathepsin K-sensitive poly(ethylene glycol) hydrogels for degradation in response to bone resorption", "type" : "article-journal", "volume" : "98 A" }, "uris" : [ "http://www.mendeley.com/documents/?uuid=08073ac5-cdbb-497b-986d-9ae5eb8de68e", "http://www.mendeley.com/documents/?uuid=931fdb63-0af4-4292-8963-3a50456853b9" ] }, { "id" : "ITEM-3", "itemData" : { "DOI" : "10.1039/C4BM00020J", "ISSN" : "2047-4830", "PMID" : "26082834", "abstract" : "To improve bone metastases chemotherapy, a peptide-conjugated diblock copolymer consisting of chimeric peptide, poly(ethylene glycol) and poly(trimethylene carbonate) (Pep-b-PEG-b-PTMC) is fabricated as a drug carrier capable of bone-seeking targeting as well as pathology-responsive charge reversal to ensure effective cellular uptake at the lesion sites. The chimeric peptide CKGHPGGPQAsp8 consists of an osteotropic anionic Asp8, a cathepsin K (CTSK)-cleavable substrate (HPGGPQ) and cationic residue tethered to polymer chain. Pep-b-PEG-b-PTMC can spontaneously self-assemble into negatively charged nanomicelles (~75 nm). As to the model drug of doxorubicin, Pep-b-PEG-b-PTM shows 30.0 \u00b1 1 % and 90.1 \u00b1 2 % for loading content and loading efficiency, respectively. High bone binding capability is demonstrated with that 66 % of Pep-b-PEG-b-PTMC micelles are able to bind to hydroxyl apatite, whereas less than 15 % is for Pep-free micelles. The nanomicelles exhibit a negative-to-positive charge conversion from -18.5 \u00b1 1.9 mV to 15.2 \u00b1 1.8 mV upon exposure to CTSK, an enzyme overexpressed in bone metastatic microenvironments. Such a pathology-responsive transition would lead to remarkably enhanced cellular uptake of the nanomicelles upon reaching lesion sites, thus improving the drug efficacy as verified by the in vitro cytotoxicity assay and the in vivo study in myeloma-bearing 5TGM1 mice model.", "author" : [ { "dropping-particle" : "", "family" : "Wang", "given" : "Xuli", "non-dropping-particle" : "", "parse-names" : false, "suffix" : "" }, { "dropping-particle" : "", "family" : "Yang", "given" : "Ye", "non-dropping-particle" : "", "parse-names" : false, "suffix" : "" }, { "dropping-particle" : "", "family" : "Jia", "given" : "Huizhen", "non-dropping-particle" : "", "parse-names" : false, "suffix" : "" }, { "dropping-particle" : "", "family" : "Jia", "given" : "Wanjian", "non-dropping-particle" : "", "parse-names" : false, "suffix" : "" }, { "dropping-particle" : "", "family" : "Miller", "given" : "Scott", "non-dropping-particle" : "", "parse-names" : false, "suffix" : "" }, { "dropping-particle" : "", "family" : "Bowman", "given" : "Beth", "non-dropping-particle" : "", "parse-names" : false, "suffix" : "" }, { "dropping-particle" : "", "family" : "Feng", "given" : "Jun", "non-dropping-particle" : "", "parse-names" : false, "suffix" : "" }, { "dropping-particle" : "", "family" : "Zhan", "given" : "Fenghuang", "non-dropping-particle" : "", "parse-names" : false, "suffix" : "" } ], "container-title" : "Biomaterials science", "id" : "ITEM-3", "issue" : "7", "issued" : { "date-parts" : [ [ "2014" ] ] }, "page" : "961-971", "title" : "Peptide Decoration of Nanovehicles to Achieve Active Targeting and Pathology-Responsive Cellular Uptake for Bone Metastasis Chemotherapy.", "type" : "article-journal", "volume" : "2" }, "uris" : [ "http://www.mendeley.com/documents/?uuid=12432288-426d-4c7a-b40c-993b6ad552db", "http://www.mendeley.com/documents/?uuid=3b3e619b-91b4-460e-b6f3-d7bdd5ce28e0" ] } ], "mendeley" : { "formattedCitation" : "[70\u201372]", "plainTextFormattedCitation" : "[70\u201372]", "previouslyFormattedCitation" : "[70\u201372]" }, "properties" : { "noteIndex" : 0 }, "schema" : "https://github.com/citation-style-language/schema/raw/master/csl-citation.json" }</w:instrText>
      </w:r>
      <w:r w:rsidR="00696BAA"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[70–72]</w:t>
      </w:r>
      <w:r w:rsidR="00696BAA" w:rsidRPr="007721FB">
        <w:rPr>
          <w:rFonts w:ascii="Times New Roman" w:hAnsi="Times New Roman" w:cs="Times New Roman"/>
          <w:sz w:val="24"/>
          <w:szCs w:val="24"/>
        </w:rPr>
        <w:fldChar w:fldCharType="end"/>
      </w:r>
      <w:r w:rsidR="00CC7CE6" w:rsidRPr="007721FB">
        <w:rPr>
          <w:rFonts w:ascii="Times New Roman" w:hAnsi="Times New Roman" w:cs="Times New Roman"/>
          <w:sz w:val="24"/>
          <w:szCs w:val="24"/>
        </w:rPr>
        <w:t>.</w:t>
      </w:r>
      <w:r w:rsidR="00696BAA" w:rsidRPr="007721FB">
        <w:rPr>
          <w:rFonts w:ascii="Times New Roman" w:hAnsi="Times New Roman" w:cs="Times New Roman"/>
          <w:sz w:val="24"/>
          <w:szCs w:val="24"/>
        </w:rPr>
        <w:t xml:space="preserve"> Clearly</w:t>
      </w:r>
      <w:r w:rsidR="00003507" w:rsidRPr="007721FB">
        <w:rPr>
          <w:rFonts w:ascii="Times New Roman" w:hAnsi="Times New Roman" w:cs="Times New Roman"/>
          <w:sz w:val="24"/>
          <w:szCs w:val="24"/>
        </w:rPr>
        <w:t>,</w:t>
      </w:r>
      <w:r w:rsidR="00696BAA" w:rsidRPr="007721FB">
        <w:rPr>
          <w:rFonts w:ascii="Times New Roman" w:hAnsi="Times New Roman" w:cs="Times New Roman"/>
          <w:sz w:val="24"/>
          <w:szCs w:val="24"/>
        </w:rPr>
        <w:t xml:space="preserve"> there are immediately two ways to exploit this cleavage-dependent delivery: (i) incorporating sensitive moieties in </w:t>
      </w:r>
      <w:r w:rsidR="00A37677" w:rsidRPr="007721FB">
        <w:rPr>
          <w:rFonts w:ascii="Times New Roman" w:hAnsi="Times New Roman" w:cs="Times New Roman"/>
          <w:sz w:val="24"/>
          <w:szCs w:val="24"/>
        </w:rPr>
        <w:t xml:space="preserve">polymeric </w:t>
      </w:r>
      <w:r w:rsidR="00696BAA" w:rsidRPr="007721FB">
        <w:rPr>
          <w:rFonts w:ascii="Times New Roman" w:hAnsi="Times New Roman" w:cs="Times New Roman"/>
          <w:sz w:val="24"/>
          <w:szCs w:val="24"/>
        </w:rPr>
        <w:t xml:space="preserve">nanocarrier backbone, eliciting its disruption upon enzyme exposure; (ii) or attaching the drug to the nanocarrier through CTSK sensitive linkers, prompting drug release from </w:t>
      </w:r>
      <w:r w:rsidR="00B87CB6" w:rsidRPr="007721FB">
        <w:rPr>
          <w:rFonts w:ascii="Times New Roman" w:hAnsi="Times New Roman" w:cs="Times New Roman"/>
          <w:sz w:val="24"/>
          <w:szCs w:val="24"/>
        </w:rPr>
        <w:t>nanoparticles</w:t>
      </w:r>
      <w:r w:rsidR="00696BAA" w:rsidRPr="007721FB">
        <w:rPr>
          <w:rFonts w:ascii="Times New Roman" w:hAnsi="Times New Roman" w:cs="Times New Roman"/>
          <w:sz w:val="24"/>
          <w:szCs w:val="24"/>
        </w:rPr>
        <w:t xml:space="preserve"> via enzyme cleavage. The latter approach has been used with success in a study by Pan </w:t>
      </w:r>
      <w:r w:rsidR="008F0C18" w:rsidRPr="007721FB">
        <w:rPr>
          <w:rFonts w:ascii="Times New Roman" w:hAnsi="Times New Roman" w:cs="Times New Roman"/>
          <w:sz w:val="24"/>
          <w:szCs w:val="24"/>
        </w:rPr>
        <w:t>and co-workers</w:t>
      </w:r>
      <w:r w:rsidR="00CC7CE6" w:rsidRPr="007721FB">
        <w:rPr>
          <w:rFonts w:ascii="Times New Roman" w:hAnsi="Times New Roman" w:cs="Times New Roman"/>
          <w:sz w:val="24"/>
          <w:szCs w:val="24"/>
        </w:rPr>
        <w:t xml:space="preserve"> </w:t>
      </w:r>
      <w:r w:rsidR="0028254E" w:rsidRPr="007721FB">
        <w:rPr>
          <w:rFonts w:ascii="Times New Roman" w:hAnsi="Times New Roman" w:cs="Times New Roman"/>
          <w:sz w:val="24"/>
          <w:szCs w:val="24"/>
        </w:rPr>
        <w:t>which</w:t>
      </w:r>
      <w:r w:rsidR="00696BAA" w:rsidRPr="007721FB">
        <w:rPr>
          <w:rFonts w:ascii="Times New Roman" w:hAnsi="Times New Roman" w:cs="Times New Roman"/>
          <w:sz w:val="24"/>
          <w:szCs w:val="24"/>
        </w:rPr>
        <w:t xml:space="preserve"> showed </w:t>
      </w:r>
      <w:r w:rsidR="008F0C18" w:rsidRPr="007721FB">
        <w:rPr>
          <w:rFonts w:ascii="Times New Roman" w:hAnsi="Times New Roman" w:cs="Times New Roman"/>
          <w:sz w:val="24"/>
          <w:szCs w:val="24"/>
        </w:rPr>
        <w:t xml:space="preserve">the induction of </w:t>
      </w:r>
      <w:r w:rsidR="00696BAA" w:rsidRPr="007721FB">
        <w:rPr>
          <w:rFonts w:ascii="Times New Roman" w:hAnsi="Times New Roman" w:cs="Times New Roman"/>
          <w:sz w:val="24"/>
          <w:szCs w:val="24"/>
        </w:rPr>
        <w:t>bone formation</w:t>
      </w:r>
      <w:r w:rsidR="0028254E" w:rsidRPr="007721FB">
        <w:rPr>
          <w:rFonts w:ascii="Times New Roman" w:hAnsi="Times New Roman" w:cs="Times New Roman"/>
          <w:sz w:val="24"/>
          <w:szCs w:val="24"/>
        </w:rPr>
        <w:t xml:space="preserve"> </w:t>
      </w:r>
      <w:r w:rsidR="0028254E" w:rsidRPr="007721FB">
        <w:rPr>
          <w:rFonts w:ascii="Times New Roman" w:hAnsi="Times New Roman" w:cs="Times New Roman"/>
          <w:i/>
          <w:sz w:val="24"/>
          <w:szCs w:val="24"/>
        </w:rPr>
        <w:t>in vivo</w:t>
      </w:r>
      <w:r w:rsidR="00696BAA" w:rsidRPr="007721FB">
        <w:rPr>
          <w:rFonts w:ascii="Times New Roman" w:hAnsi="Times New Roman" w:cs="Times New Roman"/>
          <w:sz w:val="24"/>
          <w:szCs w:val="24"/>
        </w:rPr>
        <w:t xml:space="preserve"> in ovariectomized </w:t>
      </w:r>
      <w:r w:rsidR="008B740B" w:rsidRPr="007721FB">
        <w:rPr>
          <w:rFonts w:ascii="Times New Roman" w:hAnsi="Times New Roman" w:cs="Times New Roman"/>
          <w:sz w:val="24"/>
          <w:szCs w:val="24"/>
        </w:rPr>
        <w:t xml:space="preserve">Sprague-Dawley </w:t>
      </w:r>
      <w:r w:rsidR="00696BAA" w:rsidRPr="007721FB">
        <w:rPr>
          <w:rFonts w:ascii="Times New Roman" w:hAnsi="Times New Roman" w:cs="Times New Roman"/>
          <w:sz w:val="24"/>
          <w:szCs w:val="24"/>
        </w:rPr>
        <w:t>rats</w:t>
      </w:r>
      <w:r w:rsidR="008F0C18" w:rsidRPr="007721FB">
        <w:rPr>
          <w:rFonts w:ascii="Times New Roman" w:hAnsi="Times New Roman" w:cs="Times New Roman"/>
          <w:sz w:val="24"/>
          <w:szCs w:val="24"/>
        </w:rPr>
        <w:t xml:space="preserve"> </w:t>
      </w:r>
      <w:r w:rsidR="00696BAA" w:rsidRPr="007721FB">
        <w:rPr>
          <w:rFonts w:ascii="Times New Roman" w:hAnsi="Times New Roman" w:cs="Times New Roman"/>
          <w:sz w:val="24"/>
          <w:szCs w:val="24"/>
        </w:rPr>
        <w:t>after administration of prostaglandin E</w:t>
      </w:r>
      <w:r w:rsidR="00696BAA" w:rsidRPr="007721FB">
        <w:rPr>
          <w:rFonts w:ascii="Times New Roman" w:hAnsi="Times New Roman" w:cs="Times New Roman"/>
          <w:sz w:val="24"/>
          <w:szCs w:val="24"/>
          <w:vertAlign w:val="subscript"/>
        </w:rPr>
        <w:t>1</w:t>
      </w:r>
      <w:r w:rsidR="00696BAA" w:rsidRPr="007721FB">
        <w:rPr>
          <w:rFonts w:ascii="Times New Roman" w:hAnsi="Times New Roman" w:cs="Times New Roman"/>
          <w:sz w:val="24"/>
          <w:szCs w:val="24"/>
        </w:rPr>
        <w:t xml:space="preserve"> attached to a Asp</w:t>
      </w:r>
      <w:r w:rsidR="00696BAA" w:rsidRPr="007721FB">
        <w:rPr>
          <w:rFonts w:ascii="Times New Roman" w:hAnsi="Times New Roman" w:cs="Times New Roman"/>
          <w:sz w:val="24"/>
          <w:szCs w:val="24"/>
          <w:vertAlign w:val="subscript"/>
        </w:rPr>
        <w:t>8</w:t>
      </w:r>
      <w:r w:rsidR="00696BAA" w:rsidRPr="007721FB">
        <w:rPr>
          <w:rFonts w:ascii="Times New Roman" w:hAnsi="Times New Roman" w:cs="Times New Roman"/>
          <w:sz w:val="24"/>
          <w:szCs w:val="24"/>
        </w:rPr>
        <w:t>-HPMA copolymer via a CTSK-sensitive oligopeptide sequence (GGP-Nle)</w:t>
      </w:r>
      <w:r w:rsidR="009C76CB" w:rsidRPr="007721FB">
        <w:rPr>
          <w:rFonts w:ascii="Times New Roman" w:hAnsi="Times New Roman" w:cs="Times New Roman"/>
          <w:sz w:val="24"/>
          <w:szCs w:val="24"/>
        </w:rPr>
        <w:t xml:space="preserve"> </w:t>
      </w:r>
      <w:r w:rsidR="009C76CB"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"DOI" : "10.1016/j.biomaterials.2013.05.003", "ISSN" : "01429612", "PMID" : "23731780", "abstract" : "Multiblock, high molecular weight, linear, backbone degradable HPMA copolymer-prostaglandin E1 (PGE1) conjugate has been synthesized by RAFT polymerization mediated by a new bifunctional chain transfer agent (CTA), which contains an enzymatically degradable oligopeptide sequence flanked by two dithiobenzoate groups, followed by postpolymerization aminolysis and thiol-ene chain extension. The multiblock conjugate contains Asp8 as the bone targeting moiety and enzymatically degradable bonds in the polymer backbone; invivo degradation produces cleavage products that are below the renal threshold. Using an ovariectomized (OVX) rat model, the accumulation in bone and efficacy to promote bone formation was evaluated; low molecular weight conjugates served as control. The results indicated a higher accumulation in bone, greater enhancement of bone density, and higher plasma osteocalcin levels for the backbone degradable conjugate. ?? 2013 Elsevier Ltd.", "author" : [ { "dropping-particle" : "", "family" : "Pan", "given" : "Huaizhong", "non-dropping-particle" : "", "parse-names" : false, "suffix" : "" }, { "dropping-particle" : "", "family" : "Sima", "given" : "Monika", "non-dropping-particle" : "", "parse-names" : false, "suffix" : "" }, { "dropping-particle" : "", "family" : "Miller", "given" : "Scott C.", "non-dropping-particle" : "", "parse-names" : false, "suffix" : "" }, { "dropping-particle" : "", "family" : "Kope\u010dkov\u00e1", "given" : "Pavla", "non-dropping-particle" : "", "parse-names" : false, "suffix" : "" }, { "dropping-particle" : "", "family" : "Yang", "given" : "Jiyuan", "non-dropping-particle" : "", "parse-names" : false, "suffix" : "" }, { "dropping-particle" : "", "family" : "Kope\u010dek", "given" : "Jind\u0159ich", "non-dropping-particle" : "", "parse-names" : false, "suffix" : "" } ], "container-title" : "Biomaterials", "id" : "ITEM-1", "issue" : "27", "issued" : { "date-parts" : [ [ "2013" ] ] }, "page" : "6528-6538", "title" : "Efficiency of high molecular weight backbone degradable HPMA copolymer-Prostaglandin E1 conjugate in promotion of bone formation in ovariectomized rats", "type" : "article-journal", "volume" : "34" }, "uris" : [ "http://www.mendeley.com/documents/?uuid=4938d83a-997b-43b8-9fe6-86e3b847375c", "http://www.mendeley.com/documents/?uuid=b6ea40e1-96ba-41ce-9ffc-1b7b1df1126b" ] } ], "mendeley" : { "formattedCitation" : "[70]", "plainTextFormattedCitation" : "[70]", "previouslyFormattedCitation" : "[70]" }, "properties" : { "noteIndex" : 0 }, "schema" : "https://github.com/citation-style-language/schema/raw/master/csl-citation.json" }</w:instrText>
      </w:r>
      <w:r w:rsidR="009C76CB"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[70]</w:t>
      </w:r>
      <w:r w:rsidR="009C76CB" w:rsidRPr="007721FB">
        <w:rPr>
          <w:rFonts w:ascii="Times New Roman" w:hAnsi="Times New Roman" w:cs="Times New Roman"/>
          <w:sz w:val="24"/>
          <w:szCs w:val="24"/>
        </w:rPr>
        <w:fldChar w:fldCharType="end"/>
      </w:r>
      <w:r w:rsidR="00696BAA" w:rsidRPr="007721FB">
        <w:rPr>
          <w:rFonts w:ascii="Times New Roman" w:hAnsi="Times New Roman" w:cs="Times New Roman"/>
          <w:sz w:val="24"/>
          <w:szCs w:val="24"/>
        </w:rPr>
        <w:t xml:space="preserve">. </w:t>
      </w:r>
      <w:r w:rsidRPr="007721FB">
        <w:rPr>
          <w:rFonts w:ascii="Times New Roman" w:hAnsi="Times New Roman" w:cs="Times New Roman"/>
          <w:sz w:val="24"/>
          <w:szCs w:val="24"/>
        </w:rPr>
        <w:t>Also, a</w:t>
      </w:r>
      <w:r w:rsidR="00696BAA" w:rsidRPr="007721FB">
        <w:rPr>
          <w:rFonts w:ascii="Times New Roman" w:hAnsi="Times New Roman" w:cs="Times New Roman"/>
          <w:sz w:val="24"/>
          <w:szCs w:val="24"/>
        </w:rPr>
        <w:t xml:space="preserve"> particularly </w:t>
      </w:r>
      <w:r w:rsidR="006505C1" w:rsidRPr="007721FB">
        <w:rPr>
          <w:rFonts w:ascii="Times New Roman" w:hAnsi="Times New Roman" w:cs="Times New Roman"/>
          <w:sz w:val="24"/>
          <w:szCs w:val="24"/>
        </w:rPr>
        <w:t xml:space="preserve">elegant </w:t>
      </w:r>
      <w:r w:rsidR="00696BAA" w:rsidRPr="007721FB">
        <w:rPr>
          <w:rFonts w:ascii="Times New Roman" w:hAnsi="Times New Roman" w:cs="Times New Roman"/>
          <w:sz w:val="24"/>
          <w:szCs w:val="24"/>
        </w:rPr>
        <w:t xml:space="preserve">approach by Wang </w:t>
      </w:r>
      <w:r w:rsidR="008B740B" w:rsidRPr="007721FB">
        <w:rPr>
          <w:rFonts w:ascii="Times New Roman" w:hAnsi="Times New Roman" w:cs="Times New Roman"/>
          <w:sz w:val="24"/>
          <w:szCs w:val="24"/>
        </w:rPr>
        <w:t xml:space="preserve">and co-workers </w:t>
      </w:r>
      <w:r w:rsidR="00696BAA" w:rsidRPr="007721FB">
        <w:rPr>
          <w:rFonts w:ascii="Times New Roman" w:hAnsi="Times New Roman" w:cs="Times New Roman"/>
          <w:sz w:val="24"/>
          <w:szCs w:val="24"/>
        </w:rPr>
        <w:t xml:space="preserve">exploited the </w:t>
      </w:r>
      <w:r w:rsidR="00985BC2" w:rsidRPr="007721FB">
        <w:rPr>
          <w:rFonts w:ascii="Times New Roman" w:hAnsi="Times New Roman" w:cs="Times New Roman"/>
          <w:sz w:val="24"/>
          <w:szCs w:val="24"/>
        </w:rPr>
        <w:t xml:space="preserve">CTSK-mediated cleavage to increase the </w:t>
      </w:r>
      <w:r w:rsidR="00696BAA" w:rsidRPr="007721FB">
        <w:rPr>
          <w:rFonts w:ascii="Times New Roman" w:hAnsi="Times New Roman" w:cs="Times New Roman"/>
          <w:sz w:val="24"/>
          <w:szCs w:val="24"/>
        </w:rPr>
        <w:t xml:space="preserve">cellular uptake of </w:t>
      </w:r>
      <w:r w:rsidR="00985BC2" w:rsidRPr="007721FB">
        <w:rPr>
          <w:rFonts w:ascii="Times New Roman" w:hAnsi="Times New Roman" w:cs="Times New Roman"/>
          <w:sz w:val="24"/>
          <w:szCs w:val="24"/>
        </w:rPr>
        <w:t>c</w:t>
      </w:r>
      <w:r w:rsidR="008B740B" w:rsidRPr="007721FB">
        <w:rPr>
          <w:rFonts w:ascii="Times New Roman" w:hAnsi="Times New Roman" w:cs="Times New Roman"/>
          <w:sz w:val="24"/>
          <w:szCs w:val="24"/>
        </w:rPr>
        <w:t>h</w:t>
      </w:r>
      <w:r w:rsidR="00985BC2" w:rsidRPr="007721FB">
        <w:rPr>
          <w:rFonts w:ascii="Times New Roman" w:hAnsi="Times New Roman" w:cs="Times New Roman"/>
          <w:sz w:val="24"/>
          <w:szCs w:val="24"/>
        </w:rPr>
        <w:t>arge</w:t>
      </w:r>
      <w:r w:rsidR="003F35D7" w:rsidRPr="007721FB">
        <w:rPr>
          <w:rFonts w:ascii="Times New Roman" w:hAnsi="Times New Roman" w:cs="Times New Roman"/>
          <w:sz w:val="24"/>
          <w:szCs w:val="24"/>
        </w:rPr>
        <w:t>-</w:t>
      </w:r>
      <w:r w:rsidR="00985BC2" w:rsidRPr="007721FB">
        <w:rPr>
          <w:rFonts w:ascii="Times New Roman" w:hAnsi="Times New Roman" w:cs="Times New Roman"/>
          <w:sz w:val="24"/>
          <w:szCs w:val="24"/>
        </w:rPr>
        <w:t xml:space="preserve">shifting </w:t>
      </w:r>
      <w:r w:rsidR="00696BAA" w:rsidRPr="007721FB">
        <w:rPr>
          <w:rFonts w:ascii="Times New Roman" w:hAnsi="Times New Roman" w:cs="Times New Roman"/>
          <w:sz w:val="24"/>
          <w:szCs w:val="24"/>
        </w:rPr>
        <w:t xml:space="preserve">nanocarriers </w:t>
      </w:r>
      <w:r w:rsidR="00985BC2" w:rsidRPr="007721FB">
        <w:rPr>
          <w:rFonts w:ascii="Times New Roman" w:hAnsi="Times New Roman" w:cs="Times New Roman"/>
          <w:sz w:val="24"/>
          <w:szCs w:val="24"/>
        </w:rPr>
        <w:t xml:space="preserve">and </w:t>
      </w:r>
      <w:r w:rsidR="00696BAA" w:rsidRPr="007721FB">
        <w:rPr>
          <w:rFonts w:ascii="Times New Roman" w:hAnsi="Times New Roman" w:cs="Times New Roman"/>
          <w:sz w:val="24"/>
          <w:szCs w:val="24"/>
        </w:rPr>
        <w:t xml:space="preserve">improve </w:t>
      </w:r>
      <w:r w:rsidR="005F6A76" w:rsidRPr="007721FB">
        <w:rPr>
          <w:rFonts w:ascii="Times New Roman" w:hAnsi="Times New Roman" w:cs="Times New Roman"/>
          <w:sz w:val="24"/>
          <w:szCs w:val="24"/>
        </w:rPr>
        <w:t>chemotherapeutics delivery to bone metastasis</w:t>
      </w:r>
      <w:r w:rsidR="00C26456" w:rsidRPr="007721FB">
        <w:rPr>
          <w:rFonts w:ascii="Times New Roman" w:hAnsi="Times New Roman" w:cs="Times New Roman"/>
          <w:sz w:val="24"/>
          <w:szCs w:val="24"/>
        </w:rPr>
        <w:t xml:space="preserve"> </w:t>
      </w:r>
      <w:r w:rsidR="00696BAA"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"DOI" : "10.1039/C4BM00020J", "ISSN" : "2047-4830", "PMID" : "26082834", "abstract" : "To improve bone metastases chemotherapy, a peptide-conjugated diblock copolymer consisting of chimeric peptide, poly(ethylene glycol) and poly(trimethylene carbonate) (Pep-b-PEG-b-PTMC) is fabricated as a drug carrier capable of bone-seeking targeting as well as pathology-responsive charge reversal to ensure effective cellular uptake at the lesion sites. The chimeric peptide CKGHPGGPQAsp8 consists of an osteotropic anionic Asp8, a cathepsin K (CTSK)-cleavable substrate (HPGGPQ) and cationic residue tethered to polymer chain. Pep-b-PEG-b-PTMC can spontaneously self-assemble into negatively charged nanomicelles (~75 nm). As to the model drug of doxorubicin, Pep-b-PEG-b-PTM shows 30.0 \u00b1 1 % and 90.1 \u00b1 2 % for loading content and loading efficiency, respectively. High bone binding capability is demonstrated with that 66 % of Pep-b-PEG-b-PTMC micelles are able to bind to hydroxyl apatite, whereas less than 15 % is for Pep-free micelles. The nanomicelles exhibit a negative-to-positive charge conversion from -18.5 \u00b1 1.9 mV to 15.2 \u00b1 1.8 mV upon exposure to CTSK, an enzyme overexpressed in bone metastatic microenvironments. Such a pathology-responsive transition would lead to remarkably enhanced cellular uptake of the nanomicelles upon reaching lesion sites, thus improving the drug efficacy as verified by the in vitro cytotoxicity assay and the in vivo study in myeloma-bearing 5TGM1 mice model.", "author" : [ { "dropping-particle" : "", "family" : "Wang", "given" : "Xuli", "non-dropping-particle" : "", "parse-names" : false, "suffix" : "" }, { "dropping-particle" : "", "family" : "Yang", "given" : "Ye", "non-dropping-particle" : "", "parse-names" : false, "suffix" : "" }, { "dropping-particle" : "", "family" : "Jia", "given" : "Huizhen", "non-dropping-particle" : "", "parse-names" : false, "suffix" : "" }, { "dropping-particle" : "", "family" : "Jia", "given" : "Wanjian", "non-dropping-particle" : "", "parse-names" : false, "suffix" : "" }, { "dropping-particle" : "", "family" : "Miller", "given" : "Scott", "non-dropping-particle" : "", "parse-names" : false, "suffix" : "" }, { "dropping-particle" : "", "family" : "Bowman", "given" : "Beth", "non-dropping-particle" : "", "parse-names" : false, "suffix" : "" }, { "dropping-particle" : "", "family" : "Feng", "given" : "Jun", "non-dropping-particle" : "", "parse-names" : false, "suffix" : "" }, { "dropping-particle" : "", "family" : "Zhan", "given" : "Fenghuang", "non-dropping-particle" : "", "parse-names" : false, "suffix" : "" } ], "container-title" : "Biomaterials science", "id" : "ITEM-1", "issue" : "7", "issued" : { "date-parts" : [ [ "2014" ] ] }, "page" : "961-971", "title" : "Peptide Decoration of Nanovehicles to Achieve Active Targeting and Pathology-Responsive Cellular Uptake for Bone Metastasis Chemotherapy.", "type" : "article-journal", "volume" : "2" }, "uris" : [ "http://www.mendeley.com/documents/?uuid=3b3e619b-91b4-460e-b6f3-d7bdd5ce28e0", "http://www.mendeley.com/documents/?uuid=12432288-426d-4c7a-b40c-993b6ad552db" ] } ], "mendeley" : { "formattedCitation" : "[72]", "plainTextFormattedCitation" : "[72]", "previouslyFormattedCitation" : "[72]" }, "properties" : { "noteIndex" : 0 }, "schema" : "https://github.com/citation-style-language/schema/raw/master/csl-citation.json" }</w:instrText>
      </w:r>
      <w:r w:rsidR="00696BAA"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[72]</w:t>
      </w:r>
      <w:r w:rsidR="00696BAA" w:rsidRPr="007721FB">
        <w:rPr>
          <w:rFonts w:ascii="Times New Roman" w:hAnsi="Times New Roman" w:cs="Times New Roman"/>
          <w:sz w:val="24"/>
          <w:szCs w:val="24"/>
        </w:rPr>
        <w:fldChar w:fldCharType="end"/>
      </w:r>
      <w:r w:rsidR="00C26456" w:rsidRPr="007721FB">
        <w:rPr>
          <w:rFonts w:ascii="Times New Roman" w:hAnsi="Times New Roman" w:cs="Times New Roman"/>
          <w:sz w:val="24"/>
          <w:szCs w:val="24"/>
        </w:rPr>
        <w:t>.</w:t>
      </w:r>
      <w:r w:rsidR="00696BAA" w:rsidRPr="007721FB">
        <w:rPr>
          <w:rFonts w:ascii="Times New Roman" w:hAnsi="Times New Roman" w:cs="Times New Roman"/>
          <w:sz w:val="24"/>
          <w:szCs w:val="24"/>
        </w:rPr>
        <w:t xml:space="preserve"> </w:t>
      </w:r>
      <w:r w:rsidR="006505C1" w:rsidRPr="007721FB">
        <w:rPr>
          <w:rFonts w:ascii="Times New Roman" w:hAnsi="Times New Roman" w:cs="Times New Roman"/>
          <w:sz w:val="24"/>
          <w:szCs w:val="24"/>
        </w:rPr>
        <w:t>In this study</w:t>
      </w:r>
      <w:r w:rsidR="00696BAA" w:rsidRPr="007721FB">
        <w:rPr>
          <w:rFonts w:ascii="Times New Roman" w:hAnsi="Times New Roman" w:cs="Times New Roman"/>
          <w:sz w:val="24"/>
          <w:szCs w:val="24"/>
        </w:rPr>
        <w:t>, PEG and poly(trimethylene carbonate) diblock copolymer (PEG-b-PTMC) were</w:t>
      </w:r>
      <w:r w:rsidR="0046114D" w:rsidRPr="007721FB">
        <w:rPr>
          <w:rFonts w:ascii="Times New Roman" w:hAnsi="Times New Roman" w:cs="Times New Roman"/>
          <w:sz w:val="24"/>
          <w:szCs w:val="24"/>
        </w:rPr>
        <w:t xml:space="preserve"> </w:t>
      </w:r>
      <w:r w:rsidR="006505C1" w:rsidRPr="007721FB">
        <w:rPr>
          <w:rFonts w:ascii="Times New Roman" w:hAnsi="Times New Roman" w:cs="Times New Roman"/>
          <w:sz w:val="24"/>
          <w:szCs w:val="24"/>
        </w:rPr>
        <w:t>synthesized via</w:t>
      </w:r>
      <w:r w:rsidR="0046114D" w:rsidRPr="007721FB">
        <w:rPr>
          <w:rFonts w:ascii="Times New Roman" w:hAnsi="Times New Roman" w:cs="Times New Roman"/>
          <w:sz w:val="24"/>
          <w:szCs w:val="24"/>
        </w:rPr>
        <w:t xml:space="preserve"> ring-opening polymerization of </w:t>
      </w:r>
      <w:r w:rsidR="00BA357C" w:rsidRPr="007721FB">
        <w:rPr>
          <w:rFonts w:ascii="Times New Roman" w:hAnsi="Times New Roman" w:cs="Times New Roman"/>
          <w:sz w:val="24"/>
          <w:szCs w:val="24"/>
        </w:rPr>
        <w:t>trimethylene carbonate (</w:t>
      </w:r>
      <w:r w:rsidR="0046114D" w:rsidRPr="007721FB">
        <w:rPr>
          <w:rFonts w:ascii="Times New Roman" w:hAnsi="Times New Roman" w:cs="Times New Roman"/>
          <w:sz w:val="24"/>
          <w:szCs w:val="24"/>
        </w:rPr>
        <w:t>TMC</w:t>
      </w:r>
      <w:r w:rsidR="00BA357C" w:rsidRPr="007721FB">
        <w:rPr>
          <w:rFonts w:ascii="Times New Roman" w:hAnsi="Times New Roman" w:cs="Times New Roman"/>
          <w:sz w:val="24"/>
          <w:szCs w:val="24"/>
        </w:rPr>
        <w:t>)</w:t>
      </w:r>
      <w:r w:rsidR="0046114D" w:rsidRPr="007721FB">
        <w:rPr>
          <w:rFonts w:ascii="Times New Roman" w:hAnsi="Times New Roman" w:cs="Times New Roman"/>
          <w:sz w:val="24"/>
          <w:szCs w:val="24"/>
        </w:rPr>
        <w:t xml:space="preserve"> </w:t>
      </w:r>
      <w:r w:rsidR="00696BAA" w:rsidRPr="007721FB">
        <w:rPr>
          <w:rFonts w:ascii="Times New Roman" w:hAnsi="Times New Roman" w:cs="Times New Roman"/>
          <w:sz w:val="24"/>
          <w:szCs w:val="24"/>
        </w:rPr>
        <w:t xml:space="preserve">and then PEG </w:t>
      </w:r>
      <w:r w:rsidR="009C76CB" w:rsidRPr="007721FB">
        <w:rPr>
          <w:rFonts w:ascii="Times New Roman" w:hAnsi="Times New Roman" w:cs="Times New Roman"/>
          <w:sz w:val="24"/>
          <w:szCs w:val="24"/>
        </w:rPr>
        <w:t>blocks were</w:t>
      </w:r>
      <w:r w:rsidR="00696BAA" w:rsidRPr="007721FB">
        <w:rPr>
          <w:rFonts w:ascii="Times New Roman" w:hAnsi="Times New Roman" w:cs="Times New Roman"/>
          <w:sz w:val="24"/>
          <w:szCs w:val="24"/>
        </w:rPr>
        <w:t xml:space="preserve"> functionalized with a chimeric peptide, prior to </w:t>
      </w:r>
      <w:r w:rsidR="00DC2FB1" w:rsidRPr="007721FB">
        <w:rPr>
          <w:rFonts w:ascii="Times New Roman" w:hAnsi="Times New Roman" w:cs="Times New Roman"/>
          <w:sz w:val="24"/>
          <w:szCs w:val="24"/>
        </w:rPr>
        <w:t>doxorubicin (</w:t>
      </w:r>
      <w:r w:rsidR="00696BAA" w:rsidRPr="007721FB">
        <w:rPr>
          <w:rFonts w:ascii="Times New Roman" w:hAnsi="Times New Roman" w:cs="Times New Roman"/>
          <w:sz w:val="24"/>
          <w:szCs w:val="24"/>
        </w:rPr>
        <w:t>DOX</w:t>
      </w:r>
      <w:r w:rsidR="00DC2FB1" w:rsidRPr="007721FB">
        <w:rPr>
          <w:rFonts w:ascii="Times New Roman" w:hAnsi="Times New Roman" w:cs="Times New Roman"/>
          <w:sz w:val="24"/>
          <w:szCs w:val="24"/>
        </w:rPr>
        <w:t>)</w:t>
      </w:r>
      <w:r w:rsidR="00696BAA" w:rsidRPr="007721FB">
        <w:rPr>
          <w:rFonts w:ascii="Times New Roman" w:hAnsi="Times New Roman" w:cs="Times New Roman"/>
          <w:sz w:val="24"/>
          <w:szCs w:val="24"/>
        </w:rPr>
        <w:t xml:space="preserve"> </w:t>
      </w:r>
      <w:r w:rsidR="006505C1" w:rsidRPr="007721FB">
        <w:rPr>
          <w:rFonts w:ascii="Times New Roman" w:hAnsi="Times New Roman" w:cs="Times New Roman"/>
          <w:sz w:val="24"/>
          <w:szCs w:val="24"/>
        </w:rPr>
        <w:t xml:space="preserve">anti-cancer drug </w:t>
      </w:r>
      <w:r w:rsidR="00696BAA" w:rsidRPr="007721FB">
        <w:rPr>
          <w:rFonts w:ascii="Times New Roman" w:hAnsi="Times New Roman" w:cs="Times New Roman"/>
          <w:sz w:val="24"/>
          <w:szCs w:val="24"/>
        </w:rPr>
        <w:t xml:space="preserve">loading. This multifunctional peptide consisted of </w:t>
      </w:r>
      <w:r w:rsidR="006809A4" w:rsidRPr="007721FB">
        <w:rPr>
          <w:rFonts w:ascii="Times New Roman" w:hAnsi="Times New Roman" w:cs="Times New Roman"/>
          <w:sz w:val="24"/>
          <w:szCs w:val="24"/>
        </w:rPr>
        <w:t>three</w:t>
      </w:r>
      <w:r w:rsidR="006505C1" w:rsidRPr="007721FB">
        <w:rPr>
          <w:rFonts w:ascii="Times New Roman" w:hAnsi="Times New Roman" w:cs="Times New Roman"/>
          <w:sz w:val="24"/>
          <w:szCs w:val="24"/>
        </w:rPr>
        <w:t xml:space="preserve"> </w:t>
      </w:r>
      <w:r w:rsidR="00696BAA" w:rsidRPr="007721FB">
        <w:rPr>
          <w:rFonts w:ascii="Times New Roman" w:hAnsi="Times New Roman" w:cs="Times New Roman"/>
          <w:sz w:val="24"/>
          <w:szCs w:val="24"/>
        </w:rPr>
        <w:t>components: i) the exposed anionic aspartate repetitions (Asp</w:t>
      </w:r>
      <w:r w:rsidR="00696BAA" w:rsidRPr="007721FB">
        <w:rPr>
          <w:rFonts w:ascii="Times New Roman" w:hAnsi="Times New Roman" w:cs="Times New Roman"/>
          <w:sz w:val="24"/>
          <w:szCs w:val="24"/>
          <w:vertAlign w:val="subscript"/>
        </w:rPr>
        <w:t>8</w:t>
      </w:r>
      <w:r w:rsidR="00696BAA" w:rsidRPr="007721FB">
        <w:rPr>
          <w:rFonts w:ascii="Times New Roman" w:hAnsi="Times New Roman" w:cs="Times New Roman"/>
          <w:sz w:val="24"/>
          <w:szCs w:val="24"/>
        </w:rPr>
        <w:t xml:space="preserve">), responsible for bone targeting; </w:t>
      </w:r>
      <w:r w:rsidR="006809A4" w:rsidRPr="007721FB">
        <w:rPr>
          <w:rFonts w:ascii="Times New Roman" w:hAnsi="Times New Roman" w:cs="Times New Roman"/>
          <w:sz w:val="24"/>
          <w:szCs w:val="24"/>
        </w:rPr>
        <w:t xml:space="preserve">ii) the CTSK substrate (HPGGPQ) sequence linking the two adjacent domains; </w:t>
      </w:r>
      <w:r w:rsidR="00696BAA" w:rsidRPr="007721FB">
        <w:rPr>
          <w:rFonts w:ascii="Times New Roman" w:hAnsi="Times New Roman" w:cs="Times New Roman"/>
          <w:sz w:val="24"/>
          <w:szCs w:val="24"/>
        </w:rPr>
        <w:t>and ii</w:t>
      </w:r>
      <w:r w:rsidR="006809A4" w:rsidRPr="007721FB">
        <w:rPr>
          <w:rFonts w:ascii="Times New Roman" w:hAnsi="Times New Roman" w:cs="Times New Roman"/>
          <w:sz w:val="24"/>
          <w:szCs w:val="24"/>
        </w:rPr>
        <w:t>i</w:t>
      </w:r>
      <w:r w:rsidR="00696BAA" w:rsidRPr="007721FB">
        <w:rPr>
          <w:rFonts w:ascii="Times New Roman" w:hAnsi="Times New Roman" w:cs="Times New Roman"/>
          <w:sz w:val="24"/>
          <w:szCs w:val="24"/>
        </w:rPr>
        <w:t>) the cationic residue linked to the surface of the diblock copolymer, responsible for increasing cellular uptake upon CSTK-cleav</w:t>
      </w:r>
      <w:r w:rsidR="00001550" w:rsidRPr="007721FB">
        <w:rPr>
          <w:rFonts w:ascii="Times New Roman" w:hAnsi="Times New Roman" w:cs="Times New Roman"/>
          <w:sz w:val="24"/>
          <w:szCs w:val="24"/>
        </w:rPr>
        <w:t>age</w:t>
      </w:r>
      <w:r w:rsidR="001D02E9" w:rsidRPr="007721FB">
        <w:rPr>
          <w:rFonts w:ascii="Times New Roman" w:hAnsi="Times New Roman" w:cs="Times New Roman"/>
          <w:sz w:val="24"/>
          <w:szCs w:val="24"/>
        </w:rPr>
        <w:t xml:space="preserve"> (Figure 5</w:t>
      </w:r>
      <w:r w:rsidR="00B87CB6" w:rsidRPr="007721FB">
        <w:rPr>
          <w:rFonts w:ascii="Times New Roman" w:hAnsi="Times New Roman" w:cs="Times New Roman"/>
          <w:sz w:val="24"/>
          <w:szCs w:val="24"/>
        </w:rPr>
        <w:t>)</w:t>
      </w:r>
      <w:r w:rsidR="00696BAA" w:rsidRPr="007721FB">
        <w:rPr>
          <w:rFonts w:ascii="Times New Roman" w:hAnsi="Times New Roman" w:cs="Times New Roman"/>
          <w:sz w:val="24"/>
          <w:szCs w:val="24"/>
        </w:rPr>
        <w:t>. This</w:t>
      </w:r>
      <w:r w:rsidR="00B87CB6" w:rsidRPr="007721FB">
        <w:rPr>
          <w:rFonts w:ascii="Times New Roman" w:hAnsi="Times New Roman" w:cs="Times New Roman"/>
          <w:sz w:val="24"/>
          <w:szCs w:val="24"/>
        </w:rPr>
        <w:t xml:space="preserve"> hybrid</w:t>
      </w:r>
      <w:r w:rsidR="00696BAA" w:rsidRPr="007721FB">
        <w:rPr>
          <w:rFonts w:ascii="Times New Roman" w:hAnsi="Times New Roman" w:cs="Times New Roman"/>
          <w:sz w:val="24"/>
          <w:szCs w:val="24"/>
        </w:rPr>
        <w:t xml:space="preserve"> </w:t>
      </w:r>
      <w:r w:rsidR="006505C1" w:rsidRPr="007721FB">
        <w:rPr>
          <w:rFonts w:ascii="Times New Roman" w:hAnsi="Times New Roman" w:cs="Times New Roman"/>
          <w:sz w:val="24"/>
          <w:szCs w:val="24"/>
        </w:rPr>
        <w:t xml:space="preserve">biomaterial </w:t>
      </w:r>
      <w:r w:rsidR="00696BAA" w:rsidRPr="007721FB">
        <w:rPr>
          <w:rFonts w:ascii="Times New Roman" w:hAnsi="Times New Roman" w:cs="Times New Roman"/>
          <w:sz w:val="24"/>
          <w:szCs w:val="24"/>
        </w:rPr>
        <w:t>was able to self-assemble into micelles</w:t>
      </w:r>
      <w:r w:rsidR="006809A4" w:rsidRPr="007721FB">
        <w:rPr>
          <w:rFonts w:ascii="Times New Roman" w:hAnsi="Times New Roman" w:cs="Times New Roman"/>
          <w:sz w:val="24"/>
          <w:szCs w:val="24"/>
        </w:rPr>
        <w:t xml:space="preserve"> in aqueous solution</w:t>
      </w:r>
      <w:r w:rsidR="006505C1" w:rsidRPr="007721FB">
        <w:rPr>
          <w:rFonts w:ascii="Times New Roman" w:hAnsi="Times New Roman" w:cs="Times New Roman"/>
          <w:sz w:val="24"/>
          <w:szCs w:val="24"/>
        </w:rPr>
        <w:t xml:space="preserve"> via</w:t>
      </w:r>
      <w:r w:rsidR="00A13B9F" w:rsidRPr="007721FB">
        <w:rPr>
          <w:rFonts w:ascii="Times New Roman" w:hAnsi="Times New Roman" w:cs="Times New Roman"/>
          <w:sz w:val="24"/>
          <w:szCs w:val="24"/>
        </w:rPr>
        <w:t xml:space="preserve"> dialysis </w:t>
      </w:r>
      <w:r w:rsidR="006505C1" w:rsidRPr="007721FB">
        <w:rPr>
          <w:rFonts w:ascii="Times New Roman" w:hAnsi="Times New Roman" w:cs="Times New Roman"/>
          <w:sz w:val="24"/>
          <w:szCs w:val="24"/>
        </w:rPr>
        <w:t>under mild conditions</w:t>
      </w:r>
      <w:r w:rsidR="0043139E" w:rsidRPr="007721FB">
        <w:rPr>
          <w:rFonts w:ascii="Times New Roman" w:hAnsi="Times New Roman" w:cs="Times New Roman"/>
          <w:sz w:val="24"/>
          <w:szCs w:val="24"/>
        </w:rPr>
        <w:t xml:space="preserve"> </w:t>
      </w:r>
      <w:r w:rsidR="00696BAA" w:rsidRPr="007721FB">
        <w:rPr>
          <w:rFonts w:ascii="Times New Roman" w:hAnsi="Times New Roman" w:cs="Times New Roman"/>
          <w:sz w:val="24"/>
          <w:szCs w:val="24"/>
        </w:rPr>
        <w:t>(size</w:t>
      </w:r>
      <w:r w:rsidR="005C35EB" w:rsidRPr="007721FB">
        <w:rPr>
          <w:rFonts w:ascii="Times New Roman" w:hAnsi="Times New Roman" w:cs="Times New Roman"/>
          <w:sz w:val="24"/>
          <w:szCs w:val="24"/>
        </w:rPr>
        <w:t>:</w:t>
      </w:r>
      <w:r w:rsidR="00696BAA" w:rsidRPr="007721FB">
        <w:rPr>
          <w:rFonts w:ascii="Times New Roman" w:hAnsi="Times New Roman" w:cs="Times New Roman"/>
          <w:sz w:val="24"/>
          <w:szCs w:val="24"/>
        </w:rPr>
        <w:t xml:space="preserve"> 75 ± 10 nm, </w:t>
      </w:r>
      <w:r w:rsidR="00D86923" w:rsidRPr="007721FB">
        <w:rPr>
          <w:rFonts w:ascii="Times New Roman" w:hAnsi="Times New Roman" w:cs="Times New Roman"/>
          <w:sz w:val="24"/>
          <w:szCs w:val="24"/>
        </w:rPr>
        <w:t>ζ-</w:t>
      </w:r>
      <w:r w:rsidR="00696BAA" w:rsidRPr="007721FB">
        <w:rPr>
          <w:rFonts w:ascii="Times New Roman" w:hAnsi="Times New Roman" w:cs="Times New Roman"/>
          <w:sz w:val="24"/>
          <w:szCs w:val="24"/>
        </w:rPr>
        <w:t>potential −18.5 ± 1.9 mV)</w:t>
      </w:r>
      <w:r w:rsidR="00001550" w:rsidRPr="007721FB">
        <w:rPr>
          <w:rFonts w:ascii="Times New Roman" w:hAnsi="Times New Roman" w:cs="Times New Roman"/>
          <w:sz w:val="24"/>
          <w:szCs w:val="24"/>
        </w:rPr>
        <w:t>.</w:t>
      </w:r>
    </w:p>
    <w:p w14:paraId="2828D0F0" w14:textId="77777777" w:rsidR="00B87CB6" w:rsidRPr="007721FB" w:rsidRDefault="00B87CB6" w:rsidP="00D867DF">
      <w:pPr>
        <w:spacing w:after="0" w:line="240" w:lineRule="auto"/>
        <w:jc w:val="both"/>
        <w:rPr>
          <w:rFonts w:ascii="Times New Roman" w:hAnsi="Times New Roman" w:cs="Times New Roman"/>
          <w:sz w:val="24"/>
          <w:szCs w:val="24"/>
        </w:rPr>
      </w:pPr>
    </w:p>
    <w:p w14:paraId="6B38343A" w14:textId="3A923535" w:rsidR="00B87CB6" w:rsidRPr="007721FB" w:rsidRDefault="00B87CB6" w:rsidP="00D867DF">
      <w:pPr>
        <w:spacing w:after="0" w:line="240" w:lineRule="auto"/>
        <w:jc w:val="center"/>
        <w:rPr>
          <w:rFonts w:ascii="Times New Roman" w:hAnsi="Times New Roman" w:cs="Times New Roman"/>
          <w:sz w:val="24"/>
          <w:szCs w:val="24"/>
        </w:rPr>
      </w:pPr>
      <w:r w:rsidRPr="007721FB">
        <w:rPr>
          <w:noProof/>
        </w:rPr>
        <w:lastRenderedPageBreak/>
        <w:drawing>
          <wp:inline distT="0" distB="0" distL="0" distR="0" wp14:anchorId="50C81444" wp14:editId="0BF31A1A">
            <wp:extent cx="5240618" cy="3619500"/>
            <wp:effectExtent l="0" t="0" r="0" b="0"/>
            <wp:docPr id="16" name="Imagem 16" descr="C:\Users\Vítor Gaspar\AppData\Local\Microsoft\Windows\INetCache\Content.Word\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ítor Gaspar\AppData\Local\Microsoft\Windows\INetCache\Content.Word\Figure 4.tif"/>
                    <pic:cNvPicPr>
                      <a:picLocks noChangeAspect="1" noChangeArrowheads="1"/>
                    </pic:cNvPicPr>
                  </pic:nvPicPr>
                  <pic:blipFill>
                    <a:blip r:embed="rId12"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270377" cy="3640054"/>
                    </a:xfrm>
                    <a:prstGeom prst="rect">
                      <a:avLst/>
                    </a:prstGeom>
                    <a:noFill/>
                    <a:ln>
                      <a:noFill/>
                    </a:ln>
                  </pic:spPr>
                </pic:pic>
              </a:graphicData>
            </a:graphic>
          </wp:inline>
        </w:drawing>
      </w:r>
    </w:p>
    <w:p w14:paraId="0AB0E307" w14:textId="7E33954B" w:rsidR="00B87CB6" w:rsidRPr="007721FB" w:rsidRDefault="001D02E9" w:rsidP="00752C20">
      <w:pPr>
        <w:spacing w:after="0" w:line="240" w:lineRule="auto"/>
        <w:jc w:val="both"/>
        <w:rPr>
          <w:rFonts w:ascii="Times New Roman" w:hAnsi="Times New Roman" w:cs="Times New Roman"/>
        </w:rPr>
      </w:pPr>
      <w:r w:rsidRPr="007721FB">
        <w:rPr>
          <w:rFonts w:ascii="Times New Roman" w:hAnsi="Times New Roman" w:cs="Times New Roman"/>
          <w:b/>
        </w:rPr>
        <w:t>Figure 5</w:t>
      </w:r>
      <w:r w:rsidR="00BF3D5A" w:rsidRPr="007721FB">
        <w:rPr>
          <w:rFonts w:ascii="Times New Roman" w:hAnsi="Times New Roman" w:cs="Times New Roman"/>
          <w:b/>
        </w:rPr>
        <w:t xml:space="preserve">. </w:t>
      </w:r>
      <w:r w:rsidR="00BA357C" w:rsidRPr="007721FB">
        <w:rPr>
          <w:rFonts w:ascii="Times New Roman" w:hAnsi="Times New Roman" w:cs="Times New Roman"/>
        </w:rPr>
        <w:t xml:space="preserve">Mechanism of action of CTSK-triggered charge reversal micelles for targeted </w:t>
      </w:r>
      <w:r w:rsidR="00BA357C" w:rsidRPr="007721FB">
        <w:rPr>
          <w:rFonts w:ascii="Times New Roman" w:hAnsi="Times New Roman" w:cs="Times New Roman"/>
          <w:i/>
        </w:rPr>
        <w:t>in vivo</w:t>
      </w:r>
      <w:r w:rsidR="00BA357C" w:rsidRPr="007721FB">
        <w:rPr>
          <w:rFonts w:ascii="Times New Roman" w:hAnsi="Times New Roman" w:cs="Times New Roman"/>
        </w:rPr>
        <w:t xml:space="preserve"> bone metastasis treatment. Kaplan–Meier survival curves of mice following tumor injection and treatment. Adapted from [72] with permission from</w:t>
      </w:r>
      <w:r w:rsidR="00C26456" w:rsidRPr="007721FB">
        <w:rPr>
          <w:rFonts w:ascii="Times New Roman" w:hAnsi="Times New Roman" w:cs="Times New Roman"/>
        </w:rPr>
        <w:t xml:space="preserve"> </w:t>
      </w:r>
      <w:r w:rsidR="002637E3" w:rsidRPr="007721FB">
        <w:rPr>
          <w:rFonts w:ascii="Times New Roman" w:hAnsi="Times New Roman" w:cs="Times New Roman"/>
        </w:rPr>
        <w:t>Royal Society of Chemistry</w:t>
      </w:r>
      <w:r w:rsidR="00C26456" w:rsidRPr="007721FB">
        <w:rPr>
          <w:rFonts w:ascii="Times New Roman" w:hAnsi="Times New Roman" w:cs="Times New Roman"/>
        </w:rPr>
        <w:t>.</w:t>
      </w:r>
    </w:p>
    <w:p w14:paraId="410D5966" w14:textId="77777777" w:rsidR="00BF3D5A" w:rsidRPr="007721FB" w:rsidRDefault="00BF3D5A" w:rsidP="00752C20">
      <w:pPr>
        <w:spacing w:after="0" w:line="240" w:lineRule="auto"/>
        <w:jc w:val="both"/>
        <w:rPr>
          <w:rFonts w:ascii="Times New Roman" w:hAnsi="Times New Roman" w:cs="Times New Roman"/>
          <w:sz w:val="24"/>
          <w:szCs w:val="24"/>
        </w:rPr>
      </w:pPr>
    </w:p>
    <w:p w14:paraId="606C3820" w14:textId="6ACE93DC" w:rsidR="00696BAA" w:rsidRPr="007721FB" w:rsidRDefault="00BF3D5A" w:rsidP="00752C20">
      <w:pPr>
        <w:spacing w:after="0" w:line="240" w:lineRule="auto"/>
        <w:jc w:val="both"/>
        <w:rPr>
          <w:rFonts w:ascii="Times New Roman" w:hAnsi="Times New Roman" w:cs="Times New Roman"/>
          <w:sz w:val="24"/>
          <w:szCs w:val="24"/>
        </w:rPr>
      </w:pPr>
      <w:r w:rsidRPr="007721FB">
        <w:rPr>
          <w:rFonts w:ascii="Times New Roman" w:hAnsi="Times New Roman" w:cs="Times New Roman"/>
          <w:sz w:val="24"/>
          <w:szCs w:val="24"/>
        </w:rPr>
        <w:t xml:space="preserve">  </w:t>
      </w:r>
      <w:r w:rsidR="00696BAA" w:rsidRPr="007721FB">
        <w:rPr>
          <w:rFonts w:ascii="Times New Roman" w:hAnsi="Times New Roman" w:cs="Times New Roman"/>
          <w:sz w:val="24"/>
          <w:szCs w:val="24"/>
        </w:rPr>
        <w:t xml:space="preserve"> The negatively charged micelles then experience a charge-reversal upon reaching osteolytic lesion sites overexpressing CTSK, </w:t>
      </w:r>
      <w:r w:rsidR="006505C1" w:rsidRPr="007721FB">
        <w:rPr>
          <w:rFonts w:ascii="Times New Roman" w:hAnsi="Times New Roman" w:cs="Times New Roman"/>
          <w:sz w:val="24"/>
          <w:szCs w:val="24"/>
        </w:rPr>
        <w:t>due to enzymatic cleavage of the</w:t>
      </w:r>
      <w:r w:rsidR="00696BAA" w:rsidRPr="007721FB">
        <w:rPr>
          <w:rFonts w:ascii="Times New Roman" w:hAnsi="Times New Roman" w:cs="Times New Roman"/>
          <w:sz w:val="24"/>
          <w:szCs w:val="24"/>
        </w:rPr>
        <w:t xml:space="preserve"> anionic </w:t>
      </w:r>
      <w:r w:rsidR="006505C1" w:rsidRPr="007721FB">
        <w:rPr>
          <w:rFonts w:ascii="Times New Roman" w:hAnsi="Times New Roman" w:cs="Times New Roman"/>
          <w:sz w:val="24"/>
          <w:szCs w:val="24"/>
        </w:rPr>
        <w:t>block</w:t>
      </w:r>
      <w:r w:rsidR="00696BAA" w:rsidRPr="007721FB">
        <w:rPr>
          <w:rFonts w:ascii="Times New Roman" w:hAnsi="Times New Roman" w:cs="Times New Roman"/>
          <w:sz w:val="24"/>
          <w:szCs w:val="24"/>
        </w:rPr>
        <w:t xml:space="preserve">, </w:t>
      </w:r>
      <w:r w:rsidR="00A13B9F" w:rsidRPr="007721FB">
        <w:rPr>
          <w:rFonts w:ascii="Times New Roman" w:hAnsi="Times New Roman" w:cs="Times New Roman"/>
          <w:sz w:val="24"/>
          <w:szCs w:val="24"/>
        </w:rPr>
        <w:t xml:space="preserve">which </w:t>
      </w:r>
      <w:r w:rsidR="00696BAA" w:rsidRPr="007721FB">
        <w:rPr>
          <w:rFonts w:ascii="Times New Roman" w:hAnsi="Times New Roman" w:cs="Times New Roman"/>
          <w:sz w:val="24"/>
          <w:szCs w:val="24"/>
        </w:rPr>
        <w:t>expos</w:t>
      </w:r>
      <w:r w:rsidR="00A13B9F" w:rsidRPr="007721FB">
        <w:rPr>
          <w:rFonts w:ascii="Times New Roman" w:hAnsi="Times New Roman" w:cs="Times New Roman"/>
          <w:sz w:val="24"/>
          <w:szCs w:val="24"/>
        </w:rPr>
        <w:t>es</w:t>
      </w:r>
      <w:r w:rsidR="00696BAA" w:rsidRPr="007721FB">
        <w:rPr>
          <w:rFonts w:ascii="Times New Roman" w:hAnsi="Times New Roman" w:cs="Times New Roman"/>
          <w:sz w:val="24"/>
          <w:szCs w:val="24"/>
        </w:rPr>
        <w:t xml:space="preserve"> the cationic </w:t>
      </w:r>
      <w:r w:rsidR="006505C1" w:rsidRPr="007721FB">
        <w:rPr>
          <w:rFonts w:ascii="Times New Roman" w:hAnsi="Times New Roman" w:cs="Times New Roman"/>
          <w:sz w:val="24"/>
          <w:szCs w:val="24"/>
        </w:rPr>
        <w:t xml:space="preserve">moiety </w:t>
      </w:r>
      <w:r w:rsidR="00696BAA" w:rsidRPr="007721FB">
        <w:rPr>
          <w:rFonts w:ascii="Times New Roman" w:hAnsi="Times New Roman" w:cs="Times New Roman"/>
          <w:sz w:val="24"/>
          <w:szCs w:val="24"/>
        </w:rPr>
        <w:t>and trigger</w:t>
      </w:r>
      <w:r w:rsidR="00A13B9F" w:rsidRPr="007721FB">
        <w:rPr>
          <w:rFonts w:ascii="Times New Roman" w:hAnsi="Times New Roman" w:cs="Times New Roman"/>
          <w:sz w:val="24"/>
          <w:szCs w:val="24"/>
        </w:rPr>
        <w:t>s</w:t>
      </w:r>
      <w:r w:rsidR="00696BAA" w:rsidRPr="007721FB">
        <w:rPr>
          <w:rFonts w:ascii="Times New Roman" w:hAnsi="Times New Roman" w:cs="Times New Roman"/>
          <w:sz w:val="24"/>
          <w:szCs w:val="24"/>
        </w:rPr>
        <w:t xml:space="preserve"> a charge reversal from negative to positive (</w:t>
      </w:r>
      <w:r w:rsidR="006505C1" w:rsidRPr="007721FB">
        <w:rPr>
          <w:rFonts w:ascii="Times New Roman" w:hAnsi="Times New Roman" w:cs="Times New Roman"/>
          <w:sz w:val="24"/>
          <w:szCs w:val="24"/>
        </w:rPr>
        <w:t xml:space="preserve">-18.5 mV </w:t>
      </w:r>
      <w:r w:rsidR="00696BAA" w:rsidRPr="007721FB">
        <w:rPr>
          <w:rFonts w:ascii="Times New Roman" w:hAnsi="Times New Roman" w:cs="Times New Roman"/>
          <w:sz w:val="24"/>
          <w:szCs w:val="24"/>
        </w:rPr>
        <w:t>to +15.2 mV), markedly increasing</w:t>
      </w:r>
      <w:r w:rsidR="006505C1" w:rsidRPr="007721FB">
        <w:rPr>
          <w:rFonts w:ascii="Times New Roman" w:hAnsi="Times New Roman" w:cs="Times New Roman"/>
          <w:sz w:val="24"/>
          <w:szCs w:val="24"/>
        </w:rPr>
        <w:t xml:space="preserve"> </w:t>
      </w:r>
      <w:r w:rsidR="006505C1" w:rsidRPr="007721FB">
        <w:rPr>
          <w:rFonts w:ascii="Times New Roman" w:hAnsi="Times New Roman" w:cs="Times New Roman"/>
          <w:i/>
          <w:sz w:val="24"/>
          <w:szCs w:val="24"/>
        </w:rPr>
        <w:t>in vitro</w:t>
      </w:r>
      <w:r w:rsidR="00696BAA" w:rsidRPr="007721FB">
        <w:rPr>
          <w:rFonts w:ascii="Times New Roman" w:hAnsi="Times New Roman" w:cs="Times New Roman"/>
          <w:sz w:val="24"/>
          <w:szCs w:val="24"/>
        </w:rPr>
        <w:t xml:space="preserve"> cellular uptake</w:t>
      </w:r>
      <w:r w:rsidR="006505C1" w:rsidRPr="007721FB">
        <w:rPr>
          <w:rFonts w:ascii="Times New Roman" w:hAnsi="Times New Roman" w:cs="Times New Roman"/>
          <w:sz w:val="24"/>
          <w:szCs w:val="24"/>
        </w:rPr>
        <w:t xml:space="preserve"> </w:t>
      </w:r>
      <w:r w:rsidR="00A1154C" w:rsidRPr="007721FB">
        <w:rPr>
          <w:rFonts w:ascii="Times New Roman" w:hAnsi="Times New Roman" w:cs="Times New Roman"/>
          <w:sz w:val="24"/>
          <w:szCs w:val="24"/>
        </w:rPr>
        <w:t xml:space="preserve">in MCF-7 breast cancer cells </w:t>
      </w:r>
      <w:r w:rsidR="00314918" w:rsidRPr="007721FB">
        <w:rPr>
          <w:rFonts w:ascii="Times New Roman" w:hAnsi="Times New Roman" w:cs="Times New Roman"/>
          <w:sz w:val="24"/>
          <w:szCs w:val="24"/>
        </w:rPr>
        <w:t>after 30 mi</w:t>
      </w:r>
      <w:r w:rsidR="00885503" w:rsidRPr="007721FB">
        <w:rPr>
          <w:rFonts w:ascii="Times New Roman" w:hAnsi="Times New Roman" w:cs="Times New Roman"/>
          <w:sz w:val="24"/>
          <w:szCs w:val="24"/>
        </w:rPr>
        <w:t>n</w:t>
      </w:r>
      <w:r w:rsidR="00314918" w:rsidRPr="007721FB">
        <w:rPr>
          <w:rFonts w:ascii="Times New Roman" w:hAnsi="Times New Roman" w:cs="Times New Roman"/>
          <w:sz w:val="24"/>
          <w:szCs w:val="24"/>
        </w:rPr>
        <w:t xml:space="preserve"> incubation with </w:t>
      </w:r>
      <w:r w:rsidR="00A1154C" w:rsidRPr="007721FB">
        <w:rPr>
          <w:rFonts w:ascii="Times New Roman" w:hAnsi="Times New Roman" w:cs="Times New Roman"/>
          <w:sz w:val="24"/>
          <w:szCs w:val="24"/>
        </w:rPr>
        <w:t>CTSK, when compared to absence of CTSK conditions</w:t>
      </w:r>
      <w:r w:rsidR="00696BAA" w:rsidRPr="007721FB">
        <w:rPr>
          <w:rFonts w:ascii="Times New Roman" w:hAnsi="Times New Roman" w:cs="Times New Roman"/>
          <w:sz w:val="24"/>
          <w:szCs w:val="24"/>
        </w:rPr>
        <w:t xml:space="preserve"> </w:t>
      </w:r>
      <w:r w:rsidR="0049600C" w:rsidRPr="007721FB">
        <w:rPr>
          <w:rFonts w:ascii="Times New Roman" w:hAnsi="Times New Roman" w:cs="Times New Roman"/>
          <w:sz w:val="24"/>
          <w:szCs w:val="24"/>
        </w:rPr>
        <w:t>(Fig</w:t>
      </w:r>
      <w:r w:rsidRPr="007721FB">
        <w:rPr>
          <w:rFonts w:ascii="Times New Roman" w:hAnsi="Times New Roman" w:cs="Times New Roman"/>
          <w:sz w:val="24"/>
          <w:szCs w:val="24"/>
        </w:rPr>
        <w:t xml:space="preserve">ure </w:t>
      </w:r>
      <w:r w:rsidR="00651807" w:rsidRPr="007721FB">
        <w:rPr>
          <w:rFonts w:ascii="Times New Roman" w:hAnsi="Times New Roman" w:cs="Times New Roman"/>
          <w:sz w:val="24"/>
          <w:szCs w:val="24"/>
        </w:rPr>
        <w:t>5</w:t>
      </w:r>
      <w:r w:rsidRPr="007721FB">
        <w:rPr>
          <w:rFonts w:ascii="Times New Roman" w:hAnsi="Times New Roman" w:cs="Times New Roman"/>
          <w:sz w:val="24"/>
          <w:szCs w:val="24"/>
        </w:rPr>
        <w:t>C</w:t>
      </w:r>
      <w:r w:rsidR="00696BAA" w:rsidRPr="007721FB">
        <w:rPr>
          <w:rFonts w:ascii="Times New Roman" w:hAnsi="Times New Roman" w:cs="Times New Roman"/>
          <w:sz w:val="24"/>
          <w:szCs w:val="24"/>
        </w:rPr>
        <w:t>)</w:t>
      </w:r>
      <w:r w:rsidR="006505C1" w:rsidRPr="007721FB">
        <w:rPr>
          <w:rFonts w:ascii="Times New Roman" w:hAnsi="Times New Roman" w:cs="Times New Roman"/>
          <w:sz w:val="24"/>
          <w:szCs w:val="24"/>
        </w:rPr>
        <w:t>. Interestingly</w:t>
      </w:r>
      <w:r w:rsidR="00696BAA" w:rsidRPr="007721FB">
        <w:rPr>
          <w:rFonts w:ascii="Times New Roman" w:hAnsi="Times New Roman" w:cs="Times New Roman"/>
          <w:sz w:val="24"/>
          <w:szCs w:val="24"/>
        </w:rPr>
        <w:t>,</w:t>
      </w:r>
      <w:r w:rsidR="006809A4" w:rsidRPr="007721FB">
        <w:rPr>
          <w:rFonts w:ascii="Times New Roman" w:hAnsi="Times New Roman" w:cs="Times New Roman"/>
          <w:sz w:val="24"/>
          <w:szCs w:val="24"/>
        </w:rPr>
        <w:t xml:space="preserve"> </w:t>
      </w:r>
      <w:r w:rsidR="006505C1" w:rsidRPr="007721FB">
        <w:rPr>
          <w:rFonts w:ascii="Times New Roman" w:hAnsi="Times New Roman" w:cs="Times New Roman"/>
          <w:sz w:val="24"/>
          <w:szCs w:val="24"/>
        </w:rPr>
        <w:t>following</w:t>
      </w:r>
      <w:r w:rsidR="00696BAA" w:rsidRPr="007721FB">
        <w:rPr>
          <w:rFonts w:ascii="Times New Roman" w:hAnsi="Times New Roman" w:cs="Times New Roman"/>
          <w:sz w:val="24"/>
          <w:szCs w:val="24"/>
        </w:rPr>
        <w:t xml:space="preserve"> intravenous injection, these</w:t>
      </w:r>
      <w:r w:rsidR="006505C1" w:rsidRPr="007721FB">
        <w:rPr>
          <w:rFonts w:ascii="Times New Roman" w:hAnsi="Times New Roman" w:cs="Times New Roman"/>
          <w:sz w:val="24"/>
          <w:szCs w:val="24"/>
        </w:rPr>
        <w:t xml:space="preserve"> enzyme-sensitive</w:t>
      </w:r>
      <w:r w:rsidR="00696BAA" w:rsidRPr="007721FB">
        <w:rPr>
          <w:rFonts w:ascii="Times New Roman" w:hAnsi="Times New Roman" w:cs="Times New Roman"/>
          <w:sz w:val="24"/>
          <w:szCs w:val="24"/>
        </w:rPr>
        <w:t xml:space="preserve"> polymeric micelles </w:t>
      </w:r>
      <w:r w:rsidR="006505C1" w:rsidRPr="007721FB">
        <w:rPr>
          <w:rFonts w:ascii="Times New Roman" w:hAnsi="Times New Roman" w:cs="Times New Roman"/>
          <w:sz w:val="24"/>
          <w:szCs w:val="24"/>
        </w:rPr>
        <w:t>prolonged the survival</w:t>
      </w:r>
      <w:r w:rsidR="007966FA" w:rsidRPr="007721FB">
        <w:rPr>
          <w:rFonts w:ascii="Times New Roman" w:hAnsi="Times New Roman" w:cs="Times New Roman"/>
          <w:sz w:val="24"/>
          <w:szCs w:val="24"/>
        </w:rPr>
        <w:t xml:space="preserve"> of</w:t>
      </w:r>
      <w:r w:rsidR="00696BAA" w:rsidRPr="007721FB">
        <w:rPr>
          <w:rFonts w:ascii="Times New Roman" w:hAnsi="Times New Roman" w:cs="Times New Roman"/>
          <w:sz w:val="24"/>
          <w:szCs w:val="24"/>
        </w:rPr>
        <w:t xml:space="preserve"> 4TGM1 mice bearing </w:t>
      </w:r>
      <w:r w:rsidR="006505C1" w:rsidRPr="007721FB">
        <w:rPr>
          <w:rFonts w:ascii="Times New Roman" w:hAnsi="Times New Roman" w:cs="Times New Roman"/>
          <w:sz w:val="24"/>
          <w:szCs w:val="24"/>
        </w:rPr>
        <w:t xml:space="preserve">bone metastatic </w:t>
      </w:r>
      <w:r w:rsidR="00696BAA" w:rsidRPr="007721FB">
        <w:rPr>
          <w:rFonts w:ascii="Times New Roman" w:hAnsi="Times New Roman" w:cs="Times New Roman"/>
          <w:sz w:val="24"/>
          <w:szCs w:val="24"/>
        </w:rPr>
        <w:t xml:space="preserve">myeloma in comparison to free DOX and </w:t>
      </w:r>
      <w:r w:rsidR="006505C1" w:rsidRPr="007721FB">
        <w:rPr>
          <w:rFonts w:ascii="Times New Roman" w:hAnsi="Times New Roman" w:cs="Times New Roman"/>
          <w:sz w:val="24"/>
          <w:szCs w:val="24"/>
        </w:rPr>
        <w:t xml:space="preserve">non-responsive </w:t>
      </w:r>
      <w:r w:rsidR="00696BAA" w:rsidRPr="007721FB">
        <w:rPr>
          <w:rFonts w:ascii="Times New Roman" w:hAnsi="Times New Roman" w:cs="Times New Roman"/>
          <w:sz w:val="24"/>
          <w:szCs w:val="24"/>
        </w:rPr>
        <w:t xml:space="preserve">formulations. In addition, serum IgG 2b levels were the lowest for the CTSK-responsive </w:t>
      </w:r>
      <w:r w:rsidR="006505C1" w:rsidRPr="007721FB">
        <w:rPr>
          <w:rFonts w:ascii="Times New Roman" w:hAnsi="Times New Roman" w:cs="Times New Roman"/>
          <w:sz w:val="24"/>
          <w:szCs w:val="24"/>
        </w:rPr>
        <w:t>nanomicelles</w:t>
      </w:r>
      <w:r w:rsidR="00696BAA" w:rsidRPr="007721FB">
        <w:rPr>
          <w:rFonts w:ascii="Times New Roman" w:hAnsi="Times New Roman" w:cs="Times New Roman"/>
          <w:sz w:val="24"/>
          <w:szCs w:val="24"/>
        </w:rPr>
        <w:t xml:space="preserve">, which correlates with reduced tumor burden across all controls. </w:t>
      </w:r>
    </w:p>
    <w:p w14:paraId="387000E1" w14:textId="2BDB2F00" w:rsidR="00752C20" w:rsidRPr="007721FB" w:rsidRDefault="00BA357C" w:rsidP="00BA357C">
      <w:pPr>
        <w:spacing w:after="0" w:line="240" w:lineRule="auto"/>
        <w:jc w:val="both"/>
        <w:rPr>
          <w:rFonts w:ascii="Times New Roman" w:hAnsi="Times New Roman" w:cs="Times New Roman"/>
          <w:sz w:val="24"/>
          <w:szCs w:val="24"/>
        </w:rPr>
      </w:pPr>
      <w:r w:rsidRPr="007721FB">
        <w:rPr>
          <w:rFonts w:ascii="Times New Roman" w:hAnsi="Times New Roman" w:cs="Times New Roman"/>
          <w:sz w:val="24"/>
          <w:szCs w:val="24"/>
        </w:rPr>
        <w:t xml:space="preserve">   </w:t>
      </w:r>
      <w:r w:rsidR="00696BAA" w:rsidRPr="007721FB">
        <w:rPr>
          <w:rFonts w:ascii="Times New Roman" w:hAnsi="Times New Roman" w:cs="Times New Roman"/>
          <w:sz w:val="24"/>
          <w:szCs w:val="24"/>
        </w:rPr>
        <w:t xml:space="preserve">Another enzyme-based trigger mechanism </w:t>
      </w:r>
      <w:r w:rsidR="00752C20" w:rsidRPr="007721FB">
        <w:rPr>
          <w:rFonts w:ascii="Times New Roman" w:hAnsi="Times New Roman" w:cs="Times New Roman"/>
          <w:sz w:val="24"/>
          <w:szCs w:val="24"/>
        </w:rPr>
        <w:t>that can be</w:t>
      </w:r>
      <w:r w:rsidR="00696BAA" w:rsidRPr="007721FB">
        <w:rPr>
          <w:rFonts w:ascii="Times New Roman" w:hAnsi="Times New Roman" w:cs="Times New Roman"/>
          <w:sz w:val="24"/>
          <w:szCs w:val="24"/>
        </w:rPr>
        <w:t xml:space="preserve"> explored </w:t>
      </w:r>
      <w:r w:rsidR="006809A4" w:rsidRPr="007721FB">
        <w:rPr>
          <w:rFonts w:ascii="Times New Roman" w:hAnsi="Times New Roman" w:cs="Times New Roman"/>
          <w:sz w:val="24"/>
          <w:szCs w:val="24"/>
        </w:rPr>
        <w:t>relies</w:t>
      </w:r>
      <w:r w:rsidR="00696BAA" w:rsidRPr="007721FB">
        <w:rPr>
          <w:rFonts w:ascii="Times New Roman" w:hAnsi="Times New Roman" w:cs="Times New Roman"/>
          <w:sz w:val="24"/>
          <w:szCs w:val="24"/>
        </w:rPr>
        <w:t xml:space="preserve"> on extracellular matrix-degrading enzymes</w:t>
      </w:r>
      <w:r w:rsidR="00080339" w:rsidRPr="007721FB">
        <w:rPr>
          <w:rFonts w:ascii="Times New Roman" w:hAnsi="Times New Roman" w:cs="Times New Roman"/>
          <w:sz w:val="24"/>
          <w:szCs w:val="24"/>
        </w:rPr>
        <w:t xml:space="preserve">, </w:t>
      </w:r>
      <w:r w:rsidR="006809A4" w:rsidRPr="007721FB">
        <w:rPr>
          <w:rFonts w:ascii="Times New Roman" w:hAnsi="Times New Roman" w:cs="Times New Roman"/>
          <w:sz w:val="24"/>
          <w:szCs w:val="24"/>
        </w:rPr>
        <w:t>specifically</w:t>
      </w:r>
      <w:r w:rsidR="00696BAA" w:rsidRPr="007721FB">
        <w:rPr>
          <w:rFonts w:ascii="Times New Roman" w:hAnsi="Times New Roman" w:cs="Times New Roman"/>
          <w:sz w:val="24"/>
          <w:szCs w:val="24"/>
        </w:rPr>
        <w:t xml:space="preserve"> matrix metalloproteinases (MMPs)</w:t>
      </w:r>
      <w:r w:rsidR="00080339" w:rsidRPr="007721FB">
        <w:rPr>
          <w:rFonts w:ascii="Times New Roman" w:hAnsi="Times New Roman" w:cs="Times New Roman"/>
          <w:sz w:val="24"/>
          <w:szCs w:val="24"/>
        </w:rPr>
        <w:t xml:space="preserve">. These </w:t>
      </w:r>
      <w:r w:rsidR="00BC1D83" w:rsidRPr="007721FB">
        <w:rPr>
          <w:rFonts w:ascii="Times New Roman" w:hAnsi="Times New Roman" w:cs="Times New Roman"/>
          <w:sz w:val="24"/>
          <w:szCs w:val="24"/>
        </w:rPr>
        <w:t xml:space="preserve">zinc-dependent </w:t>
      </w:r>
      <w:r w:rsidR="00080339" w:rsidRPr="007721FB">
        <w:rPr>
          <w:rFonts w:ascii="Times New Roman" w:hAnsi="Times New Roman" w:cs="Times New Roman"/>
          <w:sz w:val="24"/>
          <w:szCs w:val="24"/>
        </w:rPr>
        <w:t>proteinases</w:t>
      </w:r>
      <w:r w:rsidR="00696BAA" w:rsidRPr="007721FB">
        <w:rPr>
          <w:rFonts w:ascii="Times New Roman" w:hAnsi="Times New Roman" w:cs="Times New Roman"/>
          <w:sz w:val="24"/>
          <w:szCs w:val="24"/>
        </w:rPr>
        <w:t xml:space="preserve"> are actively implicated in </w:t>
      </w:r>
      <w:r w:rsidR="00BC1D83" w:rsidRPr="007721FB">
        <w:rPr>
          <w:rFonts w:ascii="Times New Roman" w:hAnsi="Times New Roman" w:cs="Times New Roman"/>
          <w:sz w:val="24"/>
          <w:szCs w:val="24"/>
        </w:rPr>
        <w:t xml:space="preserve">bone remodeling and </w:t>
      </w:r>
      <w:r w:rsidR="009C76CB" w:rsidRPr="007721FB">
        <w:rPr>
          <w:rFonts w:ascii="Times New Roman" w:hAnsi="Times New Roman" w:cs="Times New Roman"/>
          <w:sz w:val="24"/>
          <w:szCs w:val="24"/>
        </w:rPr>
        <w:t>are also involved in</w:t>
      </w:r>
      <w:r w:rsidR="00BC1D83" w:rsidRPr="007721FB">
        <w:rPr>
          <w:rFonts w:ascii="Times New Roman" w:hAnsi="Times New Roman" w:cs="Times New Roman"/>
          <w:sz w:val="24"/>
          <w:szCs w:val="24"/>
        </w:rPr>
        <w:t xml:space="preserve"> </w:t>
      </w:r>
      <w:r w:rsidR="00696BAA" w:rsidRPr="007721FB">
        <w:rPr>
          <w:rFonts w:ascii="Times New Roman" w:hAnsi="Times New Roman" w:cs="Times New Roman"/>
          <w:sz w:val="24"/>
          <w:szCs w:val="24"/>
        </w:rPr>
        <w:t>bone</w:t>
      </w:r>
      <w:r w:rsidR="00080339" w:rsidRPr="007721FB">
        <w:rPr>
          <w:rFonts w:ascii="Times New Roman" w:hAnsi="Times New Roman" w:cs="Times New Roman"/>
          <w:sz w:val="24"/>
          <w:szCs w:val="24"/>
        </w:rPr>
        <w:t xml:space="preserve"> cancer</w:t>
      </w:r>
      <w:r w:rsidR="00696BAA" w:rsidRPr="007721FB">
        <w:rPr>
          <w:rFonts w:ascii="Times New Roman" w:hAnsi="Times New Roman" w:cs="Times New Roman"/>
          <w:sz w:val="24"/>
          <w:szCs w:val="24"/>
        </w:rPr>
        <w:t xml:space="preserve"> </w:t>
      </w:r>
      <w:r w:rsidR="00080339" w:rsidRPr="007721FB">
        <w:rPr>
          <w:rFonts w:ascii="Times New Roman" w:hAnsi="Times New Roman" w:cs="Times New Roman"/>
          <w:sz w:val="24"/>
          <w:szCs w:val="24"/>
        </w:rPr>
        <w:t xml:space="preserve">dissemination via degradation of the </w:t>
      </w:r>
      <w:r w:rsidR="00C22B2C" w:rsidRPr="007721FB">
        <w:rPr>
          <w:rFonts w:ascii="Times New Roman" w:hAnsi="Times New Roman" w:cs="Times New Roman"/>
          <w:sz w:val="24"/>
          <w:szCs w:val="24"/>
        </w:rPr>
        <w:t>extracellular matrix</w:t>
      </w:r>
      <w:r w:rsidR="002637E3" w:rsidRPr="007721FB">
        <w:rPr>
          <w:rFonts w:ascii="Times New Roman" w:hAnsi="Times New Roman" w:cs="Times New Roman"/>
          <w:sz w:val="24"/>
          <w:szCs w:val="24"/>
        </w:rPr>
        <w:t xml:space="preserve"> </w:t>
      </w:r>
      <w:r w:rsidR="00696BAA"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"DOI" : "10.1016/j.bone.2010.06.007", "ISBN" : "1873-2763 (Electronic)\\r1873-2763 (Linking)", "ISSN" : "87563282", "PMID" : "20601294", "abstract" : "Bone remodeling is a delicate balancing act between the bone matrix synthesizing osteoblasts and bone resorbing osteoclasts. Active bone metastases typically subvert this process to generate lesions that are comprised of extensive areas of pathological osteogenesis and osteolysis. The resultant increase in bone matrix remodeling enhances cytokine/growth factor bioavailability thus creating a vicious cycle that stimulates tumor progression. Given the extent of matrix remodeling occurring in the tumor-bone microenvironment, the expression of matrix metalloproteinases (MMPs) would be expected, since collectively they have the ability to degrade all components of the extracellular matrix (ECM). However, in addition to being \"matrix bulldozers\", MMPs control the bioavailability and bioactivity of factors such as RANKL and TGF?? that have been described as crucial for tumor-bone interaction, thus implicating MMPs as key regulators of the vicious cycle of bone metastases. ?? 2010 Elsevier Inc.", "author" : [ { "dropping-particle" : "", "family" : "Lynch", "given" : "Conor C.", "non-dropping-particle" : "", "parse-names" : false, "suffix" : "" } ], "container-title" : "Bone", "id" : "ITEM-1", "issue" : "1", "issued" : { "date-parts" : [ [ "2011" ] ] }, "page" : "44-53", "publisher" : "Elsevier Inc.", "title" : "Matrix metalloproteinases as master regulators of the vicious cycle of bone metastasis", "type" : "article-journal", "volume" : "48" }, "uris" : [ "http://www.mendeley.com/documents/?uuid=af03e55e-b78e-4a3b-9500-866aa16ac03e", "http://www.mendeley.com/documents/?uuid=53fb95e3-f3fc-43d4-9b47-2cb354169a3b" ] } ], "mendeley" : { "formattedCitation" : "[73]", "plainTextFormattedCitation" : "[73]", "previouslyFormattedCitation" : "[73]" }, "properties" : { "noteIndex" : 0 }, "schema" : "https://github.com/citation-style-language/schema/raw/master/csl-citation.json" }</w:instrText>
      </w:r>
      <w:r w:rsidR="00696BAA"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[73]</w:t>
      </w:r>
      <w:r w:rsidR="00696BAA" w:rsidRPr="007721FB">
        <w:rPr>
          <w:rFonts w:ascii="Times New Roman" w:hAnsi="Times New Roman" w:cs="Times New Roman"/>
          <w:sz w:val="24"/>
          <w:szCs w:val="24"/>
        </w:rPr>
        <w:fldChar w:fldCharType="end"/>
      </w:r>
      <w:r w:rsidR="00633BE0" w:rsidRPr="007721FB">
        <w:rPr>
          <w:rFonts w:ascii="Times New Roman" w:hAnsi="Times New Roman" w:cs="Times New Roman"/>
          <w:sz w:val="24"/>
          <w:szCs w:val="24"/>
        </w:rPr>
        <w:t>.</w:t>
      </w:r>
      <w:r w:rsidR="00BC1D83" w:rsidRPr="007721FB">
        <w:rPr>
          <w:rFonts w:ascii="Times New Roman" w:hAnsi="Times New Roman" w:cs="Times New Roman"/>
          <w:sz w:val="24"/>
          <w:szCs w:val="24"/>
        </w:rPr>
        <w:t xml:space="preserve"> Osteoclasts are known to express various MMPs</w:t>
      </w:r>
      <w:r w:rsidR="003F35D7" w:rsidRPr="007721FB">
        <w:rPr>
          <w:rFonts w:ascii="Times New Roman" w:hAnsi="Times New Roman" w:cs="Times New Roman"/>
          <w:sz w:val="24"/>
          <w:szCs w:val="24"/>
        </w:rPr>
        <w:t>,</w:t>
      </w:r>
      <w:r w:rsidR="00BC1D83" w:rsidRPr="007721FB">
        <w:rPr>
          <w:rFonts w:ascii="Times New Roman" w:hAnsi="Times New Roman" w:cs="Times New Roman"/>
          <w:sz w:val="24"/>
          <w:szCs w:val="24"/>
        </w:rPr>
        <w:t xml:space="preserve"> including MMP-14</w:t>
      </w:r>
      <w:r w:rsidR="006C7634" w:rsidRPr="007721FB">
        <w:rPr>
          <w:rFonts w:ascii="Times New Roman" w:hAnsi="Times New Roman" w:cs="Times New Roman"/>
          <w:sz w:val="24"/>
          <w:szCs w:val="24"/>
        </w:rPr>
        <w:t>, MMP-12</w:t>
      </w:r>
      <w:r w:rsidR="00BC1D83" w:rsidRPr="007721FB">
        <w:rPr>
          <w:rFonts w:ascii="Times New Roman" w:hAnsi="Times New Roman" w:cs="Times New Roman"/>
          <w:sz w:val="24"/>
          <w:szCs w:val="24"/>
        </w:rPr>
        <w:t xml:space="preserve"> and MMP-9</w:t>
      </w:r>
      <w:r w:rsidR="006C7634"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"DOI" : "10.1016/j.bone.2003.08.011", "ISSN" : "8756-3282", "author" : [ { "dropping-particle" : "", "family" : "Hou", "given" : "Peng", "non-dropping-particle" : "", "parse-names" : false, "suffix" : "" }, { "dropping-particle" : "", "family" : "Troen", "given" : "Tine", "non-dropping-particle" : "", "parse-names" : false, "suffix" : "" }, { "dropping-particle" : "", "family" : "Ovejero", "given" : "Maria C", "non-dropping-particle" : "", "parse-names" : false, "suffix" : "" }, { "dropping-particle" : "", "family" : "Kirkegaard", "given" : "Tove", "non-dropping-particle" : "", "parse-names" : false, "suffix" : "" }, { "dropping-particle" : "", "family" : "Andersen", "given" : "Thomas L", "non-dropping-particle" : "", "parse-names" : false, "suffix" : "" }, { "dropping-particle" : "", "family" : "Byrjalsen", "given" : "Inger", "non-dropping-particle" : "", "parse-names" : false, "suffix" : "" }, { "dropping-particle" : "", "family" : "Ferreras", "given" : "Mercedes", "non-dropping-particle" : "", "parse-names" : false, "suffix" : "" }, { "dropping-particle" : "", "family" : "Sato", "given" : "Takuya", "non-dropping-particle" : "", "parse-names" : false, "suffix" : "" }, { "dropping-particle" : "", "family" : "Shapiro", "given" : "Steven D", "non-dropping-particle" : "", "parse-names" : false, "suffix" : "" }, { "dropping-particle" : "", "family" : "Foged", "given" : "Niels T", "non-dropping-particle" : "", "parse-names" : false, "suffix" : "" }, { "dropping-particle" : "", "family" : "Delaiss\u00e9", "given" : "Jean-Marie", "non-dropping-particle" : "", "parse-names" : false, "suffix" : "" } ], "container-title" : "Bone", "id" : "ITEM-1", "issue" : "1", "issued" : { "date-parts" : [ [ "2017", "10", "11" ] ] }, "note" : "doi: 10.1016/j.bone.2003.08.011", "page" : "37-47", "publisher" : "Elsevier", "title" : "Matrix metalloproteinase-12 (MMP-12) in osteoclasts: new lesson on the involvement of MMPs in bone resorption", "type" : "article-journal", "volume" : "34" }, "uris" : [ "http://www.mendeley.com/documents/?uuid=5e62f769-aadd-4ba5-88a9-7c24ac0ede25" ] } ], "mendeley" : { "formattedCitation" : "[74]", "plainTextFormattedCitation" : "[74]", "previouslyFormattedCitation" : "[74]" }, "properties" : { "noteIndex" : 16 }, "schema" : "https://github.com/citation-style-language/schema/raw/master/csl-citation.json" }</w:instrText>
      </w:r>
      <w:r w:rsidR="006C7634"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[74]</w:t>
      </w:r>
      <w:r w:rsidR="006C7634" w:rsidRPr="007721FB">
        <w:rPr>
          <w:rFonts w:ascii="Times New Roman" w:hAnsi="Times New Roman" w:cs="Times New Roman"/>
          <w:sz w:val="24"/>
          <w:szCs w:val="24"/>
        </w:rPr>
        <w:fldChar w:fldCharType="end"/>
      </w:r>
      <w:r w:rsidR="00BC1D83" w:rsidRPr="007721FB">
        <w:rPr>
          <w:rFonts w:ascii="Times New Roman" w:hAnsi="Times New Roman" w:cs="Times New Roman"/>
          <w:sz w:val="24"/>
          <w:szCs w:val="24"/>
        </w:rPr>
        <w:t>, while osteoblasts are reported to express MMP-13</w:t>
      </w:r>
      <w:r w:rsidR="006C7634" w:rsidRPr="007721FB">
        <w:rPr>
          <w:rFonts w:ascii="Times New Roman" w:hAnsi="Times New Roman" w:cs="Times New Roman"/>
          <w:sz w:val="24"/>
          <w:szCs w:val="24"/>
        </w:rPr>
        <w:t xml:space="preserve"> </w:t>
      </w:r>
      <w:r w:rsidR="006C7634"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"ISSN" : "0021-9258", "author" : [ { "dropping-particle" : "", "family" : "Raggatt", "given" : "Liza J", "non-dropping-particle" : "", "parse-names" : false, "suffix" : "" }, { "dropping-particle" : "", "family" : "Partridge", "given" : "Nicola C", "non-dropping-particle" : "", "parse-names" : false, "suffix" : "" } ], "container-title" : "Journal of Biological Chemistry", "id" : "ITEM-1", "issue" : "33", "issued" : { "date-parts" : [ [ "2010" ] ] }, "page" : "25103-25108", "publisher" : "ASBMB", "title" : "Cellular and molecular mechanisms of bone remodeling", "type" : "article-journal", "volume" : "285" }, "uris" : [ "http://www.mendeley.com/documents/?uuid=02f9a461-5976-4e6b-bfeb-e9c9178bc549" ] } ], "mendeley" : { "formattedCitation" : "[75]", "plainTextFormattedCitation" : "[75]", "previouslyFormattedCitation" : "[75]" }, "properties" : { "noteIndex" : 16 }, "schema" : "https://github.com/citation-style-language/schema/raw/master/csl-citation.json" }</w:instrText>
      </w:r>
      <w:r w:rsidR="006C7634"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[75]</w:t>
      </w:r>
      <w:r w:rsidR="006C7634" w:rsidRPr="007721FB">
        <w:rPr>
          <w:rFonts w:ascii="Times New Roman" w:hAnsi="Times New Roman" w:cs="Times New Roman"/>
          <w:sz w:val="24"/>
          <w:szCs w:val="24"/>
        </w:rPr>
        <w:fldChar w:fldCharType="end"/>
      </w:r>
      <w:r w:rsidR="00BC1D83" w:rsidRPr="007721FB">
        <w:rPr>
          <w:rFonts w:ascii="Times New Roman" w:hAnsi="Times New Roman" w:cs="Times New Roman"/>
          <w:sz w:val="24"/>
          <w:szCs w:val="24"/>
        </w:rPr>
        <w:t xml:space="preserve">. Regarding </w:t>
      </w:r>
      <w:r w:rsidR="006C7634" w:rsidRPr="007721FB">
        <w:rPr>
          <w:rFonts w:ascii="Times New Roman" w:hAnsi="Times New Roman" w:cs="Times New Roman"/>
          <w:sz w:val="24"/>
          <w:szCs w:val="24"/>
        </w:rPr>
        <w:t>MMP-9</w:t>
      </w:r>
      <w:r w:rsidR="00BC1D83" w:rsidRPr="007721FB">
        <w:rPr>
          <w:rFonts w:ascii="Times New Roman" w:hAnsi="Times New Roman" w:cs="Times New Roman"/>
          <w:sz w:val="24"/>
          <w:szCs w:val="24"/>
        </w:rPr>
        <w:t>, some reports</w:t>
      </w:r>
      <w:r w:rsidR="00696BAA" w:rsidRPr="007721FB">
        <w:rPr>
          <w:rFonts w:ascii="Times New Roman" w:hAnsi="Times New Roman" w:cs="Times New Roman"/>
          <w:sz w:val="24"/>
          <w:szCs w:val="24"/>
        </w:rPr>
        <w:t xml:space="preserve"> </w:t>
      </w:r>
      <w:r w:rsidR="00241E8E" w:rsidRPr="007721FB">
        <w:rPr>
          <w:rFonts w:ascii="Times New Roman" w:hAnsi="Times New Roman" w:cs="Times New Roman"/>
          <w:sz w:val="24"/>
          <w:szCs w:val="24"/>
        </w:rPr>
        <w:t>describe the formulation of</w:t>
      </w:r>
      <w:r w:rsidR="00696BAA" w:rsidRPr="007721FB">
        <w:rPr>
          <w:rFonts w:ascii="Times New Roman" w:hAnsi="Times New Roman" w:cs="Times New Roman"/>
          <w:sz w:val="24"/>
          <w:szCs w:val="24"/>
        </w:rPr>
        <w:t xml:space="preserve"> </w:t>
      </w:r>
      <w:r w:rsidR="00633BE0" w:rsidRPr="007721FB">
        <w:rPr>
          <w:rFonts w:ascii="Times New Roman" w:hAnsi="Times New Roman" w:cs="Times New Roman"/>
          <w:sz w:val="24"/>
          <w:szCs w:val="24"/>
        </w:rPr>
        <w:t xml:space="preserve">smart nanocarriers </w:t>
      </w:r>
      <w:r w:rsidR="00C35070" w:rsidRPr="007721FB">
        <w:rPr>
          <w:rFonts w:ascii="Times New Roman" w:hAnsi="Times New Roman" w:cs="Times New Roman"/>
          <w:sz w:val="24"/>
          <w:szCs w:val="24"/>
        </w:rPr>
        <w:t>endowed</w:t>
      </w:r>
      <w:r w:rsidR="00696BAA" w:rsidRPr="007721FB">
        <w:rPr>
          <w:rFonts w:ascii="Times New Roman" w:hAnsi="Times New Roman" w:cs="Times New Roman"/>
          <w:sz w:val="24"/>
          <w:szCs w:val="24"/>
        </w:rPr>
        <w:t xml:space="preserve"> with MMP-9 sensitivity, </w:t>
      </w:r>
      <w:r w:rsidR="00C35070" w:rsidRPr="007721FB">
        <w:rPr>
          <w:rFonts w:ascii="Times New Roman" w:hAnsi="Times New Roman" w:cs="Times New Roman"/>
          <w:sz w:val="24"/>
          <w:szCs w:val="24"/>
        </w:rPr>
        <w:t xml:space="preserve">however </w:t>
      </w:r>
      <w:r w:rsidR="00696BAA" w:rsidRPr="007721FB">
        <w:rPr>
          <w:rFonts w:ascii="Times New Roman" w:hAnsi="Times New Roman" w:cs="Times New Roman"/>
          <w:sz w:val="24"/>
          <w:szCs w:val="24"/>
        </w:rPr>
        <w:t>these are yet to be applied for bone</w:t>
      </w:r>
      <w:r w:rsidR="00241E8E" w:rsidRPr="007721FB">
        <w:rPr>
          <w:rFonts w:ascii="Times New Roman" w:hAnsi="Times New Roman" w:cs="Times New Roman"/>
          <w:sz w:val="24"/>
          <w:szCs w:val="24"/>
        </w:rPr>
        <w:t>-specific</w:t>
      </w:r>
      <w:r w:rsidR="00696BAA" w:rsidRPr="007721FB">
        <w:rPr>
          <w:rFonts w:ascii="Times New Roman" w:hAnsi="Times New Roman" w:cs="Times New Roman"/>
          <w:sz w:val="24"/>
          <w:szCs w:val="24"/>
        </w:rPr>
        <w:t xml:space="preserve"> delivery</w:t>
      </w:r>
      <w:r w:rsidR="00633BE0" w:rsidRPr="007721FB">
        <w:rPr>
          <w:rFonts w:ascii="Times New Roman" w:hAnsi="Times New Roman" w:cs="Times New Roman"/>
          <w:sz w:val="24"/>
          <w:szCs w:val="24"/>
        </w:rPr>
        <w:t xml:space="preserve"> </w:t>
      </w:r>
      <w:r w:rsidR="00696BAA"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"DOI" : "10.1021/bc070081p", "ISBN" : "7012318333", "ISSN" : "10431802", "PMID" : "18078309", "abstract" : "We offer a novel methodology for formulating liposomes by incorporating sequence-specific collagen-mimetic peptides such that they are specifically \"uncorked\" by a matrix metalloproteinase, MMP-9. By encapsulating carboxyfluorescein (as a self-quenching fluorescent dye), we demonstrate that the time-dependent release of the dye from liposomes is due to the specific enzymatic cleavage of the surface-exposed collagen-mimetic peptides. The specificity of such cleavage is attested by the fact that the liposomal \"uncorking\" and their content release occur only by MMP-9 and not by a general proteolytic enzyme, trypsin, despite the fact that the collagen mimetic peptides contain the trypsin cleavage site. The mechanistic details underlying the formulations of liposomes and their enzyme-selective \"uncorking\" and content release are discussed. Arguments are presented that such liposomes can be fine-tuned to serve as the drug delivery vehicles for the detection and treatment of various human diseases, which occur due to the overexpression of a variety of pathogenic matrix metalloproteinases.", "author" : [ { "dropping-particle" : "", "family" : "Sarkar", "given" : "Nihar", "non-dropping-particle" : "", "parse-names" : false, "suffix" : "" }, { "dropping-particle" : "", "family" : "Banerjee", "given" : "Jayati", "non-dropping-particle" : "", "parse-names" : false, "suffix" : "" }, { "dropping-particle" : "", "family" : "Hanson", "given" : "Andrea J.", "non-dropping-particle" : "", "parse-names" : false, "suffix" : "" }, { "dropping-particle" : "", "family" : "Elegbede", "given" : "Adekunle I.", "non-dropping-particle" : "", "parse-names" : false, "suffix" : "" }, { "dropping-particle" : "", "family" : "Rosendahl", "given" : "Theresa", "non-dropping-particle" : "", "parse-names" : false, "suffix" : "" }, { "dropping-particle" : "", "family" : "Krueger", "given" : "Aaron B.", "non-dropping-particle" : "", "parse-names" : false, "suffix" : "" }, { "dropping-particle" : "", "family" : "Banerjee", "given" : "Abir L.", "non-dropping-particle" : "", "parse-names" : false, "suffix" : "" }, { "dropping-particle" : "", "family" : "Tobwala", "given" : "Shakila", "non-dropping-particle" : "", "parse-names" : false, "suffix" : "" }, { "dropping-particle" : "", "family" : "Wang", "given" : "Rongying", "non-dropping-particle" : "", "parse-names" : false, "suffix" : "" }, { "dropping-particle" : "", "family" : "Lu", "given" : "Xiaoning", "non-dropping-particle" : "", "parse-names" : false, "suffix" : "" }, { "dropping-particle" : "", "family" : "Mallik", "given" : "Sanku", "non-dropping-particle" : "", "parse-names" : false, "suffix" : "" }, { "dropping-particle" : "", "family" : "Srivastava", "given" : "D. K.", "non-dropping-particle" : "", "parse-names" : false, "suffix" : "" } ], "container-title" : "Bioconjugate Chemistry", "id" : "ITEM-1", "issue" : "1", "issued" : { "date-parts" : [ [ "2008" ] ] }, "page" : "57-64", "title" : "Matrix metalloproteinase-assisted triggered release of liposomal contents", "type" : "article-journal", "volume" : "19" }, "uris" : [ "http://www.mendeley.com/documents/?uuid=6ac76ff2-46c3-4dcc-8f22-4e6674e9eec3", "http://www.mendeley.com/documents/?uuid=0309708e-9c35-4aa9-bbb5-b351cae33fef" ] }, { "id" : "ITEM-2", "itemData" : { "ISSN" : "1543-8384", "author" : [ { "dropping-particle" : "", "family" : "Kulkarni", "given" : "Prajakta S", "non-dropping-particle" : "", "parse-names" : false, "suffix" : "" }, { "dropping-particle" : "", "family" : "Haldar", "given" : "Manas K", "non-dropping-particle" : "", "parse-names" : false, "suffix" : "" }, { "dropping-particle" : "", "family" : "Nahire", "given" : "Rahul R", "non-dropping-particle" : "", "parse-names" : false, "suffix" : "" }, { "dropping-particle" : "", "family" : "Katti", "given" : "Preeya", "non-dropping-particle" : "", "parse-names" : false, "suffix" : "" }, { "dropping-particle" : "", "family" : "Ambre", "given" : "Avinash H", "non-dropping-particle" : "", "parse-names" : false, "suffix" : "" }, { "dropping-particle" : "", "family" : "Muhonen", "given" : "Wallace W", "non-dropping-particle" : "", "parse-names" : false, "suffix" : "" }, { "dropping-particle" : "", "family" : "Shabb", "given" : "John B", "non-dropping-particle" : "", "parse-names" : false, "suffix" : "" }, { "dropping-particle" : "", "family" : "Padi", "given" : "Sathish K R", "non-dropping-particle" : "", "parse-names" : false, "suffix" : "" }, { "dropping-particle" : "", "family" : "Singh", "given" : "Raushan K", "non-dropping-particle" : "", "parse-names" : false, "suffix" : "" }, { "dropping-particle" : "", "family" : "Borowicz", "given" : "Pawel P", "non-dropping-particle" : "", "parse-names" : false, "suffix" : "" } ], "container-title" : "Molecular pharmaceutics", "id" : "ITEM-2", "issue" : "7", "issued" : { "date-parts" : [ [ "2014" ] ] }, "page" : "2390-2399", "publisher" : "ACS Publications", "title" : "MMP-9 responsive PEG cleavable nanovesicles for efficient delivery of chemotherapeutics to pancreatic cancer", "type" : "article-journal", "volume" : "11" }, "uris" : [ "http://www.mendeley.com/documents/?uuid=4a4fb2a6-d717-417f-9299-ac0d2f3a8e2a" ] } ], "mendeley" : { "formattedCitation" : "[76,77]", "plainTextFormattedCitation" : "[76,77]", "previouslyFormattedCitation" : "[76,77]" }, "properties" : { "noteIndex" : 0 }, "schema" : "https://github.com/citation-style-language/schema/raw/master/csl-citation.json" }</w:instrText>
      </w:r>
      <w:r w:rsidR="00696BAA"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[76,77]</w:t>
      </w:r>
      <w:r w:rsidR="00696BAA" w:rsidRPr="007721FB">
        <w:rPr>
          <w:rFonts w:ascii="Times New Roman" w:hAnsi="Times New Roman" w:cs="Times New Roman"/>
          <w:sz w:val="24"/>
          <w:szCs w:val="24"/>
        </w:rPr>
        <w:fldChar w:fldCharType="end"/>
      </w:r>
      <w:r w:rsidR="00633BE0" w:rsidRPr="007721FB">
        <w:rPr>
          <w:rFonts w:ascii="Times New Roman" w:hAnsi="Times New Roman" w:cs="Times New Roman"/>
          <w:sz w:val="24"/>
          <w:szCs w:val="24"/>
        </w:rPr>
        <w:t>.</w:t>
      </w:r>
      <w:r w:rsidR="00696BAA" w:rsidRPr="007721FB">
        <w:rPr>
          <w:rFonts w:ascii="Times New Roman" w:hAnsi="Times New Roman" w:cs="Times New Roman"/>
          <w:sz w:val="24"/>
          <w:szCs w:val="24"/>
        </w:rPr>
        <w:t xml:space="preserve"> </w:t>
      </w:r>
      <w:r w:rsidR="00C35070" w:rsidRPr="007721FB">
        <w:rPr>
          <w:rFonts w:ascii="Times New Roman" w:hAnsi="Times New Roman" w:cs="Times New Roman"/>
          <w:sz w:val="24"/>
          <w:szCs w:val="24"/>
        </w:rPr>
        <w:t>Since</w:t>
      </w:r>
      <w:r w:rsidR="00696BAA" w:rsidRPr="007721FB">
        <w:rPr>
          <w:rFonts w:ascii="Times New Roman" w:hAnsi="Times New Roman" w:cs="Times New Roman"/>
          <w:sz w:val="24"/>
          <w:szCs w:val="24"/>
        </w:rPr>
        <w:t xml:space="preserve"> MMP-9 is highly expressed in regenerating bone</w:t>
      </w:r>
      <w:r w:rsidR="00C35070" w:rsidRPr="007721FB">
        <w:rPr>
          <w:rFonts w:ascii="Times New Roman" w:hAnsi="Times New Roman" w:cs="Times New Roman"/>
          <w:sz w:val="24"/>
          <w:szCs w:val="24"/>
        </w:rPr>
        <w:t xml:space="preserve"> tissues (e.g., upon fracture)</w:t>
      </w:r>
      <w:r w:rsidR="00696BAA" w:rsidRPr="007721FB">
        <w:rPr>
          <w:rFonts w:ascii="Times New Roman" w:hAnsi="Times New Roman" w:cs="Times New Roman"/>
          <w:sz w:val="24"/>
          <w:szCs w:val="24"/>
        </w:rPr>
        <w:t xml:space="preserve">, the </w:t>
      </w:r>
      <w:r w:rsidR="00C35070" w:rsidRPr="007721FB">
        <w:rPr>
          <w:rFonts w:ascii="Times New Roman" w:hAnsi="Times New Roman" w:cs="Times New Roman"/>
          <w:sz w:val="24"/>
          <w:szCs w:val="24"/>
        </w:rPr>
        <w:t xml:space="preserve">stimuli-responsive </w:t>
      </w:r>
      <w:r w:rsidR="00633BE0" w:rsidRPr="007721FB">
        <w:rPr>
          <w:rFonts w:ascii="Times New Roman" w:hAnsi="Times New Roman" w:cs="Times New Roman"/>
          <w:sz w:val="24"/>
          <w:szCs w:val="24"/>
        </w:rPr>
        <w:t xml:space="preserve">carriers </w:t>
      </w:r>
      <w:r w:rsidR="006C7634" w:rsidRPr="007721FB">
        <w:rPr>
          <w:rFonts w:ascii="Times New Roman" w:hAnsi="Times New Roman" w:cs="Times New Roman"/>
          <w:sz w:val="24"/>
          <w:szCs w:val="24"/>
        </w:rPr>
        <w:t>could</w:t>
      </w:r>
      <w:r w:rsidR="00696BAA" w:rsidRPr="007721FB">
        <w:rPr>
          <w:rFonts w:ascii="Times New Roman" w:hAnsi="Times New Roman" w:cs="Times New Roman"/>
          <w:sz w:val="24"/>
          <w:szCs w:val="24"/>
        </w:rPr>
        <w:t xml:space="preserve"> enhancing bone regeneration when loaded with appropriate osteoinductive</w:t>
      </w:r>
      <w:r w:rsidR="00633BE0" w:rsidRPr="007721FB">
        <w:rPr>
          <w:rFonts w:ascii="Times New Roman" w:hAnsi="Times New Roman" w:cs="Times New Roman"/>
          <w:sz w:val="24"/>
          <w:szCs w:val="24"/>
        </w:rPr>
        <w:t>/pro-regenerative</w:t>
      </w:r>
      <w:r w:rsidR="00696BAA" w:rsidRPr="007721FB">
        <w:rPr>
          <w:rFonts w:ascii="Times New Roman" w:hAnsi="Times New Roman" w:cs="Times New Roman"/>
          <w:sz w:val="24"/>
          <w:szCs w:val="24"/>
        </w:rPr>
        <w:t xml:space="preserve"> factors</w:t>
      </w:r>
      <w:r w:rsidR="002637E3" w:rsidRPr="007721FB">
        <w:rPr>
          <w:rFonts w:ascii="Times New Roman" w:hAnsi="Times New Roman" w:cs="Times New Roman"/>
          <w:sz w:val="24"/>
          <w:szCs w:val="24"/>
        </w:rPr>
        <w:t xml:space="preserve"> </w:t>
      </w:r>
      <w:r w:rsidR="00696BAA"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"DOI" : "10.1038/nrm2125", "ISBN" : "1471-0072 (Print) 1471-0072 (Linking)", "ISSN" : "1471-0072", "PMID" : "17318226", "abstract" : "Matrix metalloproteinases (MMPs) were discovered because of their role in amphibian metamorphosis, yet they have attracted more attention because of their roles in disease. Despite intensive scrutiny in vitro, in cell culture and in animal models, the normal physiological roles of these extracellular proteases have been elusive. Recent studies in mice and flies point to essential roles of MMPs as mediators of change and physical adaptation in tissues, whether developmentally regulated, environmentally induced or disease associated.", "author" : [ { "dropping-particle" : "", "family" : "Page-McCaw", "given" : "Andrea", "non-dropping-particle" : "", "parse-names" : false, "suffix" : "" }, { "dropping-particle" : "", "family" : "Ewald", "given" : "Andrew J", "non-dropping-particle" : "", "parse-names" : false, "suffix" : "" }, { "dropping-particle" : "", "family" : "Werb", "given" : "Zena", "non-dropping-particle" : "", "parse-names" : false, "suffix" : "" } ], "container-title" : "Nature reviews. Molecular cell biology", "id" : "ITEM-1", "issue" : "3", "issued" : { "date-parts" : [ [ "2007" ] ] }, "page" : "221-33", "title" : "Matrix metalloproteinases and the regulation of tissue remodelling.", "type" : "article-journal", "volume" : "8" }, "uris" : [ "http://www.mendeley.com/documents/?uuid=05c84994-ec3e-4351-a62e-ae86b0d8c41d", "http://www.mendeley.com/documents/?uuid=0c846c5d-b97a-4f31-b826-b851ce20e237" ] } ], "mendeley" : { "formattedCitation" : "[78]", "plainTextFormattedCitation" : "[78]", "previouslyFormattedCitation" : "[78]" }, "properties" : { "noteIndex" : 0 }, "schema" : "https://github.com/citation-style-language/schema/raw/master/csl-citation.json" }</w:instrText>
      </w:r>
      <w:r w:rsidR="00696BAA"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[78]</w:t>
      </w:r>
      <w:r w:rsidR="00696BAA" w:rsidRPr="007721FB">
        <w:rPr>
          <w:rFonts w:ascii="Times New Roman" w:hAnsi="Times New Roman" w:cs="Times New Roman"/>
          <w:sz w:val="24"/>
          <w:szCs w:val="24"/>
        </w:rPr>
        <w:fldChar w:fldCharType="end"/>
      </w:r>
      <w:r w:rsidR="002637E3" w:rsidRPr="007721FB">
        <w:rPr>
          <w:rFonts w:ascii="Times New Roman" w:hAnsi="Times New Roman" w:cs="Times New Roman"/>
          <w:sz w:val="24"/>
          <w:szCs w:val="24"/>
        </w:rPr>
        <w:t>.</w:t>
      </w:r>
      <w:r w:rsidR="00696BAA" w:rsidRPr="007721FB">
        <w:rPr>
          <w:rFonts w:ascii="Times New Roman" w:hAnsi="Times New Roman" w:cs="Times New Roman"/>
          <w:sz w:val="24"/>
          <w:szCs w:val="24"/>
        </w:rPr>
        <w:t xml:space="preserve"> </w:t>
      </w:r>
      <w:r w:rsidR="00752C20" w:rsidRPr="007721FB">
        <w:rPr>
          <w:rFonts w:ascii="Times New Roman" w:hAnsi="Times New Roman" w:cs="Times New Roman"/>
          <w:sz w:val="24"/>
          <w:szCs w:val="24"/>
        </w:rPr>
        <w:t>In the context of bone malignancies</w:t>
      </w:r>
      <w:r w:rsidR="00696BAA" w:rsidRPr="007721FB">
        <w:rPr>
          <w:rFonts w:ascii="Times New Roman" w:hAnsi="Times New Roman" w:cs="Times New Roman"/>
          <w:sz w:val="24"/>
          <w:szCs w:val="24"/>
        </w:rPr>
        <w:t xml:space="preserve">, Liu </w:t>
      </w:r>
      <w:r w:rsidR="00490763" w:rsidRPr="007721FB">
        <w:rPr>
          <w:rFonts w:ascii="Times New Roman" w:hAnsi="Times New Roman" w:cs="Times New Roman"/>
          <w:sz w:val="24"/>
          <w:szCs w:val="24"/>
        </w:rPr>
        <w:t>and his team</w:t>
      </w:r>
      <w:r w:rsidR="00696BAA" w:rsidRPr="007721FB">
        <w:rPr>
          <w:rFonts w:ascii="Times New Roman" w:hAnsi="Times New Roman" w:cs="Times New Roman"/>
          <w:sz w:val="24"/>
          <w:szCs w:val="24"/>
        </w:rPr>
        <w:t xml:space="preserve"> developed MMP-7-sensitive photodynamic mole</w:t>
      </w:r>
      <w:r w:rsidR="000636DB" w:rsidRPr="007721FB">
        <w:rPr>
          <w:rFonts w:ascii="Times New Roman" w:hAnsi="Times New Roman" w:cs="Times New Roman"/>
          <w:sz w:val="24"/>
          <w:szCs w:val="24"/>
        </w:rPr>
        <w:t>cular beacon</w:t>
      </w:r>
      <w:r w:rsidR="00752C20" w:rsidRPr="007721FB">
        <w:rPr>
          <w:rFonts w:ascii="Times New Roman" w:hAnsi="Times New Roman" w:cs="Times New Roman"/>
          <w:sz w:val="24"/>
          <w:szCs w:val="24"/>
        </w:rPr>
        <w:t>s</w:t>
      </w:r>
      <w:r w:rsidR="000636DB" w:rsidRPr="007721FB">
        <w:rPr>
          <w:rFonts w:ascii="Times New Roman" w:hAnsi="Times New Roman" w:cs="Times New Roman"/>
          <w:sz w:val="24"/>
          <w:szCs w:val="24"/>
        </w:rPr>
        <w:t xml:space="preserve"> that achieved </w:t>
      </w:r>
      <w:r w:rsidR="00752C20" w:rsidRPr="007721FB">
        <w:rPr>
          <w:rFonts w:ascii="Times New Roman" w:hAnsi="Times New Roman" w:cs="Times New Roman"/>
          <w:sz w:val="24"/>
          <w:szCs w:val="24"/>
        </w:rPr>
        <w:t>tumor reduction</w:t>
      </w:r>
      <w:r w:rsidR="00696BAA" w:rsidRPr="007721FB">
        <w:rPr>
          <w:rFonts w:ascii="Times New Roman" w:hAnsi="Times New Roman" w:cs="Times New Roman"/>
          <w:sz w:val="24"/>
          <w:szCs w:val="24"/>
        </w:rPr>
        <w:t xml:space="preserve"> in a vertebral model </w:t>
      </w:r>
      <w:r w:rsidR="00752C20" w:rsidRPr="007721FB">
        <w:rPr>
          <w:rFonts w:ascii="Times New Roman" w:hAnsi="Times New Roman" w:cs="Times New Roman"/>
          <w:sz w:val="24"/>
          <w:szCs w:val="24"/>
        </w:rPr>
        <w:t xml:space="preserve">of </w:t>
      </w:r>
      <w:r w:rsidR="00696BAA" w:rsidRPr="007721FB">
        <w:rPr>
          <w:rFonts w:ascii="Times New Roman" w:hAnsi="Times New Roman" w:cs="Times New Roman"/>
          <w:sz w:val="24"/>
          <w:szCs w:val="24"/>
        </w:rPr>
        <w:t>osteolytic bone metastas</w:t>
      </w:r>
      <w:r w:rsidR="00752C20" w:rsidRPr="007721FB">
        <w:rPr>
          <w:rFonts w:ascii="Times New Roman" w:hAnsi="Times New Roman" w:cs="Times New Roman"/>
          <w:sz w:val="24"/>
          <w:szCs w:val="24"/>
        </w:rPr>
        <w:t>i</w:t>
      </w:r>
      <w:r w:rsidR="00696BAA" w:rsidRPr="007721FB">
        <w:rPr>
          <w:rFonts w:ascii="Times New Roman" w:hAnsi="Times New Roman" w:cs="Times New Roman"/>
          <w:sz w:val="24"/>
          <w:szCs w:val="24"/>
        </w:rPr>
        <w:t>s</w:t>
      </w:r>
      <w:r w:rsidR="002637E3" w:rsidRPr="007721FB">
        <w:rPr>
          <w:rFonts w:ascii="Times New Roman" w:hAnsi="Times New Roman" w:cs="Times New Roman"/>
          <w:sz w:val="24"/>
          <w:szCs w:val="24"/>
        </w:rPr>
        <w:t xml:space="preserve"> </w:t>
      </w:r>
      <w:r w:rsidR="00696BAA"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"DOI" : "10.1039/C5PP00414D", "ISSN" : "1474-905X", "author" : [ { "dropping-particle" : "", "family" : "Liu", "given" : "T. W.", "non-dropping-particle" : "", "parse-names" : false, "suffix" : "" }, { "dropping-particle" : "", "family" : "Akens", "given" : "M. K.", "non-dropping-particle" : "", "parse-names" : false, "suffix" : "" }, { "dropping-particle" : "", "family" : "Chen", "given" : "J.", "non-dropping-particle" : "", "parse-names" : false, "suffix" : "" }, { "dropping-particle" : "", "family" : "Wilson", "given" : "B. C.", "non-dropping-particle" : "", "parse-names" : false, "suffix" : "" }, { "dropping-particle" : "", "family" : "Zheng", "given" : "G.", "non-dropping-particle" : "", "parse-names" : false, "suffix" : "" } ], "container-title" : "Photochem. Photobiol. Sci.", "id" : "ITEM-1", "issue" : "3", "issued" : { "date-parts" : [ [ "2016" ] ] }, "page" : "375-381", "title" : "Matrix metalloproteinase-based photodynamic molecular beacons for targeted destruction of bone metastases in vivo", "type" : "article-journal", "volume" : "15" }, "uris" : [ "http://www.mendeley.com/documents/?uuid=b6134794-712c-4ef9-8291-29f157751b14", "http://www.mendeley.com/documents/?uuid=cec9bc90-4a49-4377-bede-2bfbcff18204" ] } ], "mendeley" : { "formattedCitation" : "[79]", "plainTextFormattedCitation" : "[79]", "previouslyFormattedCitation" : "[79]" }, "properties" : { "noteIndex" : 0 }, "schema" : "https://github.com/citation-style-language/schema/raw/master/csl-citation.json" }</w:instrText>
      </w:r>
      <w:r w:rsidR="00696BAA"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[79]</w:t>
      </w:r>
      <w:r w:rsidR="00696BAA" w:rsidRPr="007721FB">
        <w:rPr>
          <w:rFonts w:ascii="Times New Roman" w:hAnsi="Times New Roman" w:cs="Times New Roman"/>
          <w:sz w:val="24"/>
          <w:szCs w:val="24"/>
        </w:rPr>
        <w:fldChar w:fldCharType="end"/>
      </w:r>
      <w:r w:rsidR="002637E3" w:rsidRPr="007721FB">
        <w:rPr>
          <w:rFonts w:ascii="Times New Roman" w:hAnsi="Times New Roman" w:cs="Times New Roman"/>
          <w:sz w:val="24"/>
          <w:szCs w:val="24"/>
        </w:rPr>
        <w:t>.</w:t>
      </w:r>
    </w:p>
    <w:p w14:paraId="3A7CD48F" w14:textId="411C4797" w:rsidR="00CF5CA8" w:rsidRPr="007721FB" w:rsidRDefault="002637E3" w:rsidP="00D867DF">
      <w:pPr>
        <w:spacing w:after="0" w:line="240" w:lineRule="auto"/>
        <w:jc w:val="both"/>
        <w:rPr>
          <w:rFonts w:ascii="Times New Roman" w:hAnsi="Times New Roman" w:cs="Times New Roman"/>
          <w:sz w:val="24"/>
          <w:szCs w:val="24"/>
        </w:rPr>
      </w:pPr>
      <w:r w:rsidRPr="007721FB">
        <w:rPr>
          <w:rFonts w:ascii="Times New Roman" w:hAnsi="Times New Roman" w:cs="Times New Roman"/>
          <w:sz w:val="24"/>
          <w:szCs w:val="24"/>
        </w:rPr>
        <w:t xml:space="preserve">   </w:t>
      </w:r>
      <w:r w:rsidR="007B1290" w:rsidRPr="007721FB">
        <w:rPr>
          <w:rFonts w:ascii="Times New Roman" w:hAnsi="Times New Roman" w:cs="Times New Roman"/>
          <w:sz w:val="24"/>
          <w:szCs w:val="24"/>
        </w:rPr>
        <w:t xml:space="preserve">Hyaluronic acid-based nanocarriers </w:t>
      </w:r>
      <w:r w:rsidR="0089011F" w:rsidRPr="007721FB">
        <w:rPr>
          <w:rFonts w:ascii="Times New Roman" w:hAnsi="Times New Roman" w:cs="Times New Roman"/>
          <w:sz w:val="24"/>
          <w:szCs w:val="24"/>
        </w:rPr>
        <w:t>may also be</w:t>
      </w:r>
      <w:r w:rsidR="007B1290" w:rsidRPr="007721FB">
        <w:rPr>
          <w:rFonts w:ascii="Times New Roman" w:hAnsi="Times New Roman" w:cs="Times New Roman"/>
          <w:sz w:val="24"/>
          <w:szCs w:val="24"/>
        </w:rPr>
        <w:t xml:space="preserve"> explored for stimuli-responsive release</w:t>
      </w:r>
      <w:r w:rsidR="0089011F" w:rsidRPr="007721FB">
        <w:rPr>
          <w:rFonts w:ascii="Times New Roman" w:hAnsi="Times New Roman" w:cs="Times New Roman"/>
          <w:sz w:val="24"/>
          <w:szCs w:val="24"/>
        </w:rPr>
        <w:t xml:space="preserve"> in a disease-specific mode since </w:t>
      </w:r>
      <w:r w:rsidR="007B1290" w:rsidRPr="007721FB">
        <w:rPr>
          <w:rFonts w:ascii="Times New Roman" w:hAnsi="Times New Roman" w:cs="Times New Roman"/>
          <w:sz w:val="24"/>
          <w:szCs w:val="24"/>
        </w:rPr>
        <w:t>hyaluronidase</w:t>
      </w:r>
      <w:r w:rsidR="0089011F" w:rsidRPr="007721FB">
        <w:rPr>
          <w:rFonts w:ascii="Times New Roman" w:hAnsi="Times New Roman" w:cs="Times New Roman"/>
          <w:sz w:val="24"/>
          <w:szCs w:val="24"/>
        </w:rPr>
        <w:t xml:space="preserve"> is present in some bone disorders</w:t>
      </w:r>
      <w:r w:rsidR="00200BC5" w:rsidRPr="007721FB">
        <w:rPr>
          <w:rFonts w:ascii="Times New Roman" w:hAnsi="Times New Roman" w:cs="Times New Roman"/>
          <w:sz w:val="24"/>
          <w:szCs w:val="24"/>
        </w:rPr>
        <w:t xml:space="preserve">. </w:t>
      </w:r>
      <w:r w:rsidR="00CF5CA8" w:rsidRPr="007721FB">
        <w:rPr>
          <w:rFonts w:ascii="Times New Roman" w:hAnsi="Times New Roman" w:cs="Times New Roman"/>
          <w:sz w:val="24"/>
          <w:szCs w:val="24"/>
        </w:rPr>
        <w:t>T</w:t>
      </w:r>
      <w:r w:rsidR="00096A03" w:rsidRPr="007721FB">
        <w:rPr>
          <w:rFonts w:ascii="Times New Roman" w:hAnsi="Times New Roman" w:cs="Times New Roman"/>
          <w:sz w:val="24"/>
          <w:szCs w:val="24"/>
        </w:rPr>
        <w:t xml:space="preserve">his enzyme is secreted by </w:t>
      </w:r>
      <w:r w:rsidR="004A4A23" w:rsidRPr="007721FB">
        <w:rPr>
          <w:rFonts w:ascii="Times New Roman" w:hAnsi="Times New Roman" w:cs="Times New Roman"/>
          <w:i/>
          <w:sz w:val="24"/>
          <w:szCs w:val="24"/>
        </w:rPr>
        <w:t>Staphylococcus aureus</w:t>
      </w:r>
      <w:r w:rsidR="00CF5CA8" w:rsidRPr="007721FB">
        <w:rPr>
          <w:rFonts w:ascii="Times New Roman" w:hAnsi="Times New Roman" w:cs="Times New Roman"/>
          <w:sz w:val="24"/>
          <w:szCs w:val="24"/>
        </w:rPr>
        <w:t xml:space="preserve">, </w:t>
      </w:r>
      <w:r w:rsidR="003F35D7" w:rsidRPr="007721FB">
        <w:rPr>
          <w:rFonts w:ascii="Times New Roman" w:hAnsi="Times New Roman" w:cs="Times New Roman"/>
          <w:sz w:val="24"/>
          <w:szCs w:val="24"/>
        </w:rPr>
        <w:t>the</w:t>
      </w:r>
      <w:r w:rsidR="00CF5CA8" w:rsidRPr="007721FB">
        <w:rPr>
          <w:rFonts w:ascii="Times New Roman" w:hAnsi="Times New Roman" w:cs="Times New Roman"/>
          <w:sz w:val="24"/>
          <w:szCs w:val="24"/>
        </w:rPr>
        <w:t xml:space="preserve"> </w:t>
      </w:r>
      <w:r w:rsidR="003F35D7" w:rsidRPr="007721FB">
        <w:rPr>
          <w:rFonts w:ascii="Times New Roman" w:hAnsi="Times New Roman" w:cs="Times New Roman"/>
          <w:sz w:val="24"/>
          <w:szCs w:val="24"/>
        </w:rPr>
        <w:t>main bacterial</w:t>
      </w:r>
      <w:r w:rsidR="0089011F" w:rsidRPr="007721FB">
        <w:rPr>
          <w:rFonts w:ascii="Times New Roman" w:hAnsi="Times New Roman" w:cs="Times New Roman"/>
          <w:sz w:val="24"/>
          <w:szCs w:val="24"/>
        </w:rPr>
        <w:t xml:space="preserve"> </w:t>
      </w:r>
      <w:r w:rsidR="00C76A5C" w:rsidRPr="007721FB">
        <w:rPr>
          <w:rFonts w:ascii="Times New Roman" w:hAnsi="Times New Roman" w:cs="Times New Roman"/>
          <w:sz w:val="24"/>
          <w:szCs w:val="24"/>
        </w:rPr>
        <w:t>path</w:t>
      </w:r>
      <w:r w:rsidR="005E12B6" w:rsidRPr="007721FB">
        <w:rPr>
          <w:rFonts w:ascii="Times New Roman" w:hAnsi="Times New Roman" w:cs="Times New Roman"/>
          <w:sz w:val="24"/>
          <w:szCs w:val="24"/>
        </w:rPr>
        <w:t xml:space="preserve">ogen </w:t>
      </w:r>
      <w:r w:rsidR="0089011F" w:rsidRPr="007721FB">
        <w:rPr>
          <w:rFonts w:ascii="Times New Roman" w:hAnsi="Times New Roman" w:cs="Times New Roman"/>
          <w:sz w:val="24"/>
          <w:szCs w:val="24"/>
        </w:rPr>
        <w:t>for</w:t>
      </w:r>
      <w:r w:rsidR="005E12B6" w:rsidRPr="007721FB">
        <w:rPr>
          <w:rFonts w:ascii="Times New Roman" w:hAnsi="Times New Roman" w:cs="Times New Roman"/>
          <w:sz w:val="24"/>
          <w:szCs w:val="24"/>
        </w:rPr>
        <w:t xml:space="preserve"> </w:t>
      </w:r>
      <w:r w:rsidR="005E12B6" w:rsidRPr="007721FB">
        <w:rPr>
          <w:rFonts w:ascii="Times New Roman" w:hAnsi="Times New Roman" w:cs="Times New Roman"/>
          <w:sz w:val="24"/>
          <w:szCs w:val="24"/>
        </w:rPr>
        <w:lastRenderedPageBreak/>
        <w:t>osteomyelitis</w:t>
      </w:r>
      <w:r w:rsidR="00200BC5" w:rsidRPr="007721FB">
        <w:rPr>
          <w:rFonts w:ascii="Times New Roman" w:hAnsi="Times New Roman" w:cs="Times New Roman"/>
          <w:sz w:val="24"/>
          <w:szCs w:val="24"/>
        </w:rPr>
        <w:t>.</w:t>
      </w:r>
      <w:r w:rsidR="00733CBF" w:rsidRPr="007721FB">
        <w:rPr>
          <w:rFonts w:ascii="Times New Roman" w:hAnsi="Times New Roman" w:cs="Times New Roman"/>
          <w:sz w:val="24"/>
          <w:szCs w:val="24"/>
        </w:rPr>
        <w:t xml:space="preserve"> The infectious</w:t>
      </w:r>
      <w:r w:rsidR="001F2361" w:rsidRPr="007721FB">
        <w:rPr>
          <w:rFonts w:ascii="Times New Roman" w:hAnsi="Times New Roman" w:cs="Times New Roman"/>
          <w:sz w:val="24"/>
          <w:szCs w:val="24"/>
        </w:rPr>
        <w:t xml:space="preserve"> </w:t>
      </w:r>
      <w:r w:rsidR="00733CBF" w:rsidRPr="007721FB">
        <w:rPr>
          <w:rFonts w:ascii="Times New Roman" w:hAnsi="Times New Roman" w:cs="Times New Roman"/>
          <w:sz w:val="24"/>
          <w:szCs w:val="24"/>
        </w:rPr>
        <w:t>microenvironment</w:t>
      </w:r>
      <w:r w:rsidR="001F2361" w:rsidRPr="007721FB">
        <w:rPr>
          <w:rFonts w:ascii="Times New Roman" w:hAnsi="Times New Roman" w:cs="Times New Roman"/>
          <w:sz w:val="24"/>
          <w:szCs w:val="24"/>
        </w:rPr>
        <w:t xml:space="preserve"> of osteomyelitis</w:t>
      </w:r>
      <w:r w:rsidR="00733CBF" w:rsidRPr="007721FB">
        <w:rPr>
          <w:rFonts w:ascii="Times New Roman" w:hAnsi="Times New Roman" w:cs="Times New Roman"/>
          <w:sz w:val="24"/>
          <w:szCs w:val="24"/>
        </w:rPr>
        <w:t xml:space="preserve"> is characterized by</w:t>
      </w:r>
      <w:r w:rsidR="00200BC5" w:rsidRPr="007721FB">
        <w:rPr>
          <w:rFonts w:ascii="Times New Roman" w:hAnsi="Times New Roman" w:cs="Times New Roman"/>
          <w:sz w:val="24"/>
          <w:szCs w:val="24"/>
        </w:rPr>
        <w:t xml:space="preserve"> </w:t>
      </w:r>
      <w:r w:rsidR="00733CBF" w:rsidRPr="007721FB">
        <w:rPr>
          <w:rFonts w:ascii="Times New Roman" w:hAnsi="Times New Roman" w:cs="Times New Roman"/>
          <w:sz w:val="24"/>
          <w:szCs w:val="24"/>
        </w:rPr>
        <w:t xml:space="preserve">a marked reduction in local pH, as well as the local presence of specific glycosidases, </w:t>
      </w:r>
      <w:r w:rsidR="00CC1407" w:rsidRPr="007721FB">
        <w:rPr>
          <w:rFonts w:ascii="Times New Roman" w:hAnsi="Times New Roman" w:cs="Times New Roman"/>
          <w:sz w:val="24"/>
          <w:szCs w:val="24"/>
        </w:rPr>
        <w:t xml:space="preserve">phosphatases, </w:t>
      </w:r>
      <w:r w:rsidR="00733CBF" w:rsidRPr="007721FB">
        <w:rPr>
          <w:rFonts w:ascii="Times New Roman" w:hAnsi="Times New Roman" w:cs="Times New Roman"/>
          <w:sz w:val="24"/>
          <w:szCs w:val="24"/>
        </w:rPr>
        <w:t>lipases and toxins</w:t>
      </w:r>
      <w:r w:rsidR="00400571" w:rsidRPr="007721FB">
        <w:rPr>
          <w:rFonts w:ascii="Times New Roman" w:hAnsi="Times New Roman" w:cs="Times New Roman"/>
          <w:sz w:val="24"/>
          <w:szCs w:val="24"/>
        </w:rPr>
        <w:t>, all</w:t>
      </w:r>
      <w:r w:rsidR="00733CBF" w:rsidRPr="007721FB">
        <w:rPr>
          <w:rFonts w:ascii="Times New Roman" w:hAnsi="Times New Roman" w:cs="Times New Roman"/>
          <w:sz w:val="24"/>
          <w:szCs w:val="24"/>
        </w:rPr>
        <w:t xml:space="preserve"> inherent to the excessive proliferation of infecting bacteri</w:t>
      </w:r>
      <w:r w:rsidR="007B1290" w:rsidRPr="007721FB">
        <w:rPr>
          <w:rFonts w:ascii="Times New Roman" w:hAnsi="Times New Roman" w:cs="Times New Roman"/>
          <w:sz w:val="24"/>
          <w:szCs w:val="24"/>
        </w:rPr>
        <w:t>a</w:t>
      </w:r>
      <w:r w:rsidR="00633BE0" w:rsidRPr="007721FB">
        <w:rPr>
          <w:rFonts w:ascii="Times New Roman" w:hAnsi="Times New Roman" w:cs="Times New Roman"/>
          <w:sz w:val="24"/>
          <w:szCs w:val="24"/>
        </w:rPr>
        <w:t xml:space="preserve"> </w:t>
      </w:r>
      <w:r w:rsidR="00087701"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"author" : [ { "dropping-particle" : "", "family" : "Hatzenbuehler", "given" : "John", "non-dropping-particle" : "", "parse-names" : false, "suffix" : "" }, { "dropping-particle" : "", "family" : "Pulling", "given" : "Thomas J", "non-dropping-particle" : "", "parse-names" : false, "suffix" : "" } ], "container-title" : "Am Fam Physician", "id" : "ITEM-1", "issue" : "9", "issued" : { "date-parts" : [ [ "2011" ] ] }, "page" : "1027-1033", "title" : "Diagnosis and Management of Osteomyelitis", "type" : "article-journal", "volume" : "84" }, "uris" : [ "http://www.mendeley.com/documents/?uuid=85141ab8-39e9-4632-8445-5f766b9d409d", "http://www.mendeley.com/documents/?uuid=20c92210-f6d9-4c12-b69b-990359f7393b" ] }, { "id" : "ITEM-2", "itemData" : { "DOI" : "10.1615/CritRevTherDrugCarrierSyst.2014010920", "ISBN" : "0743-4863", "ISSN" : "2162-660X", "PMID" : "25746204", "abstract" : "This article provides a critical view of the current state of the development of nanoparticulate and other solid-state carriers for the local delivery of antibiotics in the treatment of osteomyelitis. Mentioned are the downsides of traditional means for treating bone infection, which involve systemic administration of antibiotics and surgical debridement, along with the rather imperfect local delivery options currently available in the clinic. Envisaged are more sophisticated carriers for the local and sustained delivery of antimicrobials, including bioresorbable polymeric, collagenous, liquid crystalline, and bioglass- and nanotube-based carriers, as well as those composed of calcium phosphate, the mineral component of bone and teeth. A special emphasis is placed on composite multifunctional antibiotic carriers of a nanoparticulate nature and on their ability to induce osteogenesis of hard tissues demineralized due to disease. An ideal carrier of this type would prevent the long-term, repetitive, and systemic administration of antibiotics and either minimize or completely eliminate the need for surgical debridement of necrotic tissue. Potential problems faced by even hypothetically \"perfect\" antibiotic delivery vehicles are mentioned too, including (i) intracellular bacterial colonies involved in recurrent, chronic osteomyelitis; (ii) the need for mechanical and release properties to be adjusted to the area of surgical placement; (iii) different environments in which in vitro and in vivo testings are carried out; (iv) unpredictable synergies between drug delivery system components; and (v) experimental sensitivity issues entailing the increasing subtlety of the design of nanoplatforms for the controlled delivery of therapeutics.", "author" : [ { "dropping-particle" : "", "family" : "Uskokovic", "given" : "Vuk", "non-dropping-particle" : "", "parse-names" : false, "suffix" : "" } ], "container-title" : "Critical reviews in therapeutic drug carrier systems", "id" : "ITEM-2", "issue" : "1", "issued" : { "date-parts" : [ [ "2015" ] ] }, "page" : "1-59", "title" : "Nanostructured platforms for the sustained and local delivery of antibiotics in the treatment of osteomyelitis.", "type" : "article-journal", "volume" : "32" }, "uris" : [ "http://www.mendeley.com/documents/?uuid=176e171f-3ca4-4ed7-ba9b-855a3cde5fee", "http://www.mendeley.com/documents/?uuid=b8f33a85-63e0-4156-b559-98c147cf88c7" ] } ], "mendeley" : { "formattedCitation" : "[63,80]", "plainTextFormattedCitation" : "[63,80]", "previouslyFormattedCitation" : "[63,80]" }, "properties" : { "noteIndex" : 0 }, "schema" : "https://github.com/citation-style-language/schema/raw/master/csl-citation.json" }</w:instrText>
      </w:r>
      <w:r w:rsidR="00087701"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[63,80]</w:t>
      </w:r>
      <w:r w:rsidR="00087701" w:rsidRPr="007721FB">
        <w:rPr>
          <w:rFonts w:ascii="Times New Roman" w:hAnsi="Times New Roman" w:cs="Times New Roman"/>
          <w:sz w:val="24"/>
          <w:szCs w:val="24"/>
        </w:rPr>
        <w:fldChar w:fldCharType="end"/>
      </w:r>
      <w:r w:rsidR="00633BE0" w:rsidRPr="007721FB">
        <w:rPr>
          <w:rFonts w:ascii="Times New Roman" w:hAnsi="Times New Roman" w:cs="Times New Roman"/>
          <w:sz w:val="24"/>
          <w:szCs w:val="24"/>
        </w:rPr>
        <w:t>.</w:t>
      </w:r>
      <w:r w:rsidR="00733CBF" w:rsidRPr="007721FB">
        <w:rPr>
          <w:rFonts w:ascii="Times New Roman" w:hAnsi="Times New Roman" w:cs="Times New Roman"/>
          <w:sz w:val="24"/>
          <w:szCs w:val="24"/>
        </w:rPr>
        <w:t xml:space="preserve"> </w:t>
      </w:r>
      <w:r w:rsidR="0089011F" w:rsidRPr="007721FB">
        <w:rPr>
          <w:rFonts w:ascii="Times New Roman" w:hAnsi="Times New Roman" w:cs="Times New Roman"/>
          <w:sz w:val="24"/>
          <w:szCs w:val="24"/>
        </w:rPr>
        <w:t xml:space="preserve">To treat this disease, </w:t>
      </w:r>
      <w:r w:rsidR="004A4A23" w:rsidRPr="007721FB">
        <w:rPr>
          <w:rFonts w:ascii="Times New Roman" w:hAnsi="Times New Roman" w:cs="Times New Roman"/>
          <w:sz w:val="24"/>
          <w:szCs w:val="24"/>
        </w:rPr>
        <w:t>Baier</w:t>
      </w:r>
      <w:r w:rsidR="00D30533" w:rsidRPr="007721FB">
        <w:rPr>
          <w:rFonts w:ascii="Times New Roman" w:hAnsi="Times New Roman" w:cs="Times New Roman"/>
          <w:sz w:val="24"/>
          <w:szCs w:val="24"/>
        </w:rPr>
        <w:t xml:space="preserve"> </w:t>
      </w:r>
      <w:r w:rsidR="002A3962" w:rsidRPr="007721FB">
        <w:rPr>
          <w:rFonts w:ascii="Times New Roman" w:hAnsi="Times New Roman" w:cs="Times New Roman"/>
          <w:sz w:val="24"/>
          <w:szCs w:val="24"/>
        </w:rPr>
        <w:t>and co-workers</w:t>
      </w:r>
      <w:r w:rsidR="00D30533" w:rsidRPr="007721FB">
        <w:rPr>
          <w:rFonts w:ascii="Times New Roman" w:hAnsi="Times New Roman" w:cs="Times New Roman"/>
          <w:sz w:val="24"/>
          <w:szCs w:val="24"/>
        </w:rPr>
        <w:t xml:space="preserve"> developed </w:t>
      </w:r>
      <w:r w:rsidR="00E76D21" w:rsidRPr="007721FB">
        <w:rPr>
          <w:rFonts w:ascii="Times New Roman" w:hAnsi="Times New Roman" w:cs="Times New Roman"/>
          <w:sz w:val="24"/>
          <w:szCs w:val="24"/>
        </w:rPr>
        <w:t xml:space="preserve">biocompatible </w:t>
      </w:r>
      <w:r w:rsidR="00D30533" w:rsidRPr="007721FB">
        <w:rPr>
          <w:rFonts w:ascii="Times New Roman" w:hAnsi="Times New Roman" w:cs="Times New Roman"/>
          <w:sz w:val="24"/>
          <w:szCs w:val="24"/>
        </w:rPr>
        <w:t>hyaluronic acid-based nanocapsules</w:t>
      </w:r>
      <w:r w:rsidR="00E76D21" w:rsidRPr="007721FB">
        <w:rPr>
          <w:rFonts w:ascii="Times New Roman" w:hAnsi="Times New Roman" w:cs="Times New Roman"/>
          <w:sz w:val="24"/>
          <w:szCs w:val="24"/>
        </w:rPr>
        <w:t xml:space="preserve"> (size</w:t>
      </w:r>
      <w:r w:rsidR="007B1290" w:rsidRPr="007721FB">
        <w:rPr>
          <w:rFonts w:ascii="Times New Roman" w:hAnsi="Times New Roman" w:cs="Times New Roman"/>
          <w:sz w:val="24"/>
          <w:szCs w:val="24"/>
        </w:rPr>
        <w:t>:</w:t>
      </w:r>
      <w:r w:rsidR="00E76D21" w:rsidRPr="007721FB">
        <w:rPr>
          <w:rFonts w:ascii="Times New Roman" w:hAnsi="Times New Roman" w:cs="Times New Roman"/>
          <w:sz w:val="24"/>
          <w:szCs w:val="24"/>
        </w:rPr>
        <w:t xml:space="preserve"> 320 nm, </w:t>
      </w:r>
      <w:r w:rsidR="008D2C12" w:rsidRPr="007721FB">
        <w:rPr>
          <w:rFonts w:ascii="Times New Roman" w:hAnsi="Times New Roman" w:cs="Times New Roman"/>
          <w:sz w:val="24"/>
          <w:szCs w:val="24"/>
        </w:rPr>
        <w:t>ζ-</w:t>
      </w:r>
      <w:r w:rsidR="00E76D21" w:rsidRPr="007721FB">
        <w:rPr>
          <w:rFonts w:ascii="Times New Roman" w:hAnsi="Times New Roman" w:cs="Times New Roman"/>
          <w:sz w:val="24"/>
          <w:szCs w:val="24"/>
        </w:rPr>
        <w:t>potential</w:t>
      </w:r>
      <w:r w:rsidR="007B1290" w:rsidRPr="007721FB">
        <w:rPr>
          <w:rFonts w:ascii="Times New Roman" w:hAnsi="Times New Roman" w:cs="Times New Roman"/>
          <w:sz w:val="24"/>
          <w:szCs w:val="24"/>
        </w:rPr>
        <w:t>:</w:t>
      </w:r>
      <w:r w:rsidR="00E76D21" w:rsidRPr="007721FB">
        <w:rPr>
          <w:rFonts w:ascii="Times New Roman" w:hAnsi="Times New Roman" w:cs="Times New Roman"/>
          <w:sz w:val="24"/>
          <w:szCs w:val="24"/>
        </w:rPr>
        <w:t xml:space="preserve"> -17 mV)</w:t>
      </w:r>
      <w:r w:rsidR="008D2C12" w:rsidRPr="007721FB">
        <w:rPr>
          <w:rFonts w:ascii="Times New Roman" w:hAnsi="Times New Roman" w:cs="Times New Roman"/>
          <w:sz w:val="24"/>
          <w:szCs w:val="24"/>
        </w:rPr>
        <w:t xml:space="preserve"> </w:t>
      </w:r>
      <w:r w:rsidR="00D30533" w:rsidRPr="007721FB">
        <w:rPr>
          <w:rFonts w:ascii="Times New Roman" w:hAnsi="Times New Roman" w:cs="Times New Roman"/>
          <w:sz w:val="24"/>
          <w:szCs w:val="24"/>
        </w:rPr>
        <w:t>carrying polyhexanide, a known antimicrobial agent</w:t>
      </w:r>
      <w:r w:rsidR="007B1290" w:rsidRPr="007721FB">
        <w:rPr>
          <w:rFonts w:ascii="Times New Roman" w:hAnsi="Times New Roman" w:cs="Times New Roman"/>
          <w:sz w:val="24"/>
          <w:szCs w:val="24"/>
        </w:rPr>
        <w:t>. The obtained results indicate that</w:t>
      </w:r>
      <w:r w:rsidR="008D2C12" w:rsidRPr="007721FB">
        <w:rPr>
          <w:rFonts w:ascii="Times New Roman" w:hAnsi="Times New Roman" w:cs="Times New Roman"/>
          <w:sz w:val="24"/>
          <w:szCs w:val="24"/>
        </w:rPr>
        <w:t xml:space="preserve"> </w:t>
      </w:r>
      <w:r w:rsidR="00373CD2" w:rsidRPr="007721FB">
        <w:rPr>
          <w:rFonts w:ascii="Times New Roman" w:hAnsi="Times New Roman" w:cs="Times New Roman"/>
          <w:sz w:val="24"/>
          <w:szCs w:val="24"/>
        </w:rPr>
        <w:t>enzyme-</w:t>
      </w:r>
      <w:r w:rsidR="008D2C12" w:rsidRPr="007721FB">
        <w:rPr>
          <w:rFonts w:ascii="Times New Roman" w:hAnsi="Times New Roman" w:cs="Times New Roman"/>
          <w:sz w:val="24"/>
          <w:szCs w:val="24"/>
        </w:rPr>
        <w:t xml:space="preserve">responsive formulations </w:t>
      </w:r>
      <w:r w:rsidR="007B1290" w:rsidRPr="007721FB">
        <w:rPr>
          <w:rFonts w:ascii="Times New Roman" w:hAnsi="Times New Roman" w:cs="Times New Roman"/>
          <w:sz w:val="24"/>
          <w:szCs w:val="24"/>
        </w:rPr>
        <w:t xml:space="preserve">had </w:t>
      </w:r>
      <w:r w:rsidR="008D2C12" w:rsidRPr="007721FB">
        <w:rPr>
          <w:rFonts w:ascii="Times New Roman" w:hAnsi="Times New Roman" w:cs="Times New Roman"/>
          <w:sz w:val="24"/>
          <w:szCs w:val="24"/>
        </w:rPr>
        <w:t xml:space="preserve">significantly lower minimal inhibitory concentration against </w:t>
      </w:r>
      <w:r w:rsidR="008D2C12" w:rsidRPr="007721FB">
        <w:rPr>
          <w:rFonts w:ascii="Times New Roman" w:hAnsi="Times New Roman" w:cs="Times New Roman"/>
          <w:i/>
          <w:sz w:val="24"/>
          <w:szCs w:val="24"/>
        </w:rPr>
        <w:t>S. aureus</w:t>
      </w:r>
      <w:r w:rsidR="00CF5CA8" w:rsidRPr="007721FB">
        <w:rPr>
          <w:rFonts w:ascii="Times New Roman" w:hAnsi="Times New Roman" w:cs="Times New Roman"/>
          <w:i/>
          <w:sz w:val="24"/>
          <w:szCs w:val="24"/>
        </w:rPr>
        <w:t xml:space="preserve"> </w:t>
      </w:r>
      <w:r w:rsidR="00CF5CA8" w:rsidRPr="007721FB">
        <w:rPr>
          <w:rFonts w:ascii="Times New Roman" w:hAnsi="Times New Roman" w:cs="Times New Roman"/>
          <w:sz w:val="24"/>
          <w:szCs w:val="24"/>
        </w:rPr>
        <w:t xml:space="preserve">and </w:t>
      </w:r>
      <w:r w:rsidR="003F35D7" w:rsidRPr="007721FB">
        <w:rPr>
          <w:rFonts w:ascii="Times New Roman" w:hAnsi="Times New Roman" w:cs="Times New Roman"/>
          <w:sz w:val="24"/>
          <w:szCs w:val="24"/>
        </w:rPr>
        <w:t>M</w:t>
      </w:r>
      <w:r w:rsidR="00CF5CA8" w:rsidRPr="007721FB">
        <w:rPr>
          <w:rFonts w:ascii="Times New Roman" w:hAnsi="Times New Roman" w:cs="Times New Roman"/>
          <w:sz w:val="24"/>
          <w:szCs w:val="24"/>
        </w:rPr>
        <w:t>ethicillin</w:t>
      </w:r>
      <w:r w:rsidR="003F35D7" w:rsidRPr="007721FB">
        <w:rPr>
          <w:rFonts w:ascii="Times New Roman" w:hAnsi="Times New Roman" w:cs="Times New Roman"/>
          <w:sz w:val="24"/>
          <w:szCs w:val="24"/>
        </w:rPr>
        <w:t>-</w:t>
      </w:r>
      <w:r w:rsidR="00CF5CA8" w:rsidRPr="007721FB">
        <w:rPr>
          <w:rFonts w:ascii="Times New Roman" w:hAnsi="Times New Roman" w:cs="Times New Roman"/>
          <w:sz w:val="24"/>
          <w:szCs w:val="24"/>
        </w:rPr>
        <w:t>resistant</w:t>
      </w:r>
      <w:r w:rsidR="00CF5CA8" w:rsidRPr="007721FB">
        <w:rPr>
          <w:rFonts w:ascii="Times New Roman" w:hAnsi="Times New Roman" w:cs="Times New Roman"/>
          <w:i/>
          <w:sz w:val="24"/>
          <w:szCs w:val="24"/>
        </w:rPr>
        <w:t xml:space="preserve"> S. aureus</w:t>
      </w:r>
      <w:r w:rsidR="008D2C12" w:rsidRPr="007721FB">
        <w:rPr>
          <w:rFonts w:ascii="Times New Roman" w:hAnsi="Times New Roman" w:cs="Times New Roman"/>
          <w:sz w:val="24"/>
          <w:szCs w:val="24"/>
        </w:rPr>
        <w:t xml:space="preserve"> (ATCC 29213 and 43300) when compared to non-hyaluronidase degradable </w:t>
      </w:r>
      <w:r w:rsidR="00D32F3F" w:rsidRPr="007721FB">
        <w:rPr>
          <w:rFonts w:ascii="Times New Roman" w:hAnsi="Times New Roman" w:cs="Times New Roman"/>
          <w:sz w:val="24"/>
          <w:szCs w:val="24"/>
        </w:rPr>
        <w:t>n</w:t>
      </w:r>
      <w:r w:rsidR="008D2C12" w:rsidRPr="007721FB">
        <w:rPr>
          <w:rFonts w:ascii="Times New Roman" w:hAnsi="Times New Roman" w:cs="Times New Roman"/>
          <w:sz w:val="24"/>
          <w:szCs w:val="24"/>
        </w:rPr>
        <w:t>anocarriers</w:t>
      </w:r>
      <w:r w:rsidR="00D32F3F" w:rsidRPr="007721FB">
        <w:rPr>
          <w:rFonts w:ascii="Times New Roman" w:hAnsi="Times New Roman" w:cs="Times New Roman"/>
          <w:sz w:val="24"/>
          <w:szCs w:val="24"/>
        </w:rPr>
        <w:t xml:space="preserve"> </w:t>
      </w:r>
      <w:r w:rsidR="008D2C12"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"DOI" : "10.1021/bm302003m", "author" : [ { "dropping-particle" : "", "family" : "Baier", "given" : "G.", "non-dropping-particle" : "", "parse-names" : false, "suffix" : "" }, { "dropping-particle" : "", "family" : "Cavallaro", "given" : "A.", "non-dropping-particle" : "", "parse-names" : false, "suffix" : "" }, { "dropping-particle" : "", "family" : "Vasilev", "given" : "K.", "non-dropping-particle" : "", "parse-names" : false, "suffix" : "" }, { "dropping-particle" : "", "family" : "Mailander", "given" : "V.", "non-dropping-particle" : "", "parse-names" : false, "suffix" : "" }, { "dropping-particle" : "", "family" : "Musyanovych", "given" : "A.", "non-dropping-particle" : "", "parse-names" : false, "suffix" : "" }, { "dropping-particle" : "", "family" : "Landfester", "given" : "K", "non-dropping-particle" : "", "parse-names" : false, "suffix" : "" } ], "container-title" : "Biomacromolecules", "id" : "ITEM-1", "issued" : { "date-parts" : [ [ "2013" ] ] }, "page" : "1103-1112", "title" : "Enzyme Responsive Hyaluronic Acid Nanocapsules Containing Polyhexanide and Their Exposure to Bacteria To Prevent Infection", "type" : "article-journal", "volume" : "14" }, "uris" : [ "http://www.mendeley.com/documents/?uuid=0082aca7-20b6-4b80-b0df-64fc79827872", "http://www.mendeley.com/documents/?uuid=9ab8b980-b221-41c2-acd7-cabc37dd302d" ] } ], "mendeley" : { "formattedCitation" : "[81]", "plainTextFormattedCitation" : "[81]", "previouslyFormattedCitation" : "[81]" }, "properties" : { "noteIndex" : 0 }, "schema" : "https://github.com/citation-style-language/schema/raw/master/csl-citation.json" }</w:instrText>
      </w:r>
      <w:r w:rsidR="008D2C12"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[81]</w:t>
      </w:r>
      <w:r w:rsidR="008D2C12" w:rsidRPr="007721FB">
        <w:rPr>
          <w:rFonts w:ascii="Times New Roman" w:hAnsi="Times New Roman" w:cs="Times New Roman"/>
          <w:sz w:val="24"/>
          <w:szCs w:val="24"/>
        </w:rPr>
        <w:fldChar w:fldCharType="end"/>
      </w:r>
      <w:r w:rsidR="00D32F3F" w:rsidRPr="007721FB">
        <w:rPr>
          <w:rFonts w:ascii="Times New Roman" w:hAnsi="Times New Roman" w:cs="Times New Roman"/>
          <w:sz w:val="24"/>
          <w:szCs w:val="24"/>
        </w:rPr>
        <w:t xml:space="preserve">. </w:t>
      </w:r>
      <w:r w:rsidR="007B1290" w:rsidRPr="007721FB">
        <w:rPr>
          <w:rFonts w:ascii="Times New Roman" w:hAnsi="Times New Roman" w:cs="Times New Roman"/>
          <w:sz w:val="24"/>
          <w:szCs w:val="24"/>
        </w:rPr>
        <w:t>As evidence</w:t>
      </w:r>
      <w:r w:rsidR="00CF5CA8" w:rsidRPr="007721FB">
        <w:rPr>
          <w:rFonts w:ascii="Times New Roman" w:hAnsi="Times New Roman" w:cs="Times New Roman"/>
          <w:sz w:val="24"/>
          <w:szCs w:val="24"/>
        </w:rPr>
        <w:t>d</w:t>
      </w:r>
      <w:r w:rsidR="007B1290" w:rsidRPr="007721FB">
        <w:rPr>
          <w:rFonts w:ascii="Times New Roman" w:hAnsi="Times New Roman" w:cs="Times New Roman"/>
          <w:sz w:val="24"/>
          <w:szCs w:val="24"/>
        </w:rPr>
        <w:t xml:space="preserve"> by Baier, taking advantage of microorganisms hyaluronidase secretion to trigger the release of encapsulated antibiotics is a valuable strategy to eradicate bacterial infections </w:t>
      </w:r>
      <w:r w:rsidR="00E37D1F" w:rsidRPr="007721FB">
        <w:rPr>
          <w:rFonts w:ascii="Times New Roman" w:hAnsi="Times New Roman" w:cs="Times New Roman"/>
          <w:sz w:val="24"/>
          <w:szCs w:val="24"/>
        </w:rPr>
        <w:t>not only in bone but</w:t>
      </w:r>
      <w:r w:rsidR="0089011F" w:rsidRPr="007721FB">
        <w:rPr>
          <w:rFonts w:ascii="Times New Roman" w:hAnsi="Times New Roman" w:cs="Times New Roman"/>
          <w:sz w:val="24"/>
          <w:szCs w:val="24"/>
        </w:rPr>
        <w:t xml:space="preserve"> also in</w:t>
      </w:r>
      <w:r w:rsidR="00E37D1F" w:rsidRPr="007721FB">
        <w:rPr>
          <w:rFonts w:ascii="Times New Roman" w:hAnsi="Times New Roman" w:cs="Times New Roman"/>
          <w:sz w:val="24"/>
          <w:szCs w:val="24"/>
        </w:rPr>
        <w:t xml:space="preserve"> other tissues</w:t>
      </w:r>
      <w:r w:rsidR="007B1290" w:rsidRPr="007721FB">
        <w:rPr>
          <w:rFonts w:ascii="Times New Roman" w:hAnsi="Times New Roman" w:cs="Times New Roman"/>
          <w:sz w:val="24"/>
          <w:szCs w:val="24"/>
        </w:rPr>
        <w:t xml:space="preserve">. </w:t>
      </w:r>
    </w:p>
    <w:p w14:paraId="31C263ED" w14:textId="00745F47" w:rsidR="00CF5CA8" w:rsidRPr="007721FB" w:rsidRDefault="00CF5CA8" w:rsidP="00D867DF">
      <w:pPr>
        <w:spacing w:after="0" w:line="240" w:lineRule="auto"/>
        <w:jc w:val="both"/>
        <w:rPr>
          <w:rFonts w:ascii="Times New Roman" w:hAnsi="Times New Roman" w:cs="Times New Roman"/>
          <w:sz w:val="24"/>
          <w:szCs w:val="24"/>
        </w:rPr>
      </w:pPr>
      <w:r w:rsidRPr="007721FB">
        <w:rPr>
          <w:rFonts w:ascii="Times New Roman" w:hAnsi="Times New Roman" w:cs="Times New Roman"/>
          <w:sz w:val="24"/>
          <w:szCs w:val="24"/>
        </w:rPr>
        <w:t xml:space="preserve">   </w:t>
      </w:r>
      <w:r w:rsidR="00752C20" w:rsidRPr="007721FB">
        <w:rPr>
          <w:rFonts w:ascii="Times New Roman" w:hAnsi="Times New Roman" w:cs="Times New Roman"/>
          <w:sz w:val="24"/>
          <w:szCs w:val="24"/>
        </w:rPr>
        <w:t>Despite being valuable examples</w:t>
      </w:r>
      <w:r w:rsidR="007B1290" w:rsidRPr="007721FB">
        <w:rPr>
          <w:rFonts w:ascii="Times New Roman" w:hAnsi="Times New Roman" w:cs="Times New Roman"/>
          <w:sz w:val="24"/>
          <w:szCs w:val="24"/>
        </w:rPr>
        <w:t>,</w:t>
      </w:r>
      <w:r w:rsidR="00752C20" w:rsidRPr="007721FB">
        <w:rPr>
          <w:rFonts w:ascii="Times New Roman" w:hAnsi="Times New Roman" w:cs="Times New Roman"/>
          <w:sz w:val="24"/>
          <w:szCs w:val="24"/>
        </w:rPr>
        <w:t xml:space="preserve"> </w:t>
      </w:r>
      <w:r w:rsidRPr="007721FB">
        <w:rPr>
          <w:rFonts w:ascii="Times New Roman" w:hAnsi="Times New Roman" w:cs="Times New Roman"/>
          <w:sz w:val="24"/>
          <w:szCs w:val="24"/>
        </w:rPr>
        <w:t xml:space="preserve">more information regarding the </w:t>
      </w:r>
      <w:r w:rsidR="00E37D1F" w:rsidRPr="007721FB">
        <w:rPr>
          <w:rFonts w:ascii="Times New Roman" w:hAnsi="Times New Roman" w:cs="Times New Roman"/>
          <w:sz w:val="24"/>
          <w:szCs w:val="24"/>
        </w:rPr>
        <w:t>kinetics</w:t>
      </w:r>
      <w:r w:rsidR="003A06DF" w:rsidRPr="007721FB">
        <w:rPr>
          <w:rFonts w:ascii="Times New Roman" w:hAnsi="Times New Roman" w:cs="Times New Roman"/>
          <w:sz w:val="24"/>
          <w:szCs w:val="24"/>
        </w:rPr>
        <w:t xml:space="preserve"> of enzymes under/over-expression in each patient and at each disease progression stage is necessary. </w:t>
      </w:r>
      <w:r w:rsidR="00E37D1F" w:rsidRPr="007721FB">
        <w:rPr>
          <w:rFonts w:ascii="Times New Roman" w:hAnsi="Times New Roman" w:cs="Times New Roman"/>
          <w:sz w:val="24"/>
          <w:szCs w:val="24"/>
        </w:rPr>
        <w:t xml:space="preserve">Adding to this, fundamental </w:t>
      </w:r>
      <w:r w:rsidR="00E37D1F" w:rsidRPr="007721FB">
        <w:rPr>
          <w:rFonts w:ascii="Times New Roman" w:hAnsi="Times New Roman" w:cs="Times New Roman"/>
          <w:i/>
          <w:sz w:val="24"/>
          <w:szCs w:val="24"/>
        </w:rPr>
        <w:t>in vitro</w:t>
      </w:r>
      <w:r w:rsidR="00E37D1F" w:rsidRPr="007721FB">
        <w:rPr>
          <w:rFonts w:ascii="Times New Roman" w:hAnsi="Times New Roman" w:cs="Times New Roman"/>
          <w:sz w:val="24"/>
          <w:szCs w:val="24"/>
        </w:rPr>
        <w:t xml:space="preserve"> studies regarding the efficacy of </w:t>
      </w:r>
      <w:r w:rsidR="0089011F" w:rsidRPr="007721FB">
        <w:rPr>
          <w:rFonts w:ascii="Times New Roman" w:hAnsi="Times New Roman" w:cs="Times New Roman"/>
          <w:sz w:val="24"/>
          <w:szCs w:val="24"/>
        </w:rPr>
        <w:t>enzyme</w:t>
      </w:r>
      <w:r w:rsidR="00E37D1F" w:rsidRPr="007721FB">
        <w:rPr>
          <w:rFonts w:ascii="Times New Roman" w:hAnsi="Times New Roman" w:cs="Times New Roman"/>
          <w:sz w:val="24"/>
          <w:szCs w:val="24"/>
        </w:rPr>
        <w:t>-based release at very low colony forming units</w:t>
      </w:r>
      <w:r w:rsidR="009E7CD3" w:rsidRPr="007721FB">
        <w:rPr>
          <w:rFonts w:ascii="Times New Roman" w:hAnsi="Times New Roman" w:cs="Times New Roman"/>
          <w:sz w:val="24"/>
          <w:szCs w:val="24"/>
        </w:rPr>
        <w:t xml:space="preserve"> </w:t>
      </w:r>
      <w:r w:rsidR="006039A4" w:rsidRPr="007721FB">
        <w:rPr>
          <w:rFonts w:ascii="Times New Roman" w:hAnsi="Times New Roman" w:cs="Times New Roman"/>
          <w:sz w:val="24"/>
          <w:szCs w:val="24"/>
        </w:rPr>
        <w:t>(CFUs)</w:t>
      </w:r>
      <w:r w:rsidR="00E37D1F" w:rsidRPr="007721FB">
        <w:rPr>
          <w:rFonts w:ascii="Times New Roman" w:hAnsi="Times New Roman" w:cs="Times New Roman"/>
          <w:sz w:val="24"/>
          <w:szCs w:val="24"/>
        </w:rPr>
        <w:t xml:space="preserve"> should </w:t>
      </w:r>
      <w:r w:rsidR="007966FA" w:rsidRPr="007721FB">
        <w:rPr>
          <w:rFonts w:ascii="Times New Roman" w:hAnsi="Times New Roman" w:cs="Times New Roman"/>
          <w:sz w:val="24"/>
          <w:szCs w:val="24"/>
        </w:rPr>
        <w:t>also be addressed, as the quantity</w:t>
      </w:r>
      <w:r w:rsidR="00E37D1F" w:rsidRPr="007721FB">
        <w:rPr>
          <w:rFonts w:ascii="Times New Roman" w:hAnsi="Times New Roman" w:cs="Times New Roman"/>
          <w:sz w:val="24"/>
          <w:szCs w:val="24"/>
        </w:rPr>
        <w:t xml:space="preserve"> of</w:t>
      </w:r>
      <w:r w:rsidR="006039A4" w:rsidRPr="007721FB">
        <w:rPr>
          <w:rFonts w:ascii="Times New Roman" w:hAnsi="Times New Roman" w:cs="Times New Roman"/>
          <w:sz w:val="24"/>
          <w:szCs w:val="24"/>
        </w:rPr>
        <w:t xml:space="preserve"> produced</w:t>
      </w:r>
      <w:r w:rsidR="00E37D1F" w:rsidRPr="007721FB">
        <w:rPr>
          <w:rFonts w:ascii="Times New Roman" w:hAnsi="Times New Roman" w:cs="Times New Roman"/>
          <w:sz w:val="24"/>
          <w:szCs w:val="24"/>
        </w:rPr>
        <w:t xml:space="preserve"> enzyme</w:t>
      </w:r>
      <w:r w:rsidR="006039A4" w:rsidRPr="007721FB">
        <w:rPr>
          <w:rFonts w:ascii="Times New Roman" w:hAnsi="Times New Roman" w:cs="Times New Roman"/>
          <w:sz w:val="24"/>
          <w:szCs w:val="24"/>
        </w:rPr>
        <w:t>s</w:t>
      </w:r>
      <w:r w:rsidR="00E37D1F" w:rsidRPr="007721FB">
        <w:rPr>
          <w:rFonts w:ascii="Times New Roman" w:hAnsi="Times New Roman" w:cs="Times New Roman"/>
          <w:sz w:val="24"/>
          <w:szCs w:val="24"/>
        </w:rPr>
        <w:t xml:space="preserve"> could be insufficient to prompt </w:t>
      </w:r>
      <w:r w:rsidR="0089011F" w:rsidRPr="007721FB">
        <w:rPr>
          <w:rFonts w:ascii="Times New Roman" w:hAnsi="Times New Roman" w:cs="Times New Roman"/>
          <w:sz w:val="24"/>
          <w:szCs w:val="24"/>
        </w:rPr>
        <w:t>bioactive molecules release</w:t>
      </w:r>
      <w:r w:rsidR="00E37D1F" w:rsidRPr="007721FB">
        <w:rPr>
          <w:rFonts w:ascii="Times New Roman" w:hAnsi="Times New Roman" w:cs="Times New Roman"/>
          <w:sz w:val="24"/>
          <w:szCs w:val="24"/>
        </w:rPr>
        <w:t xml:space="preserve">. Such </w:t>
      </w:r>
      <w:r w:rsidR="006039A4" w:rsidRPr="007721FB">
        <w:rPr>
          <w:rFonts w:ascii="Times New Roman" w:hAnsi="Times New Roman" w:cs="Times New Roman"/>
          <w:sz w:val="24"/>
          <w:szCs w:val="24"/>
        </w:rPr>
        <w:t>research is</w:t>
      </w:r>
      <w:r w:rsidR="00E37D1F" w:rsidRPr="007721FB">
        <w:rPr>
          <w:rFonts w:ascii="Times New Roman" w:hAnsi="Times New Roman" w:cs="Times New Roman"/>
          <w:sz w:val="24"/>
          <w:szCs w:val="24"/>
        </w:rPr>
        <w:t xml:space="preserve"> envisioned to aid in the determination of the optimal enzyme-sensitive nanocarriers administration regime and the adaptation of therapy to each patient and bacterial strain</w:t>
      </w:r>
      <w:r w:rsidR="006039A4" w:rsidRPr="007721FB">
        <w:rPr>
          <w:rFonts w:ascii="Times New Roman" w:hAnsi="Times New Roman" w:cs="Times New Roman"/>
          <w:sz w:val="24"/>
          <w:szCs w:val="24"/>
        </w:rPr>
        <w:t xml:space="preserve"> in a more personalized mode</w:t>
      </w:r>
      <w:r w:rsidR="00E37D1F" w:rsidRPr="007721FB">
        <w:rPr>
          <w:rFonts w:ascii="Times New Roman" w:hAnsi="Times New Roman" w:cs="Times New Roman"/>
          <w:sz w:val="24"/>
          <w:szCs w:val="24"/>
        </w:rPr>
        <w:t>.</w:t>
      </w:r>
    </w:p>
    <w:p w14:paraId="7975422A" w14:textId="77777777" w:rsidR="002E024D" w:rsidRPr="007721FB" w:rsidRDefault="002E024D" w:rsidP="00F42607">
      <w:pPr>
        <w:spacing w:after="0" w:line="240" w:lineRule="auto"/>
        <w:ind w:firstLine="709"/>
        <w:jc w:val="both"/>
        <w:rPr>
          <w:rFonts w:ascii="Times New Roman" w:hAnsi="Times New Roman" w:cs="Times New Roman"/>
          <w:sz w:val="24"/>
          <w:szCs w:val="24"/>
        </w:rPr>
      </w:pPr>
    </w:p>
    <w:p w14:paraId="1662E453" w14:textId="30BED2BB" w:rsidR="00636AAB" w:rsidRPr="007721FB" w:rsidRDefault="00461DB2" w:rsidP="00F42607">
      <w:pPr>
        <w:pStyle w:val="Cabealho2"/>
        <w:spacing w:before="0" w:after="120" w:line="240" w:lineRule="auto"/>
        <w:rPr>
          <w:rFonts w:ascii="Times New Roman" w:hAnsi="Times New Roman" w:cs="Times New Roman"/>
          <w:b/>
          <w:color w:val="auto"/>
          <w:sz w:val="24"/>
          <w:szCs w:val="24"/>
        </w:rPr>
      </w:pPr>
      <w:bookmarkStart w:id="10" w:name="_Toc471752567"/>
      <w:bookmarkStart w:id="11" w:name="_Toc471829471"/>
      <w:r w:rsidRPr="007721FB">
        <w:rPr>
          <w:rFonts w:ascii="Times New Roman" w:hAnsi="Times New Roman" w:cs="Times New Roman"/>
          <w:b/>
          <w:color w:val="auto"/>
          <w:sz w:val="24"/>
          <w:szCs w:val="24"/>
        </w:rPr>
        <w:t>3</w:t>
      </w:r>
      <w:r w:rsidR="00540512" w:rsidRPr="007721FB">
        <w:rPr>
          <w:rFonts w:ascii="Times New Roman" w:hAnsi="Times New Roman" w:cs="Times New Roman"/>
          <w:b/>
          <w:color w:val="auto"/>
          <w:sz w:val="24"/>
          <w:szCs w:val="24"/>
        </w:rPr>
        <w:t>.2 Thermo-responsive</w:t>
      </w:r>
      <w:bookmarkEnd w:id="10"/>
      <w:bookmarkEnd w:id="11"/>
      <w:r w:rsidR="00186724" w:rsidRPr="007721FB">
        <w:rPr>
          <w:rFonts w:ascii="Times New Roman" w:hAnsi="Times New Roman" w:cs="Times New Roman"/>
          <w:b/>
          <w:color w:val="auto"/>
          <w:sz w:val="24"/>
          <w:szCs w:val="24"/>
        </w:rPr>
        <w:t xml:space="preserve"> nanocarriers</w:t>
      </w:r>
    </w:p>
    <w:p w14:paraId="1120272C" w14:textId="5E5C96BB" w:rsidR="00696BAA" w:rsidRPr="007721FB" w:rsidRDefault="0043139E" w:rsidP="00D867DF">
      <w:pPr>
        <w:spacing w:after="0" w:line="240" w:lineRule="auto"/>
        <w:jc w:val="both"/>
        <w:rPr>
          <w:rFonts w:ascii="Times New Roman" w:hAnsi="Times New Roman" w:cs="Times New Roman"/>
          <w:sz w:val="24"/>
          <w:szCs w:val="24"/>
        </w:rPr>
      </w:pPr>
      <w:r w:rsidRPr="007721FB">
        <w:rPr>
          <w:rFonts w:ascii="Times New Roman" w:hAnsi="Times New Roman" w:cs="Times New Roman"/>
          <w:sz w:val="24"/>
          <w:szCs w:val="24"/>
        </w:rPr>
        <w:t xml:space="preserve">   </w:t>
      </w:r>
      <w:r w:rsidR="00636AAB" w:rsidRPr="007721FB">
        <w:rPr>
          <w:rFonts w:ascii="Times New Roman" w:hAnsi="Times New Roman" w:cs="Times New Roman"/>
          <w:sz w:val="24"/>
          <w:szCs w:val="24"/>
        </w:rPr>
        <w:t>Thermo</w:t>
      </w:r>
      <w:r w:rsidR="00696BAA" w:rsidRPr="007721FB">
        <w:rPr>
          <w:rFonts w:ascii="Times New Roman" w:hAnsi="Times New Roman" w:cs="Times New Roman"/>
          <w:sz w:val="24"/>
          <w:szCs w:val="24"/>
        </w:rPr>
        <w:t xml:space="preserve">-responsive </w:t>
      </w:r>
      <w:r w:rsidR="002E024D" w:rsidRPr="007721FB">
        <w:rPr>
          <w:rFonts w:ascii="Times New Roman" w:hAnsi="Times New Roman" w:cs="Times New Roman"/>
          <w:sz w:val="24"/>
          <w:szCs w:val="24"/>
        </w:rPr>
        <w:t xml:space="preserve">nanocarriers </w:t>
      </w:r>
      <w:r w:rsidR="00696BAA" w:rsidRPr="007721FB">
        <w:rPr>
          <w:rFonts w:ascii="Times New Roman" w:hAnsi="Times New Roman" w:cs="Times New Roman"/>
          <w:sz w:val="24"/>
          <w:szCs w:val="24"/>
        </w:rPr>
        <w:t>frequently</w:t>
      </w:r>
      <w:r w:rsidR="002E024D" w:rsidRPr="007721FB">
        <w:rPr>
          <w:rFonts w:ascii="Times New Roman" w:hAnsi="Times New Roman" w:cs="Times New Roman"/>
          <w:sz w:val="24"/>
          <w:szCs w:val="24"/>
        </w:rPr>
        <w:t xml:space="preserve"> comprise a thermolabile </w:t>
      </w:r>
      <w:r w:rsidR="00342026" w:rsidRPr="007721FB">
        <w:rPr>
          <w:rFonts w:ascii="Times New Roman" w:hAnsi="Times New Roman" w:cs="Times New Roman"/>
          <w:sz w:val="24"/>
          <w:szCs w:val="24"/>
        </w:rPr>
        <w:t>moiety such as</w:t>
      </w:r>
      <w:r w:rsidR="002E024D" w:rsidRPr="007721FB">
        <w:rPr>
          <w:rFonts w:ascii="Times New Roman" w:hAnsi="Times New Roman" w:cs="Times New Roman"/>
          <w:sz w:val="24"/>
          <w:szCs w:val="24"/>
        </w:rPr>
        <w:t xml:space="preserve"> the extensively explored</w:t>
      </w:r>
      <w:r w:rsidR="001E2404" w:rsidRPr="007721FB">
        <w:rPr>
          <w:rFonts w:ascii="Times New Roman" w:hAnsi="Times New Roman" w:cs="Times New Roman"/>
          <w:sz w:val="24"/>
          <w:szCs w:val="24"/>
        </w:rPr>
        <w:t xml:space="preserve"> </w:t>
      </w:r>
      <w:r w:rsidR="00B56C2E" w:rsidRPr="007721FB">
        <w:rPr>
          <w:rFonts w:ascii="Times New Roman" w:hAnsi="Times New Roman" w:cs="Times New Roman"/>
          <w:sz w:val="24"/>
          <w:szCs w:val="24"/>
        </w:rPr>
        <w:t>material</w:t>
      </w:r>
      <w:r w:rsidR="00696BAA" w:rsidRPr="007721FB">
        <w:rPr>
          <w:rFonts w:ascii="Times New Roman" w:hAnsi="Times New Roman" w:cs="Times New Roman"/>
          <w:sz w:val="24"/>
          <w:szCs w:val="24"/>
        </w:rPr>
        <w:t xml:space="preserve"> poly(N-isopropyl acrylamide) (PNIPAM)</w:t>
      </w:r>
      <w:r w:rsidR="00B56C2E" w:rsidRPr="007721FB">
        <w:rPr>
          <w:rFonts w:ascii="Times New Roman" w:hAnsi="Times New Roman" w:cs="Times New Roman"/>
          <w:sz w:val="24"/>
          <w:szCs w:val="24"/>
        </w:rPr>
        <w:t xml:space="preserve"> or</w:t>
      </w:r>
      <w:r w:rsidR="008E2FB3" w:rsidRPr="007721FB">
        <w:rPr>
          <w:rFonts w:ascii="Times New Roman" w:hAnsi="Times New Roman" w:cs="Times New Roman"/>
          <w:sz w:val="24"/>
          <w:szCs w:val="24"/>
        </w:rPr>
        <w:t xml:space="preserve"> temperature-sensitive</w:t>
      </w:r>
      <w:r w:rsidR="00B56C2E" w:rsidRPr="007721FB">
        <w:rPr>
          <w:rFonts w:ascii="Times New Roman" w:hAnsi="Times New Roman" w:cs="Times New Roman"/>
          <w:sz w:val="24"/>
          <w:szCs w:val="24"/>
        </w:rPr>
        <w:t xml:space="preserve"> lipids such as dipalmitoyl phosphatidylcholine a</w:t>
      </w:r>
      <w:r w:rsidR="008E2FB3" w:rsidRPr="007721FB">
        <w:rPr>
          <w:rFonts w:ascii="Times New Roman" w:hAnsi="Times New Roman" w:cs="Times New Roman"/>
          <w:sz w:val="24"/>
          <w:szCs w:val="24"/>
        </w:rPr>
        <w:t>n</w:t>
      </w:r>
      <w:r w:rsidR="00B56C2E" w:rsidRPr="007721FB">
        <w:rPr>
          <w:rFonts w:ascii="Times New Roman" w:hAnsi="Times New Roman" w:cs="Times New Roman"/>
          <w:sz w:val="24"/>
          <w:szCs w:val="24"/>
        </w:rPr>
        <w:t>d lysolipids</w:t>
      </w:r>
      <w:r w:rsidR="008E2FB3" w:rsidRPr="007721FB">
        <w:rPr>
          <w:rFonts w:ascii="Times New Roman" w:hAnsi="Times New Roman" w:cs="Times New Roman"/>
          <w:sz w:val="24"/>
          <w:szCs w:val="24"/>
        </w:rPr>
        <w:t xml:space="preserve"> </w:t>
      </w:r>
      <w:r w:rsidR="00696BAA"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"DOI" : "10.1038/nrd4333", "ISBN" : "1474-1784 (Electronic)\\r1474-1776 (Linking)", "ISSN" : "1474-1784", "PMID" : "25287120", "abstract" : "The use of nanoparticulate pharmaceutical drug delivery systems (NDDSs) to enhance the in vivo effectiveness of drugs is now well established. The development of multifunctional and stimulus-sensitive NDDSs is an active area of current research. Such NDDSs can have long circulation times, target the site of the disease and enhance the intracellular delivery of a drug. This type of NDDS can also respond to local stimuli that are characteristic of the pathological site by, for example, releasing an entrapped drug or shedding a protective coating, thus facilitating the interaction between drug-loaded nanocarriers and target cells or tissues. In addition, imaging contrast moieties can be attached to these carriers to track their real-time biodistribution and accumulation in target cells or tissues. Here, I highlight recent developments with multifunctional and stimuli-sensitive NDDSs and their therapeutic potential for diseases including cancer, cardiovascular diseases and infectious diseases.", "author" : [ { "dropping-particle" : "", "family" : "Torchilin", "given" : "Vladimir P", "non-dropping-particle" : "", "parse-names" : false, "suffix" : "" } ], "container-title" : "Nature reviews. Drug discovery", "id" : "ITEM-1", "issue" : "11", "issued" : { "date-parts" : [ [ "2014" ] ] }, "page" : "813-827", "publisher" : "Nature Publishing Group", "title" : "Multifunctional, stimuli-sensitive nanoparticulate systems for drug delivery.", "type" : "article-journal", "volume" : "13" }, "uris" : [ "http://www.mendeley.com/documents/?uuid=d1044cae-7f02-4669-95b1-e22e4d57d803", "http://www.mendeley.com/documents/?uuid=c8293a08-56f8-4e7a-9ce7-1e8f5f547b19" ] }, { "id" : "ITEM-2", "itemData" : { "DOI" : "10.1038/NMAT3776", "ISBN" : "1476-1122 (Print)\\r1476-1122 (Linking)", "ISSN" : "1476-1122", "PMID" : "24150417", "abstract" : "Spurred by recent progress in materials chemistry and drug delivery, stimuli-responsive devices that deliver a drug in spatial-, temporal-and dosage-controlled fashions have become possible. Implementation of such devices requires the use of biocompatible materials that are susceptible to a specific physical incitement or that, in response to a specific stimulus, undergo a protonation, a hydrolytic cleavage or a (supra) molecular conformational change. In this Review, we discuss recent advances in the design of nanoscale stimuli-responsive systems that are able to control drug biodistribution in response to specific stimuli, either exogenous (variations in temperature, magnetic field, ultrasound intensity, light or electric pulses) or endogenous (changes in pH, enzyme concentration or redox gradients).", "author" : [ { "dropping-particle" : "", "family" : "Mura", "given" : "Simona", "non-dropping-particle" : "", "parse-names" : false, "suffix" : "" }, { "dropping-particle" : "", "family" : "Nicolas", "given" : "Julien", "non-dropping-particle" : "", "parse-names" : false, "suffix" : "" }, { "dropping-particle" : "", "family" : "Couvreur", "given" : "Patrick", "non-dropping-particle" : "", "parse-names" : false, "suffix" : "" } ], "container-title" : "Nature Materials", "id" : "ITEM-2", "issue" : "11", "issued" : { "date-parts" : [ [ "2013" ] ] }, "page" : "991-1003", "publisher" : "Nature Publishing Group", "title" : "Stimuli-responsive nanocarriers for drug delivery", "type" : "article-journal", "volume" : "12" }, "uris" : [ "http://www.mendeley.com/documents/?uuid=ed9334db-2ea4-434c-a81e-73d3c218823f", "http://www.mendeley.com/documents/?uuid=89a4a394-f260-4f82-b443-d41d8cdf09ef" ] } ], "mendeley" : { "formattedCitation" : "[20,33]", "plainTextFormattedCitation" : "[20,33]", "previouslyFormattedCitation" : "[20,33]" }, "properties" : { "noteIndex" : 0 }, "schema" : "https://github.com/citation-style-language/schema/raw/master/csl-citation.json" }</w:instrText>
      </w:r>
      <w:r w:rsidR="00696BAA"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[20,33]</w:t>
      </w:r>
      <w:r w:rsidR="00696BAA" w:rsidRPr="007721FB">
        <w:rPr>
          <w:rFonts w:ascii="Times New Roman" w:hAnsi="Times New Roman" w:cs="Times New Roman"/>
          <w:sz w:val="24"/>
          <w:szCs w:val="24"/>
        </w:rPr>
        <w:fldChar w:fldCharType="end"/>
      </w:r>
      <w:r w:rsidR="008E2FB3" w:rsidRPr="007721FB">
        <w:rPr>
          <w:rFonts w:ascii="Times New Roman" w:hAnsi="Times New Roman" w:cs="Times New Roman"/>
          <w:sz w:val="24"/>
          <w:szCs w:val="24"/>
        </w:rPr>
        <w:t>.</w:t>
      </w:r>
      <w:r w:rsidR="00696BAA" w:rsidRPr="007721FB">
        <w:rPr>
          <w:rFonts w:ascii="Times New Roman" w:hAnsi="Times New Roman" w:cs="Times New Roman"/>
          <w:sz w:val="24"/>
          <w:szCs w:val="24"/>
        </w:rPr>
        <w:t xml:space="preserve"> </w:t>
      </w:r>
      <w:r w:rsidR="006567A6" w:rsidRPr="007721FB">
        <w:rPr>
          <w:rFonts w:ascii="Times New Roman" w:hAnsi="Times New Roman" w:cs="Times New Roman"/>
          <w:sz w:val="24"/>
          <w:szCs w:val="24"/>
        </w:rPr>
        <w:t>Temperature sensitivity</w:t>
      </w:r>
      <w:r w:rsidR="00696BAA" w:rsidRPr="007721FB">
        <w:rPr>
          <w:rFonts w:ascii="Times New Roman" w:hAnsi="Times New Roman" w:cs="Times New Roman"/>
          <w:sz w:val="24"/>
          <w:szCs w:val="24"/>
        </w:rPr>
        <w:t xml:space="preserve"> is </w:t>
      </w:r>
      <w:r w:rsidR="006567A6" w:rsidRPr="007721FB">
        <w:rPr>
          <w:rFonts w:ascii="Times New Roman" w:hAnsi="Times New Roman" w:cs="Times New Roman"/>
          <w:sz w:val="24"/>
          <w:szCs w:val="24"/>
        </w:rPr>
        <w:t>cor</w:t>
      </w:r>
      <w:r w:rsidR="00696BAA" w:rsidRPr="007721FB">
        <w:rPr>
          <w:rFonts w:ascii="Times New Roman" w:hAnsi="Times New Roman" w:cs="Times New Roman"/>
          <w:sz w:val="24"/>
          <w:szCs w:val="24"/>
        </w:rPr>
        <w:t>related with</w:t>
      </w:r>
      <w:r w:rsidR="006567A6" w:rsidRPr="007721FB">
        <w:rPr>
          <w:rFonts w:ascii="Times New Roman" w:hAnsi="Times New Roman" w:cs="Times New Roman"/>
          <w:sz w:val="24"/>
          <w:szCs w:val="24"/>
        </w:rPr>
        <w:t xml:space="preserve"> materials ability to change their properties with temperature, often in a nonlinear and sharp mode. T</w:t>
      </w:r>
      <w:r w:rsidR="00696BAA" w:rsidRPr="007721FB">
        <w:rPr>
          <w:rFonts w:ascii="Times New Roman" w:hAnsi="Times New Roman" w:cs="Times New Roman"/>
          <w:sz w:val="24"/>
          <w:szCs w:val="24"/>
        </w:rPr>
        <w:t>he low critical solution temperature (LCST)</w:t>
      </w:r>
      <w:r w:rsidR="00FF5FAA" w:rsidRPr="007721FB">
        <w:rPr>
          <w:rFonts w:ascii="Times New Roman" w:hAnsi="Times New Roman" w:cs="Times New Roman"/>
          <w:sz w:val="24"/>
          <w:szCs w:val="24"/>
        </w:rPr>
        <w:t xml:space="preserve"> of different </w:t>
      </w:r>
      <w:r w:rsidR="00696BAA" w:rsidRPr="007721FB">
        <w:rPr>
          <w:rFonts w:ascii="Times New Roman" w:hAnsi="Times New Roman" w:cs="Times New Roman"/>
          <w:sz w:val="24"/>
          <w:szCs w:val="24"/>
        </w:rPr>
        <w:t>materials used for nanocarriers assembly</w:t>
      </w:r>
      <w:r w:rsidR="00FF5FAA" w:rsidRPr="007721FB">
        <w:rPr>
          <w:rFonts w:ascii="Times New Roman" w:hAnsi="Times New Roman" w:cs="Times New Roman"/>
          <w:sz w:val="24"/>
          <w:szCs w:val="24"/>
        </w:rPr>
        <w:t xml:space="preserve"> is as key parameter to tailor the temperature-mediated release profile of these delivery systems.</w:t>
      </w:r>
      <w:r w:rsidR="00696BAA" w:rsidRPr="007721FB">
        <w:rPr>
          <w:rFonts w:ascii="Times New Roman" w:hAnsi="Times New Roman" w:cs="Times New Roman"/>
          <w:sz w:val="24"/>
          <w:szCs w:val="24"/>
        </w:rPr>
        <w:t xml:space="preserve"> Owing to their biological characteristics, healthy humans </w:t>
      </w:r>
      <w:r w:rsidR="00342026" w:rsidRPr="007721FB">
        <w:rPr>
          <w:rFonts w:ascii="Times New Roman" w:hAnsi="Times New Roman" w:cs="Times New Roman"/>
          <w:sz w:val="24"/>
          <w:szCs w:val="24"/>
        </w:rPr>
        <w:t xml:space="preserve">have thermoregulatory mechanisms that </w:t>
      </w:r>
      <w:r w:rsidR="00BF28BB" w:rsidRPr="007721FB">
        <w:rPr>
          <w:rFonts w:ascii="Times New Roman" w:hAnsi="Times New Roman" w:cs="Times New Roman"/>
          <w:sz w:val="24"/>
          <w:szCs w:val="24"/>
        </w:rPr>
        <w:t>guarantee</w:t>
      </w:r>
      <w:r w:rsidR="00342026" w:rsidRPr="007721FB">
        <w:rPr>
          <w:rFonts w:ascii="Times New Roman" w:hAnsi="Times New Roman" w:cs="Times New Roman"/>
          <w:sz w:val="24"/>
          <w:szCs w:val="24"/>
        </w:rPr>
        <w:t xml:space="preserve"> constant</w:t>
      </w:r>
      <w:r w:rsidR="00696BAA" w:rsidRPr="007721FB">
        <w:rPr>
          <w:rFonts w:ascii="Times New Roman" w:hAnsi="Times New Roman" w:cs="Times New Roman"/>
          <w:sz w:val="24"/>
          <w:szCs w:val="24"/>
        </w:rPr>
        <w:t xml:space="preserve"> body temperature over time. However, some pathophysiological scenarios, </w:t>
      </w:r>
      <w:r w:rsidR="00342026" w:rsidRPr="007721FB">
        <w:rPr>
          <w:rFonts w:ascii="Times New Roman" w:hAnsi="Times New Roman" w:cs="Times New Roman"/>
          <w:sz w:val="24"/>
          <w:szCs w:val="24"/>
        </w:rPr>
        <w:t>including</w:t>
      </w:r>
      <w:r w:rsidR="00696BAA" w:rsidRPr="007721FB">
        <w:rPr>
          <w:rFonts w:ascii="Times New Roman" w:hAnsi="Times New Roman" w:cs="Times New Roman"/>
          <w:sz w:val="24"/>
          <w:szCs w:val="24"/>
        </w:rPr>
        <w:t xml:space="preserve"> inflammation and tumors are characterized by higher temperatures than healthy tissues</w:t>
      </w:r>
      <w:r w:rsidR="008E2FB3" w:rsidRPr="007721FB">
        <w:rPr>
          <w:rFonts w:ascii="Times New Roman" w:hAnsi="Times New Roman" w:cs="Times New Roman"/>
          <w:sz w:val="24"/>
          <w:szCs w:val="24"/>
        </w:rPr>
        <w:t xml:space="preserve"> </w:t>
      </w:r>
      <w:r w:rsidR="00696BAA"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"DOI" : "10.1016/j.jconrel.2010.08.027", "ISBN" : "0168-3659", "ISSN" : "01683659", "PMID" : "20797419", "abstract" : "Because of the particular characteristics of the tumor microenvironment and tumor angiogenesis, it is possible to design drug delivery systems that specifically target anti-cancer drugs to tumors. Most of the conventional chemotherapeutic agents have poor pharmacokinetics profiles and are distributed non-specifically in the body leading to systemic toxicity associated with serious side effects. Therefore, the development of drug delivery systems able to target the tumor site is becoming a real challenge that is currently addressed. Nanomedicine can reach tumor passively through the leaky vasculature surrounding the tumors by the Enhanced Permeability and Retention effect whereas ligands grafted at the surface of nanocarriers allow active targeting by binding to the receptors overexpressed by cancer cells or angiogenic endothelial cells. This review is divided into two parts: the first one describes the tumor microenvironment and the second one focuses on the exploitation and the understanding of these characteristics to design new drug delivery systems targeting the tumor. Delivery of conventional chemotherapeutic anti-cancer drugs is mainly discussed. ?? 2010 Elsevier B.V.", "author" : [ { "dropping-particle" : "", "family" : "Danhier", "given" : "Fabienne", "non-dropping-particle" : "", "parse-names" : false, "suffix" : "" }, { "dropping-particle" : "", "family" : "Feron", "given" : "Olivier", "non-dropping-particle" : "", "parse-names" : false, "suffix" : "" }, { "dropping-particle" : "", "family" : "Pr\u00e9at", "given" : "V\u00e9ronique", "non-dropping-particle" : "", "parse-names" : false, "suffix" : "" } ], "container-title" : "Journal of Controlled Release", "id" : "ITEM-1", "issue" : "2", "issued" : { "date-parts" : [ [ "2010" ] ] }, "page" : "135-146", "publisher" : "Elsevier B.V.", "title" : "To exploit the tumor microenvironment: Passive and active tumor targeting of nanocarriers for anti-cancer drug delivery", "type" : "article-journal", "volume" : "148" }, "uris" : [ "http://www.mendeley.com/documents/?uuid=0f802fea-b431-409a-9160-750983988f1f", "http://www.mendeley.com/documents/?uuid=3770a53d-3906-4211-a4b7-4f2581915fd5" ] } ], "mendeley" : { "formattedCitation" : "[82]", "plainTextFormattedCitation" : "[82]", "previouslyFormattedCitation" : "[82]" }, "properties" : { "noteIndex" : 0 }, "schema" : "https://github.com/citation-style-language/schema/raw/master/csl-citation.json" }</w:instrText>
      </w:r>
      <w:r w:rsidR="00696BAA"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[82]</w:t>
      </w:r>
      <w:r w:rsidR="00696BAA" w:rsidRPr="007721FB">
        <w:rPr>
          <w:rFonts w:ascii="Times New Roman" w:hAnsi="Times New Roman" w:cs="Times New Roman"/>
          <w:sz w:val="24"/>
          <w:szCs w:val="24"/>
        </w:rPr>
        <w:fldChar w:fldCharType="end"/>
      </w:r>
      <w:r w:rsidR="008E2FB3" w:rsidRPr="007721FB">
        <w:rPr>
          <w:rFonts w:ascii="Times New Roman" w:hAnsi="Times New Roman" w:cs="Times New Roman"/>
          <w:sz w:val="24"/>
          <w:szCs w:val="24"/>
        </w:rPr>
        <w:t>.</w:t>
      </w:r>
      <w:r w:rsidR="00696BAA" w:rsidRPr="007721FB">
        <w:rPr>
          <w:rFonts w:ascii="Times New Roman" w:hAnsi="Times New Roman" w:cs="Times New Roman"/>
          <w:sz w:val="24"/>
          <w:szCs w:val="24"/>
        </w:rPr>
        <w:t xml:space="preserve"> This </w:t>
      </w:r>
      <w:r w:rsidR="006039A4" w:rsidRPr="007721FB">
        <w:rPr>
          <w:rFonts w:ascii="Times New Roman" w:hAnsi="Times New Roman" w:cs="Times New Roman"/>
          <w:sz w:val="24"/>
          <w:szCs w:val="24"/>
        </w:rPr>
        <w:t xml:space="preserve">thermal </w:t>
      </w:r>
      <w:r w:rsidR="00696BAA" w:rsidRPr="007721FB">
        <w:rPr>
          <w:rFonts w:ascii="Times New Roman" w:hAnsi="Times New Roman" w:cs="Times New Roman"/>
          <w:sz w:val="24"/>
          <w:szCs w:val="24"/>
        </w:rPr>
        <w:t xml:space="preserve">difference between cancer and normal tissues </w:t>
      </w:r>
      <w:r w:rsidR="00AF057C" w:rsidRPr="007721FB">
        <w:rPr>
          <w:rFonts w:ascii="Times New Roman" w:hAnsi="Times New Roman" w:cs="Times New Roman"/>
          <w:sz w:val="24"/>
          <w:szCs w:val="24"/>
        </w:rPr>
        <w:t>has been extensively</w:t>
      </w:r>
      <w:r w:rsidR="00696BAA" w:rsidRPr="007721FB">
        <w:rPr>
          <w:rFonts w:ascii="Times New Roman" w:hAnsi="Times New Roman" w:cs="Times New Roman"/>
          <w:sz w:val="24"/>
          <w:szCs w:val="24"/>
        </w:rPr>
        <w:t xml:space="preserve"> explored for</w:t>
      </w:r>
      <w:r w:rsidR="00AF057C" w:rsidRPr="007721FB">
        <w:rPr>
          <w:rFonts w:ascii="Times New Roman" w:hAnsi="Times New Roman" w:cs="Times New Roman"/>
          <w:sz w:val="24"/>
          <w:szCs w:val="24"/>
        </w:rPr>
        <w:t xml:space="preserve"> developing</w:t>
      </w:r>
      <w:r w:rsidR="00696BAA" w:rsidRPr="007721FB">
        <w:rPr>
          <w:rFonts w:ascii="Times New Roman" w:hAnsi="Times New Roman" w:cs="Times New Roman"/>
          <w:sz w:val="24"/>
          <w:szCs w:val="24"/>
        </w:rPr>
        <w:t xml:space="preserve"> thermo-responsive nanocarriers </w:t>
      </w:r>
      <w:r w:rsidR="00AF057C" w:rsidRPr="007721FB">
        <w:rPr>
          <w:rFonts w:ascii="Times New Roman" w:hAnsi="Times New Roman" w:cs="Times New Roman"/>
          <w:sz w:val="24"/>
          <w:szCs w:val="24"/>
        </w:rPr>
        <w:t>with application in cancer treatment</w:t>
      </w:r>
      <w:r w:rsidR="00723F81" w:rsidRPr="007721FB">
        <w:rPr>
          <w:rFonts w:ascii="Times New Roman" w:hAnsi="Times New Roman" w:cs="Times New Roman"/>
          <w:sz w:val="24"/>
          <w:szCs w:val="24"/>
        </w:rPr>
        <w:t>, as shown below</w:t>
      </w:r>
      <w:r w:rsidR="00696BAA" w:rsidRPr="007721FB">
        <w:rPr>
          <w:rFonts w:ascii="Times New Roman" w:hAnsi="Times New Roman" w:cs="Times New Roman"/>
          <w:sz w:val="24"/>
          <w:szCs w:val="24"/>
        </w:rPr>
        <w:t xml:space="preserve">. However, because not all tumors behave equally </w:t>
      </w:r>
      <w:r w:rsidR="00EA6ADF" w:rsidRPr="007721FB">
        <w:rPr>
          <w:rFonts w:ascii="Times New Roman" w:hAnsi="Times New Roman" w:cs="Times New Roman"/>
          <w:sz w:val="24"/>
          <w:szCs w:val="24"/>
        </w:rPr>
        <w:t>in</w:t>
      </w:r>
      <w:r w:rsidR="00696BAA" w:rsidRPr="007721FB">
        <w:rPr>
          <w:rFonts w:ascii="Times New Roman" w:hAnsi="Times New Roman" w:cs="Times New Roman"/>
          <w:sz w:val="24"/>
          <w:szCs w:val="24"/>
        </w:rPr>
        <w:t xml:space="preserve"> </w:t>
      </w:r>
      <w:r w:rsidR="006039A4" w:rsidRPr="007721FB">
        <w:rPr>
          <w:rFonts w:ascii="Times New Roman" w:hAnsi="Times New Roman" w:cs="Times New Roman"/>
          <w:sz w:val="24"/>
          <w:szCs w:val="24"/>
        </w:rPr>
        <w:t>local</w:t>
      </w:r>
      <w:r w:rsidR="00EA6ADF" w:rsidRPr="007721FB">
        <w:rPr>
          <w:rFonts w:ascii="Times New Roman" w:hAnsi="Times New Roman" w:cs="Times New Roman"/>
          <w:sz w:val="24"/>
          <w:szCs w:val="24"/>
        </w:rPr>
        <w:t>ly increased</w:t>
      </w:r>
      <w:r w:rsidR="006039A4" w:rsidRPr="007721FB">
        <w:rPr>
          <w:rFonts w:ascii="Times New Roman" w:hAnsi="Times New Roman" w:cs="Times New Roman"/>
          <w:sz w:val="24"/>
          <w:szCs w:val="24"/>
        </w:rPr>
        <w:t xml:space="preserve"> temperature</w:t>
      </w:r>
      <w:r w:rsidR="00696BAA" w:rsidRPr="007721FB">
        <w:rPr>
          <w:rFonts w:ascii="Times New Roman" w:hAnsi="Times New Roman" w:cs="Times New Roman"/>
          <w:sz w:val="24"/>
          <w:szCs w:val="24"/>
        </w:rPr>
        <w:t xml:space="preserve"> </w:t>
      </w:r>
      <w:r w:rsidR="00CD3EFF" w:rsidRPr="007721FB">
        <w:rPr>
          <w:rFonts w:ascii="Times New Roman" w:hAnsi="Times New Roman" w:cs="Times New Roman"/>
          <w:sz w:val="24"/>
          <w:szCs w:val="24"/>
        </w:rPr>
        <w:t>t</w:t>
      </w:r>
      <w:r w:rsidR="00696BAA" w:rsidRPr="007721FB">
        <w:rPr>
          <w:rFonts w:ascii="Times New Roman" w:hAnsi="Times New Roman" w:cs="Times New Roman"/>
          <w:sz w:val="24"/>
          <w:szCs w:val="24"/>
        </w:rPr>
        <w:t xml:space="preserve">his selective delivery </w:t>
      </w:r>
      <w:r w:rsidR="0094688D" w:rsidRPr="007721FB">
        <w:rPr>
          <w:rFonts w:ascii="Times New Roman" w:hAnsi="Times New Roman" w:cs="Times New Roman"/>
          <w:sz w:val="24"/>
          <w:szCs w:val="24"/>
        </w:rPr>
        <w:t>could be</w:t>
      </w:r>
      <w:r w:rsidR="00696BAA" w:rsidRPr="007721FB">
        <w:rPr>
          <w:rFonts w:ascii="Times New Roman" w:hAnsi="Times New Roman" w:cs="Times New Roman"/>
          <w:sz w:val="24"/>
          <w:szCs w:val="24"/>
        </w:rPr>
        <w:t xml:space="preserve"> further improved by externally heating the tumor site either through ultrasound, alternating magnetic fields or temperature-controlled water sacks</w:t>
      </w:r>
      <w:r w:rsidR="006039A4" w:rsidRPr="007721FB">
        <w:rPr>
          <w:rFonts w:ascii="Times New Roman" w:hAnsi="Times New Roman" w:cs="Times New Roman"/>
          <w:sz w:val="24"/>
          <w:szCs w:val="24"/>
        </w:rPr>
        <w:t xml:space="preserve"> </w:t>
      </w:r>
      <w:r w:rsidR="00696BAA"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"DOI" : "10.1038/nrd4333", "ISBN" : "1474-1784 (Electronic)\\r1474-1776 (Linking)", "ISSN" : "1474-1784", "PMID" : "25287120", "abstract" : "The use of nanoparticulate pharmaceutical drug delivery systems (NDDSs) to enhance the in vivo effectiveness of drugs is now well established. The development of multifunctional and stimulus-sensitive NDDSs is an active area of current research. Such NDDSs can have long circulation times, target the site of the disease and enhance the intracellular delivery of a drug. This type of NDDS can also respond to local stimuli that are characteristic of the pathological site by, for example, releasing an entrapped drug or shedding a protective coating, thus facilitating the interaction between drug-loaded nanocarriers and target cells or tissues. In addition, imaging contrast moieties can be attached to these carriers to track their real-time biodistribution and accumulation in target cells or tissues. Here, I highlight recent developments with multifunctional and stimuli-sensitive NDDSs and their therapeutic potential for diseases including cancer, cardiovascular diseases and infectious diseases.", "author" : [ { "dropping-particle" : "", "family" : "Torchilin", "given" : "Vladimir P", "non-dropping-particle" : "", "parse-names" : false, "suffix" : "" } ], "container-title" : "Nature reviews. Drug discovery", "id" : "ITEM-1", "issue" : "11", "issued" : { "date-parts" : [ [ "2014" ] ] }, "page" : "813-827", "publisher" : "Nature Publishing Group", "title" : "Multifunctional, stimuli-sensitive nanoparticulate systems for drug delivery.", "type" : "article-journal", "volume" : "13" }, "uris" : [ "http://www.mendeley.com/documents/?uuid=c8293a08-56f8-4e7a-9ce7-1e8f5f547b19", "http://www.mendeley.com/documents/?uuid=d1044cae-7f02-4669-95b1-e22e4d57d803" ] }, { "id" : "ITEM-2", "itemData" : { "DOI" : "10.1038/NMAT3776", "ISBN" : "1476-1122 (Print)\\r1476-1122 (Linking)", "ISSN" : "1476-1122", "PMID" : "24150417", "abstract" : "Spurred by recent progress in materials chemistry and drug delivery, stimuli-responsive devices that deliver a drug in spatial-, temporal-and dosage-controlled fashions have become possible. Implementation of such devices requires the use of biocompatible materials that are susceptible to a specific physical incitement or that, in response to a specific stimulus, undergo a protonation, a hydrolytic cleavage or a (supra) molecular conformational change. In this Review, we discuss recent advances in the design of nanoscale stimuli-responsive systems that are able to control drug biodistribution in response to specific stimuli, either exogenous (variations in temperature, magnetic field, ultrasound intensity, light or electric pulses) or endogenous (changes in pH, enzyme concentration or redox gradients).", "author" : [ { "dropping-particle" : "", "family" : "Mura", "given" : "Simona", "non-dropping-particle" : "", "parse-names" : false, "suffix" : "" }, { "dropping-particle" : "", "family" : "Nicolas", "given" : "Julien", "non-dropping-particle" : "", "parse-names" : false, "suffix" : "" }, { "dropping-particle" : "", "family" : "Couvreur", "given" : "Patrick", "non-dropping-particle" : "", "parse-names" : false, "suffix" : "" } ], "container-title" : "Nature Materials", "id" : "ITEM-2", "issue" : "11", "issued" : { "date-parts" : [ [ "2013" ] ] }, "page" : "991-1003", "publisher" : "Nature Publishing Group", "title" : "Stimuli-responsive nanocarriers for drug delivery", "type" : "article-journal", "volume" : "12" }, "uris" : [ "http://www.mendeley.com/documents/?uuid=ed9334db-2ea4-434c-a81e-73d3c218823f", "http://www.mendeley.com/documents/?uuid=89a4a394-f260-4f82-b443-d41d8cdf09ef", "http://www.mendeley.com/documents/?uuid=1ff67bea-063d-4787-a1f6-bac0667322e5" ] } ], "mendeley" : { "formattedCitation" : "[20,33]", "plainTextFormattedCitation" : "[20,33]", "previouslyFormattedCitation" : "[20,33]" }, "properties" : { "noteIndex" : 0 }, "schema" : "https://github.com/citation-style-language/schema/raw/master/csl-citation.json" }</w:instrText>
      </w:r>
      <w:r w:rsidR="00696BAA"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[20,33]</w:t>
      </w:r>
      <w:r w:rsidR="00696BAA" w:rsidRPr="007721FB">
        <w:rPr>
          <w:rFonts w:ascii="Times New Roman" w:hAnsi="Times New Roman" w:cs="Times New Roman"/>
          <w:sz w:val="24"/>
          <w:szCs w:val="24"/>
        </w:rPr>
        <w:fldChar w:fldCharType="end"/>
      </w:r>
      <w:r w:rsidR="006039A4" w:rsidRPr="007721FB">
        <w:rPr>
          <w:rFonts w:ascii="Times New Roman" w:hAnsi="Times New Roman" w:cs="Times New Roman"/>
          <w:sz w:val="24"/>
          <w:szCs w:val="24"/>
        </w:rPr>
        <w:t>. Yet, we should carefully address the validity of such approaches</w:t>
      </w:r>
      <w:r w:rsidR="00CD3EFF" w:rsidRPr="007721FB">
        <w:rPr>
          <w:rFonts w:ascii="Times New Roman" w:hAnsi="Times New Roman" w:cs="Times New Roman"/>
          <w:sz w:val="24"/>
          <w:szCs w:val="24"/>
        </w:rPr>
        <w:t xml:space="preserve"> </w:t>
      </w:r>
      <w:r w:rsidR="006039A4" w:rsidRPr="007721FB">
        <w:rPr>
          <w:rFonts w:ascii="Times New Roman" w:hAnsi="Times New Roman" w:cs="Times New Roman"/>
          <w:sz w:val="24"/>
          <w:szCs w:val="24"/>
        </w:rPr>
        <w:t>in the context of tumors</w:t>
      </w:r>
      <w:r w:rsidR="00CD3EFF" w:rsidRPr="007721FB">
        <w:rPr>
          <w:rFonts w:ascii="Times New Roman" w:hAnsi="Times New Roman" w:cs="Times New Roman"/>
          <w:sz w:val="24"/>
          <w:szCs w:val="24"/>
        </w:rPr>
        <w:t>,</w:t>
      </w:r>
      <w:r w:rsidR="006039A4" w:rsidRPr="007721FB">
        <w:rPr>
          <w:rFonts w:ascii="Times New Roman" w:hAnsi="Times New Roman" w:cs="Times New Roman"/>
          <w:sz w:val="24"/>
          <w:szCs w:val="24"/>
        </w:rPr>
        <w:t xml:space="preserve"> since </w:t>
      </w:r>
      <w:r w:rsidR="008419CB" w:rsidRPr="007721FB">
        <w:rPr>
          <w:rFonts w:ascii="Times New Roman" w:hAnsi="Times New Roman" w:cs="Times New Roman"/>
          <w:sz w:val="24"/>
          <w:szCs w:val="24"/>
        </w:rPr>
        <w:t>the</w:t>
      </w:r>
      <w:r w:rsidR="00544DB5" w:rsidRPr="007721FB">
        <w:rPr>
          <w:rFonts w:ascii="Times New Roman" w:hAnsi="Times New Roman" w:cs="Times New Roman"/>
          <w:sz w:val="24"/>
          <w:szCs w:val="24"/>
        </w:rPr>
        <w:t xml:space="preserve"> over</w:t>
      </w:r>
      <w:r w:rsidR="006039A4" w:rsidRPr="007721FB">
        <w:rPr>
          <w:rFonts w:ascii="Times New Roman" w:hAnsi="Times New Roman" w:cs="Times New Roman"/>
          <w:sz w:val="24"/>
          <w:szCs w:val="24"/>
        </w:rPr>
        <w:t>expression of heat-shock proteins (</w:t>
      </w:r>
      <w:r w:rsidR="00233C15" w:rsidRPr="007721FB">
        <w:rPr>
          <w:rFonts w:ascii="Times New Roman" w:hAnsi="Times New Roman" w:cs="Times New Roman"/>
          <w:sz w:val="24"/>
          <w:szCs w:val="24"/>
        </w:rPr>
        <w:t>e.g., Hsp</w:t>
      </w:r>
      <w:r w:rsidR="00544DB5" w:rsidRPr="007721FB">
        <w:rPr>
          <w:rFonts w:ascii="Times New Roman" w:hAnsi="Times New Roman" w:cs="Times New Roman"/>
          <w:sz w:val="24"/>
          <w:szCs w:val="24"/>
        </w:rPr>
        <w:t>-70</w:t>
      </w:r>
      <w:r w:rsidR="00233C15" w:rsidRPr="007721FB">
        <w:rPr>
          <w:rFonts w:ascii="Times New Roman" w:hAnsi="Times New Roman" w:cs="Times New Roman"/>
          <w:sz w:val="24"/>
          <w:szCs w:val="24"/>
        </w:rPr>
        <w:t>, HSP-90</w:t>
      </w:r>
      <w:r w:rsidR="003D04C3" w:rsidRPr="007721FB">
        <w:rPr>
          <w:rFonts w:ascii="Times New Roman" w:hAnsi="Times New Roman" w:cs="Times New Roman"/>
          <w:sz w:val="24"/>
          <w:szCs w:val="24"/>
        </w:rPr>
        <w:t xml:space="preserve"> </w:t>
      </w:r>
      <w:r w:rsidR="00870BC1"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"DOI" : "https://doi.org/10.1016/j.tibs.2016.01.003", "ISSN" : "0968-0004", "author" : [ { "dropping-particle" : "", "family" : "Calderwood", "given" : "Stuart K", "non-dropping-particle" : "", "parse-names" : false, "suffix" : "" }, { "dropping-particle" : "", "family" : "Gong", "given" : "Jianlin", "non-dropping-particle" : "", "parse-names" : false, "suffix" : "" } ], "container-title" : "Trends in Biochemical Sciences", "id" : "ITEM-1", "issue" : "4", "issued" : { "date-parts" : [ [ "2016" ] ] }, "page" : "311-323", "title" : "Heat Shock Proteins Promote Cancer: It's a Protection Racket", "type" : "article-journal", "volume" : "41" }, "uris" : [ "http://www.mendeley.com/documents/?uuid=db592562-f875-4677-9f4e-7767c82801e2" ] } ], "mendeley" : { "formattedCitation" : "[83]", "plainTextFormattedCitation" : "[83]", "previouslyFormattedCitation" : "[83]" }, "properties" : { "noteIndex" : 14 }, "schema" : "https://github.com/citation-style-language/schema/raw/master/csl-citation.json" }</w:instrText>
      </w:r>
      <w:r w:rsidR="00870BC1"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[83]</w:t>
      </w:r>
      <w:r w:rsidR="00870BC1" w:rsidRPr="007721FB">
        <w:rPr>
          <w:rFonts w:ascii="Times New Roman" w:hAnsi="Times New Roman" w:cs="Times New Roman"/>
          <w:sz w:val="24"/>
          <w:szCs w:val="24"/>
        </w:rPr>
        <w:fldChar w:fldCharType="end"/>
      </w:r>
      <w:r w:rsidR="006039A4" w:rsidRPr="007721FB">
        <w:rPr>
          <w:rFonts w:ascii="Times New Roman" w:hAnsi="Times New Roman" w:cs="Times New Roman"/>
          <w:sz w:val="24"/>
          <w:szCs w:val="24"/>
        </w:rPr>
        <w:t xml:space="preserve">) may </w:t>
      </w:r>
      <w:r w:rsidR="00544DB5" w:rsidRPr="007721FB">
        <w:rPr>
          <w:rFonts w:ascii="Times New Roman" w:hAnsi="Times New Roman" w:cs="Times New Roman"/>
          <w:sz w:val="24"/>
          <w:szCs w:val="24"/>
        </w:rPr>
        <w:t>further</w:t>
      </w:r>
      <w:r w:rsidR="006039A4" w:rsidRPr="007721FB">
        <w:rPr>
          <w:rFonts w:ascii="Times New Roman" w:hAnsi="Times New Roman" w:cs="Times New Roman"/>
          <w:sz w:val="24"/>
          <w:szCs w:val="24"/>
        </w:rPr>
        <w:t xml:space="preserve"> contribute for cells</w:t>
      </w:r>
      <w:r w:rsidR="00544DB5" w:rsidRPr="007721FB">
        <w:rPr>
          <w:rFonts w:ascii="Times New Roman" w:hAnsi="Times New Roman" w:cs="Times New Roman"/>
          <w:sz w:val="24"/>
          <w:szCs w:val="24"/>
        </w:rPr>
        <w:t xml:space="preserve"> thermal</w:t>
      </w:r>
      <w:r w:rsidR="006039A4" w:rsidRPr="007721FB">
        <w:rPr>
          <w:rFonts w:ascii="Times New Roman" w:hAnsi="Times New Roman" w:cs="Times New Roman"/>
          <w:sz w:val="24"/>
          <w:szCs w:val="24"/>
        </w:rPr>
        <w:t xml:space="preserve"> resistance</w:t>
      </w:r>
      <w:r w:rsidR="00EA6ADF" w:rsidRPr="007721FB">
        <w:rPr>
          <w:rFonts w:ascii="Times New Roman" w:hAnsi="Times New Roman" w:cs="Times New Roman"/>
          <w:sz w:val="24"/>
          <w:szCs w:val="24"/>
        </w:rPr>
        <w:t xml:space="preserve"> along time</w:t>
      </w:r>
      <w:r w:rsidR="002079BE" w:rsidRPr="007721FB">
        <w:rPr>
          <w:rFonts w:ascii="Times New Roman" w:hAnsi="Times New Roman" w:cs="Times New Roman"/>
          <w:sz w:val="24"/>
          <w:szCs w:val="24"/>
        </w:rPr>
        <w:t xml:space="preserve"> and counteract the cytotoxic effect of released chemotherapeutics. Some combinatorial strategies for silencing HSPs and releasing cytotoxic drugs have been under development to circumvent this resistance mechanism</w:t>
      </w:r>
      <w:r w:rsidR="00233C15" w:rsidRPr="007721FB">
        <w:rPr>
          <w:rFonts w:ascii="Times New Roman" w:hAnsi="Times New Roman" w:cs="Times New Roman"/>
          <w:sz w:val="24"/>
          <w:szCs w:val="24"/>
        </w:rPr>
        <w:t xml:space="preserve"> </w:t>
      </w:r>
      <w:r w:rsidR="00233C15"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"DOI" : "10.1002/adfm.201600031", "ISSN" : "1616-3028", "author" : [ { "dropping-particle" : "", "family" : "Liu", "given" : "Dongdong", "non-dropping-particle" : "", "parse-names" : false, "suffix" : "" }, { "dropping-particle" : "", "family" : "Ma", "given" : "Liyi", "non-dropping-particle" : "", "parse-names" : false, "suffix" : "" }, { "dropping-particle" : "", "family" : "An", "given" : "Yanxin", "non-dropping-particle" : "", "parse-names" : false, "suffix" : "" }, { "dropping-particle" : "", "family" : "Li", "given" : "Yu", "non-dropping-particle" : "", "parse-names" : false, "suffix" : "" }, { "dropping-particle" : "", "family" : "Liu", "given" : "Yuxin", "non-dropping-particle" : "", "parse-names" : false, "suffix" : "" }, { "dropping-particle" : "", "family" : "Wang", "given" : "Lu", "non-dropping-particle" : "", "parse-names" : false, "suffix" : "" }, { "dropping-particle" : "", "family" : "Guo", "given" : "Jin", "non-dropping-particle" : "", "parse-names" : false, "suffix" : "" }, { "dropping-particle" : "", "family" : "Wang", "given" : "Jianhua", "non-dropping-particle" : "", "parse-names" : false, "suffix" : "" }, { "dropping-particle" : "", "family" : "Zhou", "given" : "Jing", "non-dropping-particle" : "", "parse-names" : false, "suffix" : "" } ], "container-title" : "Advanced Functional Materials", "id" : "ITEM-1", "issue" : "26", "issued" : { "date-parts" : [ [ "2016", "7", "1" ] ] }, "page" : "4749-4759", "title" : "Thermoresponsive Nanogel-Encapsulated PEDOT and HSP70 Inhibitor for Improving the Depth of the Photothermal Therapeutic Effect", "type" : "article-journal", "volume" : "26" }, "uris" : [ "http://www.mendeley.com/documents/?uuid=eb2c340d-841b-46da-8359-1815c5b0fb0e" ] } ], "mendeley" : { "formattedCitation" : "[84]", "plainTextFormattedCitation" : "[84]", "previouslyFormattedCitation" : "[84]" }, "properties" : { "noteIndex" : 14 }, "schema" : "https://github.com/citation-style-language/schema/raw/master/csl-citation.json" }</w:instrText>
      </w:r>
      <w:r w:rsidR="00233C15"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[84]</w:t>
      </w:r>
      <w:r w:rsidR="00233C15" w:rsidRPr="007721FB">
        <w:rPr>
          <w:rFonts w:ascii="Times New Roman" w:hAnsi="Times New Roman" w:cs="Times New Roman"/>
          <w:sz w:val="24"/>
          <w:szCs w:val="24"/>
        </w:rPr>
        <w:fldChar w:fldCharType="end"/>
      </w:r>
      <w:r w:rsidR="002079BE" w:rsidRPr="007721FB">
        <w:rPr>
          <w:rFonts w:ascii="Times New Roman" w:hAnsi="Times New Roman" w:cs="Times New Roman"/>
          <w:sz w:val="24"/>
          <w:szCs w:val="24"/>
        </w:rPr>
        <w:t>.</w:t>
      </w:r>
    </w:p>
    <w:p w14:paraId="198B6C59" w14:textId="19AED04C" w:rsidR="00696BAA" w:rsidRPr="007721FB" w:rsidRDefault="008E2FB3" w:rsidP="00D867DF">
      <w:pPr>
        <w:spacing w:after="0" w:line="240" w:lineRule="auto"/>
        <w:jc w:val="both"/>
        <w:rPr>
          <w:rFonts w:ascii="Times New Roman" w:hAnsi="Times New Roman" w:cs="Times New Roman"/>
          <w:sz w:val="24"/>
          <w:szCs w:val="24"/>
        </w:rPr>
      </w:pPr>
      <w:r w:rsidRPr="007721FB">
        <w:rPr>
          <w:rFonts w:ascii="Times New Roman" w:hAnsi="Times New Roman" w:cs="Times New Roman"/>
          <w:sz w:val="24"/>
          <w:szCs w:val="24"/>
        </w:rPr>
        <w:t xml:space="preserve">   </w:t>
      </w:r>
      <w:r w:rsidR="00696BAA" w:rsidRPr="007721FB">
        <w:rPr>
          <w:rFonts w:ascii="Times New Roman" w:hAnsi="Times New Roman" w:cs="Times New Roman"/>
          <w:sz w:val="24"/>
          <w:szCs w:val="24"/>
        </w:rPr>
        <w:t>For the particular case of bone tissues, Staruch and co-workers</w:t>
      </w:r>
      <w:r w:rsidR="0091597F" w:rsidRPr="007721FB">
        <w:rPr>
          <w:rFonts w:ascii="Times New Roman" w:hAnsi="Times New Roman" w:cs="Times New Roman"/>
          <w:sz w:val="24"/>
          <w:szCs w:val="24"/>
        </w:rPr>
        <w:t xml:space="preserve"> </w:t>
      </w:r>
      <w:r w:rsidR="00696BAA" w:rsidRPr="007721FB">
        <w:rPr>
          <w:rFonts w:ascii="Times New Roman" w:hAnsi="Times New Roman" w:cs="Times New Roman"/>
          <w:sz w:val="24"/>
          <w:szCs w:val="24"/>
        </w:rPr>
        <w:t>were able to achieve magnetic resonance imaging (MRI)-guided drug deposition in bone through the administration of thermo-responsive liposomes containing DOX</w:t>
      </w:r>
      <w:r w:rsidRPr="007721FB">
        <w:rPr>
          <w:rFonts w:ascii="Times New Roman" w:hAnsi="Times New Roman" w:cs="Times New Roman"/>
          <w:sz w:val="24"/>
          <w:szCs w:val="24"/>
        </w:rPr>
        <w:t xml:space="preserve"> (ThermoDox</w:t>
      </w:r>
      <w:r w:rsidRPr="007721FB">
        <w:rPr>
          <w:rFonts w:ascii="Times New Roman" w:hAnsi="Times New Roman" w:cs="Times New Roman"/>
          <w:sz w:val="24"/>
          <w:szCs w:val="24"/>
          <w:vertAlign w:val="superscript"/>
        </w:rPr>
        <w:t>®</w:t>
      </w:r>
      <w:r w:rsidRPr="007721FB">
        <w:rPr>
          <w:rFonts w:ascii="Times New Roman" w:hAnsi="Times New Roman" w:cs="Times New Roman"/>
          <w:sz w:val="24"/>
          <w:szCs w:val="24"/>
        </w:rPr>
        <w:t>)</w:t>
      </w:r>
      <w:r w:rsidR="00D07CFD" w:rsidRPr="007721FB">
        <w:rPr>
          <w:rFonts w:ascii="Times New Roman" w:hAnsi="Times New Roman" w:cs="Times New Roman"/>
          <w:sz w:val="24"/>
          <w:szCs w:val="24"/>
        </w:rPr>
        <w:t xml:space="preserve"> </w:t>
      </w:r>
      <w:r w:rsidR="00696BAA"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"DOI" : "10.1148/radiol.12111189", "ISBN" : "1527-1315 (Electronic)\\r0033-8419 (Linking)", "ISSN" : "0033-8419", "PMID" : "22438444", "abstract" : "To evaluate the feasibility of achieving image-guided drug delivery in bone by using magnetic resonance (MR) im- agingcontrolled focused ultrasound hyperthermia and temperature-sensitive liposomes.", "author" : [ { "dropping-particle" : "", "family" : "Staruch", "given" : "R.", "non-dropping-particle" : "", "parse-names" : false, "suffix" : "" }, { "dropping-particle" : "", "family" : "Chopra", "given" : "R.", "non-dropping-particle" : "", "parse-names" : false, "suffix" : "" }, { "dropping-particle" : "", "family" : "Hynynen", "given" : "K.", "non-dropping-particle" : "", "parse-names" : false, "suffix" : "" } ], "container-title" : "Radiology", "id" : "ITEM-1", "issue" : "1", "issued" : { "date-parts" : [ [ "2012" ] ] }, "page" : "117-127", "title" : "Hyperthermia in Bone Generated with MR Imaging-controlled Focused Ultrasound: Control Strategies and Drug Delivery", "type" : "article-journal", "volume" : "263" }, "uris" : [ "http://www.mendeley.com/documents/?uuid=1b6045db-2125-4ab1-bfc5-c4ad145a4d4f", "http://www.mendeley.com/documents/?uuid=6619d2d8-bbff-4f4d-8289-3920bf3c5b8b" ] } ], "mendeley" : { "formattedCitation" : "[85]", "plainTextFormattedCitation" : "[85]", "previouslyFormattedCitation" : "[85]" }, "properties" : { "noteIndex" : 0 }, "schema" : "https://github.com/citation-style-language/schema/raw/master/csl-citation.json" }</w:instrText>
      </w:r>
      <w:r w:rsidR="00696BAA"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[85]</w:t>
      </w:r>
      <w:r w:rsidR="00696BAA" w:rsidRPr="007721FB">
        <w:rPr>
          <w:rFonts w:ascii="Times New Roman" w:hAnsi="Times New Roman" w:cs="Times New Roman"/>
          <w:sz w:val="24"/>
          <w:szCs w:val="24"/>
        </w:rPr>
        <w:fldChar w:fldCharType="end"/>
      </w:r>
      <w:r w:rsidR="00D07CFD" w:rsidRPr="007721FB">
        <w:rPr>
          <w:rFonts w:ascii="Times New Roman" w:hAnsi="Times New Roman" w:cs="Times New Roman"/>
          <w:sz w:val="24"/>
          <w:szCs w:val="24"/>
        </w:rPr>
        <w:t>.</w:t>
      </w:r>
      <w:r w:rsidR="00696BAA" w:rsidRPr="007721FB">
        <w:rPr>
          <w:rFonts w:ascii="Times New Roman" w:hAnsi="Times New Roman" w:cs="Times New Roman"/>
          <w:sz w:val="24"/>
          <w:szCs w:val="24"/>
        </w:rPr>
        <w:t xml:space="preserve"> Focused ultrasound heating after liposomal administration in New Zealand white rabbits resulted in 8.2</w:t>
      </w:r>
      <w:r w:rsidR="00790D3A" w:rsidRPr="007721FB">
        <w:rPr>
          <w:rFonts w:ascii="Times New Roman" w:hAnsi="Times New Roman" w:cs="Times New Roman"/>
          <w:sz w:val="24"/>
          <w:szCs w:val="24"/>
        </w:rPr>
        <w:t xml:space="preserve"> and 16.8-</w:t>
      </w:r>
      <w:r w:rsidR="00696BAA" w:rsidRPr="007721FB">
        <w:rPr>
          <w:rFonts w:ascii="Times New Roman" w:hAnsi="Times New Roman" w:cs="Times New Roman"/>
          <w:sz w:val="24"/>
          <w:szCs w:val="24"/>
        </w:rPr>
        <w:t>fold increased DOX concentration in bone marrow and bone adjacent muscles, respectively, in comparison with non-heated tissues. On a similar note, Song</w:t>
      </w:r>
      <w:r w:rsidR="0091597F" w:rsidRPr="007721FB">
        <w:rPr>
          <w:rFonts w:ascii="Times New Roman" w:hAnsi="Times New Roman" w:cs="Times New Roman"/>
          <w:sz w:val="24"/>
          <w:szCs w:val="24"/>
        </w:rPr>
        <w:t xml:space="preserve"> and colleagues </w:t>
      </w:r>
      <w:r w:rsidR="00696BAA" w:rsidRPr="007721FB">
        <w:rPr>
          <w:rFonts w:ascii="Times New Roman" w:hAnsi="Times New Roman" w:cs="Times New Roman"/>
          <w:sz w:val="24"/>
          <w:szCs w:val="24"/>
        </w:rPr>
        <w:t xml:space="preserve">developed thermo-responsive pamidronate (PA)-functionalized </w:t>
      </w:r>
      <w:r w:rsidR="00696BAA" w:rsidRPr="007721FB">
        <w:rPr>
          <w:rFonts w:ascii="Times New Roman" w:hAnsi="Times New Roman" w:cs="Times New Roman"/>
          <w:sz w:val="24"/>
          <w:szCs w:val="24"/>
        </w:rPr>
        <w:lastRenderedPageBreak/>
        <w:t>liposomes containing DOX for treatment of bone tumor metastases</w:t>
      </w:r>
      <w:r w:rsidR="00694E6B" w:rsidRPr="007721FB">
        <w:rPr>
          <w:rFonts w:ascii="Times New Roman" w:hAnsi="Times New Roman" w:cs="Times New Roman"/>
          <w:sz w:val="24"/>
          <w:szCs w:val="24"/>
        </w:rPr>
        <w:t xml:space="preserve"> </w:t>
      </w:r>
      <w:r w:rsidR="00696BAA"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"DOI" : "10.1155/2015/393968", "ISSN" : "16874129", "PMID" : "25975585", "abstract" : "Bone is among the most common sites of metastasis in cancer patients, so it is an urgent need to develop drug delivery systems targeting tumor bone metastasis with the feature of controlled release. This study aimed to delivery of thermosensitive liposomal doxorubicin to bone for tumor metastasis treatment. First, Brij78 (polyoxyethylene stearyl ether) was conjugated with Pamidronate (Pa). By incorporating Pa-Brij78 to DPPC/Chol liposomes, we developed Pa surface functionalized liposomes. The Pa-Brij78/DPPC/Chol liposomes (PB-liposomes) exhibited a stronger binding affinity to hydroxyapatite (HA), a major component of bone, than Brij78/DPPC/Chol liposomes (B-liposomes). Doxorubicin (Dox) was then encapsulated in PB-liposomes and the results demonstrated complete release of Dox from PB-liposomes or the complex of HA/PB-liposomes within 10 min at 42 \u00b0C. Next, human lung cancer A549 cells were treated with the thermosensitive complex of HA/PB-liposomes/Dox to mimic tumor bone metastasis treatment through bone targeted delivery of therapeutic agents. Pre-incubation of HA/PB-liposomes/Dox with mild heat at 42 \u00b0C induced subsequent higher cytotoxicity to A549 cells than incubation of the same complex at 37 \u00b0C, suggesting more active drug release triggered by heat. In conclusion, we synthesized a novel surfactant Pa-Brij78 and it has the potential to be used for development of a bone targeted thermosensitive liposome formulation for treatment of tumor bone metastasis.", "author" : [ { "dropping-particle" : "", "family" : "Song", "given" : "Heliang", "non-dropping-particle" : "", "parse-names" : false, "suffix" : "" }, { "dropping-particle" : "", "family" : "Zhang", "given" : "Jiabin", "non-dropping-particle" : "", "parse-names" : false, "suffix" : "" }, { "dropping-particle" : "", "family" : "Liu", "given" : "Xinrong", "non-dropping-particle" : "", "parse-names" : false, "suffix" : "" }, { "dropping-particle" : "", "family" : "Deng", "given" : "Tongming", "non-dropping-particle" : "", "parse-names" : false, "suffix" : "" }, { "dropping-particle" : "", "family" : "Yao", "given" : "Peng", "non-dropping-particle" : "", "parse-names" : false, "suffix" : "" }, { "dropping-particle" : "", "family" : "Zhou", "given" : "Shaobing", "non-dropping-particle" : "", "parse-names" : false, "suffix" : "" }, { "dropping-particle" : "", "family" : "Yan", "given" : "Weili", "non-dropping-particle" : "", "parse-names" : false, "suffix" : "" } ], "container-title" : "Journal of Nanomaterials", "id" : "ITEM-1", "issue" : "6", "issued" : { "date-parts" : [ [ "2015" ] ] }, "page" : "680-7", "publisher" : "Informa Healthcare USA, Inc", "title" : "Development of drug loaded nanoparticles binding to hydroxyapatite based on a bisphosphonate modified nonionic surfactant", "type" : "article-journal", "volume" : "2015" }, "uris" : [ "http://www.mendeley.com/documents/?uuid=efcd0ff4-98d2-4144-99ae-0e875c6c1229", "http://www.mendeley.com/documents/?uuid=6b3f529b-42de-4adc-b9a0-7817800218d8" ] } ], "mendeley" : { "formattedCitation" : "[86]", "plainTextFormattedCitation" : "[86]", "previouslyFormattedCitation" : "[86]" }, "properties" : { "noteIndex" : 0 }, "schema" : "https://github.com/citation-style-language/schema/raw/master/csl-citation.json" }</w:instrText>
      </w:r>
      <w:r w:rsidR="00696BAA"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[86]</w:t>
      </w:r>
      <w:r w:rsidR="00696BAA" w:rsidRPr="007721FB">
        <w:rPr>
          <w:rFonts w:ascii="Times New Roman" w:hAnsi="Times New Roman" w:cs="Times New Roman"/>
          <w:sz w:val="24"/>
          <w:szCs w:val="24"/>
        </w:rPr>
        <w:fldChar w:fldCharType="end"/>
      </w:r>
      <w:r w:rsidR="00694E6B" w:rsidRPr="007721FB">
        <w:rPr>
          <w:rFonts w:ascii="Times New Roman" w:hAnsi="Times New Roman" w:cs="Times New Roman"/>
          <w:sz w:val="24"/>
          <w:szCs w:val="24"/>
        </w:rPr>
        <w:t xml:space="preserve">. </w:t>
      </w:r>
      <w:r w:rsidR="00696BAA" w:rsidRPr="007721FB">
        <w:rPr>
          <w:rFonts w:ascii="Times New Roman" w:hAnsi="Times New Roman" w:cs="Times New Roman"/>
          <w:sz w:val="24"/>
          <w:szCs w:val="24"/>
        </w:rPr>
        <w:t xml:space="preserve">These liposomes exhibited a strong binding affinity to </w:t>
      </w:r>
      <w:r w:rsidR="00870BC1" w:rsidRPr="007721FB">
        <w:rPr>
          <w:rFonts w:ascii="Times New Roman" w:hAnsi="Times New Roman" w:cs="Times New Roman"/>
          <w:sz w:val="24"/>
          <w:szCs w:val="24"/>
        </w:rPr>
        <w:t>hydroxyapatite</w:t>
      </w:r>
      <w:r w:rsidR="00696BAA" w:rsidRPr="007721FB">
        <w:rPr>
          <w:rFonts w:ascii="Times New Roman" w:hAnsi="Times New Roman" w:cs="Times New Roman"/>
          <w:sz w:val="24"/>
          <w:szCs w:val="24"/>
        </w:rPr>
        <w:t xml:space="preserve"> and a complete release of DOX was observed within 10</w:t>
      </w:r>
      <w:r w:rsidR="0091597F" w:rsidRPr="007721FB">
        <w:rPr>
          <w:rFonts w:ascii="Times New Roman" w:hAnsi="Times New Roman" w:cs="Times New Roman"/>
          <w:sz w:val="24"/>
          <w:szCs w:val="24"/>
        </w:rPr>
        <w:t xml:space="preserve"> </w:t>
      </w:r>
      <w:r w:rsidR="00696BAA" w:rsidRPr="007721FB">
        <w:rPr>
          <w:rFonts w:ascii="Times New Roman" w:hAnsi="Times New Roman" w:cs="Times New Roman"/>
          <w:sz w:val="24"/>
          <w:szCs w:val="24"/>
        </w:rPr>
        <w:t>min at 42</w:t>
      </w:r>
      <w:r w:rsidR="0091597F" w:rsidRPr="007721FB">
        <w:rPr>
          <w:rFonts w:ascii="Times New Roman" w:hAnsi="Times New Roman" w:cs="Times New Roman"/>
          <w:sz w:val="24"/>
          <w:szCs w:val="24"/>
        </w:rPr>
        <w:t xml:space="preserve"> </w:t>
      </w:r>
      <w:r w:rsidR="00696BAA" w:rsidRPr="007721FB">
        <w:rPr>
          <w:rFonts w:ascii="Times New Roman" w:hAnsi="Times New Roman" w:cs="Times New Roman"/>
          <w:sz w:val="24"/>
          <w:szCs w:val="24"/>
        </w:rPr>
        <w:t>ºC. Blank liposomes showed relatively low cytotoxicity to A549 cells, regardless of PA-functionaliz</w:t>
      </w:r>
      <w:r w:rsidR="0091597F" w:rsidRPr="007721FB">
        <w:rPr>
          <w:rFonts w:ascii="Times New Roman" w:hAnsi="Times New Roman" w:cs="Times New Roman"/>
          <w:sz w:val="24"/>
          <w:szCs w:val="24"/>
        </w:rPr>
        <w:t>ation</w:t>
      </w:r>
      <w:r w:rsidR="00696BAA" w:rsidRPr="007721FB">
        <w:rPr>
          <w:rFonts w:ascii="Times New Roman" w:hAnsi="Times New Roman" w:cs="Times New Roman"/>
          <w:sz w:val="24"/>
          <w:szCs w:val="24"/>
        </w:rPr>
        <w:t>. However, it is important to underline that in this study</w:t>
      </w:r>
      <w:r w:rsidR="00372BDF" w:rsidRPr="007721FB">
        <w:rPr>
          <w:rFonts w:ascii="Times New Roman" w:hAnsi="Times New Roman" w:cs="Times New Roman"/>
          <w:sz w:val="24"/>
          <w:szCs w:val="24"/>
        </w:rPr>
        <w:t>,</w:t>
      </w:r>
      <w:r w:rsidR="00696BAA" w:rsidRPr="007721FB">
        <w:rPr>
          <w:rFonts w:ascii="Times New Roman" w:hAnsi="Times New Roman" w:cs="Times New Roman"/>
          <w:sz w:val="24"/>
          <w:szCs w:val="24"/>
        </w:rPr>
        <w:t xml:space="preserve"> the heating effect on cell viability with blank liposomes was not </w:t>
      </w:r>
      <w:r w:rsidR="0091597F" w:rsidRPr="007721FB">
        <w:rPr>
          <w:rFonts w:ascii="Times New Roman" w:hAnsi="Times New Roman" w:cs="Times New Roman"/>
          <w:sz w:val="24"/>
          <w:szCs w:val="24"/>
        </w:rPr>
        <w:t>explored.</w:t>
      </w:r>
      <w:r w:rsidR="00696BAA" w:rsidRPr="007721FB">
        <w:rPr>
          <w:rFonts w:ascii="Times New Roman" w:hAnsi="Times New Roman" w:cs="Times New Roman"/>
          <w:sz w:val="24"/>
          <w:szCs w:val="24"/>
        </w:rPr>
        <w:t xml:space="preserve"> </w:t>
      </w:r>
      <w:r w:rsidR="00870BC1" w:rsidRPr="007721FB">
        <w:rPr>
          <w:rFonts w:ascii="Times New Roman" w:hAnsi="Times New Roman" w:cs="Times New Roman"/>
          <w:sz w:val="24"/>
          <w:szCs w:val="24"/>
        </w:rPr>
        <w:t>F</w:t>
      </w:r>
      <w:r w:rsidR="00696BAA" w:rsidRPr="007721FB">
        <w:rPr>
          <w:rFonts w:ascii="Times New Roman" w:hAnsi="Times New Roman" w:cs="Times New Roman"/>
          <w:sz w:val="24"/>
          <w:szCs w:val="24"/>
        </w:rPr>
        <w:t>or DOX concentrations over 5 µM, PA-functionalized liposomes clearly showed higher cytotoxicity than non-targeted liposomes</w:t>
      </w:r>
      <w:r w:rsidRPr="007721FB">
        <w:rPr>
          <w:rFonts w:ascii="Times New Roman" w:hAnsi="Times New Roman" w:cs="Times New Roman"/>
          <w:sz w:val="24"/>
          <w:szCs w:val="24"/>
        </w:rPr>
        <w:t>. Pre-heating</w:t>
      </w:r>
      <w:r w:rsidR="00696BAA" w:rsidRPr="007721FB">
        <w:rPr>
          <w:rFonts w:ascii="Times New Roman" w:hAnsi="Times New Roman" w:cs="Times New Roman"/>
          <w:sz w:val="24"/>
          <w:szCs w:val="24"/>
        </w:rPr>
        <w:t xml:space="preserve"> PA-coated liposomes at 42</w:t>
      </w:r>
      <w:r w:rsidR="0091597F" w:rsidRPr="007721FB">
        <w:rPr>
          <w:rFonts w:ascii="Times New Roman" w:hAnsi="Times New Roman" w:cs="Times New Roman"/>
          <w:sz w:val="24"/>
          <w:szCs w:val="24"/>
        </w:rPr>
        <w:t xml:space="preserve"> </w:t>
      </w:r>
      <w:r w:rsidR="00696BAA" w:rsidRPr="007721FB">
        <w:rPr>
          <w:rFonts w:ascii="Times New Roman" w:hAnsi="Times New Roman" w:cs="Times New Roman"/>
          <w:sz w:val="24"/>
          <w:szCs w:val="24"/>
        </w:rPr>
        <w:t xml:space="preserve">ºC prior to </w:t>
      </w:r>
      <w:r w:rsidR="00696BAA" w:rsidRPr="007721FB">
        <w:rPr>
          <w:rFonts w:ascii="Times New Roman" w:hAnsi="Times New Roman" w:cs="Times New Roman"/>
          <w:i/>
          <w:sz w:val="24"/>
          <w:szCs w:val="24"/>
        </w:rPr>
        <w:t>in vitro</w:t>
      </w:r>
      <w:r w:rsidR="00696BAA" w:rsidRPr="007721FB">
        <w:rPr>
          <w:rFonts w:ascii="Times New Roman" w:hAnsi="Times New Roman" w:cs="Times New Roman"/>
          <w:sz w:val="24"/>
          <w:szCs w:val="24"/>
        </w:rPr>
        <w:t xml:space="preserve"> administration induced higher cytotoxicity than the same formulation at 37</w:t>
      </w:r>
      <w:r w:rsidR="0091597F" w:rsidRPr="007721FB">
        <w:rPr>
          <w:rFonts w:ascii="Times New Roman" w:hAnsi="Times New Roman" w:cs="Times New Roman"/>
          <w:sz w:val="24"/>
          <w:szCs w:val="24"/>
        </w:rPr>
        <w:t xml:space="preserve"> </w:t>
      </w:r>
      <w:r w:rsidR="00696BAA" w:rsidRPr="007721FB">
        <w:rPr>
          <w:rFonts w:ascii="Times New Roman" w:hAnsi="Times New Roman" w:cs="Times New Roman"/>
          <w:sz w:val="24"/>
          <w:szCs w:val="24"/>
        </w:rPr>
        <w:t>ºC, validating the superior therapeutic effect of the thermo-sensitive liposomes.</w:t>
      </w:r>
    </w:p>
    <w:p w14:paraId="65B99A44" w14:textId="42CD5BF9" w:rsidR="00EA6ADF" w:rsidRPr="007721FB" w:rsidRDefault="008E2FB3" w:rsidP="00D867DF">
      <w:pPr>
        <w:spacing w:after="0" w:line="240" w:lineRule="auto"/>
        <w:jc w:val="both"/>
        <w:rPr>
          <w:rFonts w:ascii="Times New Roman" w:hAnsi="Times New Roman" w:cs="Times New Roman"/>
          <w:sz w:val="24"/>
          <w:szCs w:val="24"/>
        </w:rPr>
      </w:pPr>
      <w:r w:rsidRPr="007721FB">
        <w:rPr>
          <w:rFonts w:ascii="Times New Roman" w:hAnsi="Times New Roman" w:cs="Times New Roman"/>
          <w:sz w:val="24"/>
          <w:szCs w:val="24"/>
        </w:rPr>
        <w:t xml:space="preserve">   </w:t>
      </w:r>
      <w:r w:rsidR="00471805" w:rsidRPr="007721FB">
        <w:rPr>
          <w:rFonts w:ascii="Times New Roman" w:hAnsi="Times New Roman" w:cs="Times New Roman"/>
          <w:sz w:val="24"/>
          <w:szCs w:val="24"/>
        </w:rPr>
        <w:t>Apart from increased temperature in bone cancers</w:t>
      </w:r>
      <w:r w:rsidR="00147511" w:rsidRPr="007721FB">
        <w:rPr>
          <w:rFonts w:ascii="Times New Roman" w:hAnsi="Times New Roman" w:cs="Times New Roman"/>
          <w:sz w:val="24"/>
          <w:szCs w:val="24"/>
        </w:rPr>
        <w:t>,</w:t>
      </w:r>
      <w:r w:rsidR="00471805" w:rsidRPr="007721FB">
        <w:rPr>
          <w:rFonts w:ascii="Times New Roman" w:hAnsi="Times New Roman" w:cs="Times New Roman"/>
          <w:sz w:val="24"/>
          <w:szCs w:val="24"/>
        </w:rPr>
        <w:t xml:space="preserve"> other bone diseases such as osteoarthritis present at</w:t>
      </w:r>
      <w:r w:rsidR="00696BAA" w:rsidRPr="007721FB">
        <w:rPr>
          <w:rFonts w:ascii="Times New Roman" w:hAnsi="Times New Roman" w:cs="Times New Roman"/>
          <w:sz w:val="24"/>
          <w:szCs w:val="24"/>
        </w:rPr>
        <w:t xml:space="preserve"> late stages </w:t>
      </w:r>
      <w:r w:rsidR="00471805" w:rsidRPr="007721FB">
        <w:rPr>
          <w:rFonts w:ascii="Times New Roman" w:hAnsi="Times New Roman" w:cs="Times New Roman"/>
          <w:sz w:val="24"/>
          <w:szCs w:val="24"/>
        </w:rPr>
        <w:t xml:space="preserve">significant </w:t>
      </w:r>
      <w:r w:rsidR="00696BAA" w:rsidRPr="007721FB">
        <w:rPr>
          <w:rFonts w:ascii="Times New Roman" w:hAnsi="Times New Roman" w:cs="Times New Roman"/>
          <w:sz w:val="24"/>
          <w:szCs w:val="24"/>
        </w:rPr>
        <w:t>joint inflammation</w:t>
      </w:r>
      <w:r w:rsidR="00471805" w:rsidRPr="007721FB">
        <w:rPr>
          <w:rFonts w:ascii="Times New Roman" w:hAnsi="Times New Roman" w:cs="Times New Roman"/>
          <w:sz w:val="24"/>
          <w:szCs w:val="24"/>
        </w:rPr>
        <w:t xml:space="preserve">, resulting in </w:t>
      </w:r>
      <w:r w:rsidR="00696BAA" w:rsidRPr="007721FB">
        <w:rPr>
          <w:rFonts w:ascii="Times New Roman" w:hAnsi="Times New Roman" w:cs="Times New Roman"/>
          <w:sz w:val="24"/>
          <w:szCs w:val="24"/>
        </w:rPr>
        <w:t xml:space="preserve">a mild increase </w:t>
      </w:r>
      <w:r w:rsidR="00471805" w:rsidRPr="007721FB">
        <w:rPr>
          <w:rFonts w:ascii="Times New Roman" w:hAnsi="Times New Roman" w:cs="Times New Roman"/>
          <w:sz w:val="24"/>
          <w:szCs w:val="24"/>
        </w:rPr>
        <w:t xml:space="preserve">on </w:t>
      </w:r>
      <w:r w:rsidR="00696BAA" w:rsidRPr="007721FB">
        <w:rPr>
          <w:rFonts w:ascii="Times New Roman" w:hAnsi="Times New Roman" w:cs="Times New Roman"/>
          <w:sz w:val="24"/>
          <w:szCs w:val="24"/>
        </w:rPr>
        <w:t>local temperature</w:t>
      </w:r>
      <w:r w:rsidR="00870BC1" w:rsidRPr="007721FB">
        <w:rPr>
          <w:rFonts w:ascii="Times New Roman" w:hAnsi="Times New Roman" w:cs="Times New Roman"/>
          <w:sz w:val="24"/>
          <w:szCs w:val="24"/>
        </w:rPr>
        <w:t xml:space="preserve"> </w:t>
      </w:r>
      <w:r w:rsidR="00147511"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"DOI" : "10.1046/j.1365-2648.2003.02629.x", "ISBN" : "0309-2402", "ISSN" : "03092402", "PMID" : "12752882", "abstract" : "BACKGROUND: Osteoarthritis is a highly prevalent, disabling condition that causes significant pain and suffering among older adults. Cognitively impaired elders are as susceptible to osteoarthritis as their peers. However, since they have diminished ability to communicate their pain, an alternative method to detect osteoarthritis pain in cognitively impaired elders is urgently needed. Because the late stages of osteoarthritis involve joint inflammation with a mild increase in local temperature, skin surface temperature might reasonably be expected to serve as a proxy measure of osteoarthritis pain. If knee surface temperature could be shown to predict pain in cognitively intact elders, it could be used as a proxy measure of pain for cognitively impaired elders. AIM: To test this, the study reported here assessed the relationship between knee surface temperature and pain in cognitively intact elders with osteoarthritis of the knee. METHODS: We recruited 12 cognitively intact elders with documented osteoarthritis of the knee who lived in retirement apartments. Elders' pain and knee temperature were measured three times on three separate occasions. Osteoarthritis pain of the knee was measured using the Knee Pain Scale and the Western Ontario and McMaster Osteoarthritis Index pain subscale. A YSI Model 4000 Dual Channel Display Telethermometer was used to measure knee temperature. RESULTS: We found no significant associations between knee temperature and any of the pain measures used, with one exception. However, body mass index, amount of pain medication used and activity level observed during the interview were significantly related to elders' pain. CONCLUSION: Knee temperature does not appear to predict knee pain in elders with osteoarthritis of the knee. Body mass index, use of pain medication and activity level are better predictors of this.", "author" : [ { "dropping-particle" : "", "family" : "Tsai", "given" : "Pao Feng", "non-dropping-particle" : "", "parse-names" : false, "suffix" : "" }, { "dropping-particle" : "", "family" : "Richards", "given" : "Kathy", "non-dropping-particle" : "", "parse-names" : false, "suffix" : "" }, { "dropping-particle" : "", "family" : "Tatom", "given" : "Iris", "non-dropping-particle" : "", "parse-names" : false, "suffix" : "" } ], "container-title" : "Journal of Advanced Nursing", "id" : "ITEM-1", "issue" : "4", "issued" : { "date-parts" : [ [ "2003" ] ] }, "page" : "373-381", "title" : "The association between knee temperature and pain in elders with osteoarthritis of the knee: A pilot study", "type" : "article-journal", "volume" : "42" }, "uris" : [ "http://www.mendeley.com/documents/?uuid=fc6090a7-e223-492f-818d-e9a572745557", "http://www.mendeley.com/documents/?uuid=1738db7d-38ce-4755-86e0-85d16aaa711a" ] } ], "mendeley" : { "formattedCitation" : "[64]", "plainTextFormattedCitation" : "[64]", "previouslyFormattedCitation" : "[64]" }, "properties" : { "noteIndex" : 0 }, "schema" : "https://github.com/citation-style-language/schema/raw/master/csl-citation.json" }</w:instrText>
      </w:r>
      <w:r w:rsidR="00147511"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[64]</w:t>
      </w:r>
      <w:r w:rsidR="00147511" w:rsidRPr="007721FB">
        <w:rPr>
          <w:rFonts w:ascii="Times New Roman" w:hAnsi="Times New Roman" w:cs="Times New Roman"/>
          <w:sz w:val="24"/>
          <w:szCs w:val="24"/>
        </w:rPr>
        <w:fldChar w:fldCharType="end"/>
      </w:r>
      <w:r w:rsidR="00870BC1" w:rsidRPr="007721FB">
        <w:rPr>
          <w:rFonts w:ascii="Times New Roman" w:hAnsi="Times New Roman" w:cs="Times New Roman"/>
          <w:sz w:val="24"/>
          <w:szCs w:val="24"/>
        </w:rPr>
        <w:t>.</w:t>
      </w:r>
      <w:r w:rsidR="00471805" w:rsidRPr="007721FB">
        <w:rPr>
          <w:rFonts w:ascii="Times New Roman" w:hAnsi="Times New Roman" w:cs="Times New Roman"/>
          <w:sz w:val="24"/>
          <w:szCs w:val="24"/>
        </w:rPr>
        <w:t xml:space="preserve"> Such</w:t>
      </w:r>
      <w:r w:rsidR="00696BAA" w:rsidRPr="007721FB">
        <w:rPr>
          <w:rFonts w:ascii="Times New Roman" w:hAnsi="Times New Roman" w:cs="Times New Roman"/>
          <w:sz w:val="24"/>
          <w:szCs w:val="24"/>
        </w:rPr>
        <w:t xml:space="preserve"> </w:t>
      </w:r>
      <w:r w:rsidR="0091597F" w:rsidRPr="007721FB">
        <w:rPr>
          <w:rFonts w:ascii="Times New Roman" w:hAnsi="Times New Roman" w:cs="Times New Roman"/>
          <w:sz w:val="24"/>
          <w:szCs w:val="24"/>
        </w:rPr>
        <w:t xml:space="preserve">environment </w:t>
      </w:r>
      <w:r w:rsidR="00471805" w:rsidRPr="007721FB">
        <w:rPr>
          <w:rFonts w:ascii="Times New Roman" w:hAnsi="Times New Roman" w:cs="Times New Roman"/>
          <w:sz w:val="24"/>
          <w:szCs w:val="24"/>
        </w:rPr>
        <w:t>can also</w:t>
      </w:r>
      <w:r w:rsidR="00696BAA" w:rsidRPr="007721FB">
        <w:rPr>
          <w:rFonts w:ascii="Times New Roman" w:hAnsi="Times New Roman" w:cs="Times New Roman"/>
          <w:sz w:val="24"/>
          <w:szCs w:val="24"/>
        </w:rPr>
        <w:t xml:space="preserve"> be exploited with thermo-responsive nanocarriers</w:t>
      </w:r>
      <w:r w:rsidR="00471805" w:rsidRPr="007721FB">
        <w:rPr>
          <w:rFonts w:ascii="Times New Roman" w:hAnsi="Times New Roman" w:cs="Times New Roman"/>
          <w:sz w:val="24"/>
          <w:szCs w:val="24"/>
        </w:rPr>
        <w:t xml:space="preserve"> for improving therapeutics spatiotemporal delivery and the overall therapeutic outcome</w:t>
      </w:r>
      <w:r w:rsidR="00696BAA" w:rsidRPr="007721FB">
        <w:rPr>
          <w:rFonts w:ascii="Times New Roman" w:hAnsi="Times New Roman" w:cs="Times New Roman"/>
          <w:sz w:val="24"/>
          <w:szCs w:val="24"/>
        </w:rPr>
        <w:t xml:space="preserve">. </w:t>
      </w:r>
      <w:r w:rsidRPr="007721FB">
        <w:rPr>
          <w:rFonts w:ascii="Times New Roman" w:hAnsi="Times New Roman" w:cs="Times New Roman"/>
          <w:sz w:val="24"/>
          <w:szCs w:val="24"/>
        </w:rPr>
        <w:t>C</w:t>
      </w:r>
      <w:r w:rsidR="00696BAA" w:rsidRPr="007721FB">
        <w:rPr>
          <w:rFonts w:ascii="Times New Roman" w:hAnsi="Times New Roman" w:cs="Times New Roman"/>
          <w:sz w:val="24"/>
          <w:szCs w:val="24"/>
        </w:rPr>
        <w:t xml:space="preserve">urrent studies on osteoarthritis, such as that of Poh </w:t>
      </w:r>
      <w:r w:rsidR="00147511" w:rsidRPr="007721FB">
        <w:rPr>
          <w:rFonts w:ascii="Times New Roman" w:hAnsi="Times New Roman" w:cs="Times New Roman"/>
          <w:sz w:val="24"/>
          <w:szCs w:val="24"/>
        </w:rPr>
        <w:t>and colleagues e</w:t>
      </w:r>
      <w:r w:rsidR="00696BAA" w:rsidRPr="007721FB">
        <w:rPr>
          <w:rFonts w:ascii="Times New Roman" w:hAnsi="Times New Roman" w:cs="Times New Roman"/>
          <w:sz w:val="24"/>
          <w:szCs w:val="24"/>
        </w:rPr>
        <w:t>xploit</w:t>
      </w:r>
      <w:r w:rsidR="00EE717C" w:rsidRPr="007721FB">
        <w:rPr>
          <w:rFonts w:ascii="Times New Roman" w:hAnsi="Times New Roman" w:cs="Times New Roman"/>
          <w:sz w:val="24"/>
          <w:szCs w:val="24"/>
        </w:rPr>
        <w:t xml:space="preserve"> (N,N′-bis(acryloyl)cystamine) disulfide crosslinked</w:t>
      </w:r>
      <w:r w:rsidR="00696BAA" w:rsidRPr="007721FB">
        <w:rPr>
          <w:rFonts w:ascii="Times New Roman" w:hAnsi="Times New Roman" w:cs="Times New Roman"/>
          <w:sz w:val="24"/>
          <w:szCs w:val="24"/>
        </w:rPr>
        <w:t xml:space="preserve"> </w:t>
      </w:r>
      <w:r w:rsidR="00EE717C" w:rsidRPr="007721FB">
        <w:rPr>
          <w:rFonts w:ascii="Times New Roman" w:hAnsi="Times New Roman" w:cs="Times New Roman"/>
          <w:sz w:val="24"/>
          <w:szCs w:val="24"/>
        </w:rPr>
        <w:t xml:space="preserve">PEGylated poly(N-isopropylacrylamide-2-acrylamido-2-methyl-1-propanesulfonate) nanoparticles to load the </w:t>
      </w:r>
      <w:r w:rsidR="00696BAA" w:rsidRPr="007721FB">
        <w:rPr>
          <w:rFonts w:ascii="Times New Roman" w:hAnsi="Times New Roman" w:cs="Times New Roman"/>
          <w:sz w:val="24"/>
          <w:szCs w:val="24"/>
        </w:rPr>
        <w:t xml:space="preserve">anti-inflammatory peptide </w:t>
      </w:r>
      <w:r w:rsidR="001904A9" w:rsidRPr="007721FB">
        <w:rPr>
          <w:rFonts w:ascii="Times New Roman" w:hAnsi="Times New Roman" w:cs="Times New Roman"/>
          <w:sz w:val="24"/>
          <w:szCs w:val="24"/>
        </w:rPr>
        <w:t>KAFAKLAARLYRKALARQLGVAA (</w:t>
      </w:r>
      <w:r w:rsidR="00696BAA" w:rsidRPr="007721FB">
        <w:rPr>
          <w:rFonts w:ascii="Times New Roman" w:hAnsi="Times New Roman" w:cs="Times New Roman"/>
          <w:sz w:val="24"/>
          <w:szCs w:val="24"/>
        </w:rPr>
        <w:t>KAFAK</w:t>
      </w:r>
      <w:r w:rsidR="001904A9" w:rsidRPr="007721FB">
        <w:rPr>
          <w:rFonts w:ascii="Times New Roman" w:hAnsi="Times New Roman" w:cs="Times New Roman"/>
          <w:sz w:val="24"/>
          <w:szCs w:val="24"/>
        </w:rPr>
        <w:t>)</w:t>
      </w:r>
      <w:r w:rsidR="00696BAA" w:rsidRPr="007721FB">
        <w:rPr>
          <w:rFonts w:ascii="Times New Roman" w:hAnsi="Times New Roman" w:cs="Times New Roman"/>
          <w:sz w:val="24"/>
          <w:szCs w:val="24"/>
        </w:rPr>
        <w:t xml:space="preserve"> (size</w:t>
      </w:r>
      <w:r w:rsidR="00EA6ADF" w:rsidRPr="007721FB">
        <w:rPr>
          <w:rFonts w:ascii="Times New Roman" w:hAnsi="Times New Roman" w:cs="Times New Roman"/>
          <w:sz w:val="24"/>
          <w:szCs w:val="24"/>
        </w:rPr>
        <w:t>:</w:t>
      </w:r>
      <w:r w:rsidR="00696BAA" w:rsidRPr="007721FB">
        <w:rPr>
          <w:rFonts w:ascii="Times New Roman" w:hAnsi="Times New Roman" w:cs="Times New Roman"/>
          <w:sz w:val="24"/>
          <w:szCs w:val="24"/>
        </w:rPr>
        <w:t xml:space="preserve"> 223 ± 9.7 nm, </w:t>
      </w:r>
      <w:r w:rsidR="00D86923" w:rsidRPr="007721FB">
        <w:rPr>
          <w:rFonts w:ascii="Times New Roman" w:hAnsi="Times New Roman" w:cs="Times New Roman"/>
          <w:sz w:val="24"/>
          <w:szCs w:val="24"/>
        </w:rPr>
        <w:t>ζ-</w:t>
      </w:r>
      <w:r w:rsidR="00696BAA" w:rsidRPr="007721FB">
        <w:rPr>
          <w:rFonts w:ascii="Times New Roman" w:hAnsi="Times New Roman" w:cs="Times New Roman"/>
          <w:sz w:val="24"/>
          <w:szCs w:val="24"/>
        </w:rPr>
        <w:t>potential</w:t>
      </w:r>
      <w:r w:rsidR="00EA6ADF" w:rsidRPr="007721FB">
        <w:rPr>
          <w:rFonts w:ascii="Times New Roman" w:hAnsi="Times New Roman" w:cs="Times New Roman"/>
          <w:sz w:val="24"/>
          <w:szCs w:val="24"/>
        </w:rPr>
        <w:t>:</w:t>
      </w:r>
      <w:r w:rsidR="00696BAA" w:rsidRPr="007721FB">
        <w:rPr>
          <w:rFonts w:ascii="Times New Roman" w:hAnsi="Times New Roman" w:cs="Times New Roman"/>
          <w:sz w:val="24"/>
          <w:szCs w:val="24"/>
        </w:rPr>
        <w:t xml:space="preserve"> -3.81 ± 2.01 mV)</w:t>
      </w:r>
      <w:r w:rsidR="00EA6ADF" w:rsidRPr="007721FB">
        <w:rPr>
          <w:rFonts w:ascii="Times New Roman" w:hAnsi="Times New Roman" w:cs="Times New Roman"/>
          <w:sz w:val="24"/>
          <w:szCs w:val="24"/>
        </w:rPr>
        <w:t xml:space="preserve">. Particles </w:t>
      </w:r>
      <w:r w:rsidR="00CF23C5" w:rsidRPr="007721FB">
        <w:rPr>
          <w:rFonts w:ascii="Times New Roman" w:hAnsi="Times New Roman" w:cs="Times New Roman"/>
          <w:sz w:val="24"/>
          <w:szCs w:val="24"/>
        </w:rPr>
        <w:t>formulation</w:t>
      </w:r>
      <w:r w:rsidR="00EA6ADF" w:rsidRPr="007721FB">
        <w:rPr>
          <w:rFonts w:ascii="Times New Roman" w:hAnsi="Times New Roman" w:cs="Times New Roman"/>
          <w:sz w:val="24"/>
          <w:szCs w:val="24"/>
        </w:rPr>
        <w:t xml:space="preserve"> </w:t>
      </w:r>
      <w:r w:rsidR="00870BC1" w:rsidRPr="007721FB">
        <w:rPr>
          <w:rFonts w:ascii="Times New Roman" w:hAnsi="Times New Roman" w:cs="Times New Roman"/>
          <w:sz w:val="24"/>
          <w:szCs w:val="24"/>
        </w:rPr>
        <w:t>was promoted</w:t>
      </w:r>
      <w:r w:rsidR="00EA6ADF" w:rsidRPr="007721FB">
        <w:rPr>
          <w:rFonts w:ascii="Times New Roman" w:hAnsi="Times New Roman" w:cs="Times New Roman"/>
          <w:sz w:val="24"/>
          <w:szCs w:val="24"/>
        </w:rPr>
        <w:t xml:space="preserve"> through temperature</w:t>
      </w:r>
      <w:r w:rsidR="00CF23C5" w:rsidRPr="007721FB">
        <w:rPr>
          <w:rFonts w:ascii="Times New Roman" w:hAnsi="Times New Roman" w:cs="Times New Roman"/>
          <w:sz w:val="24"/>
          <w:szCs w:val="24"/>
        </w:rPr>
        <w:t xml:space="preserve"> and disulfide crosslinking assembly, while</w:t>
      </w:r>
      <w:r w:rsidR="00EA6ADF" w:rsidRPr="007721FB">
        <w:rPr>
          <w:rFonts w:ascii="Times New Roman" w:hAnsi="Times New Roman" w:cs="Times New Roman"/>
          <w:sz w:val="24"/>
          <w:szCs w:val="24"/>
        </w:rPr>
        <w:t xml:space="preserve"> drug loading</w:t>
      </w:r>
      <w:r w:rsidR="00CF23C5" w:rsidRPr="007721FB">
        <w:rPr>
          <w:rFonts w:ascii="Times New Roman" w:hAnsi="Times New Roman" w:cs="Times New Roman"/>
          <w:sz w:val="24"/>
          <w:szCs w:val="24"/>
        </w:rPr>
        <w:t xml:space="preserve"> was achieved</w:t>
      </w:r>
      <w:r w:rsidR="00696BAA" w:rsidRPr="007721FB">
        <w:rPr>
          <w:rFonts w:ascii="Times New Roman" w:hAnsi="Times New Roman" w:cs="Times New Roman"/>
          <w:sz w:val="24"/>
          <w:szCs w:val="24"/>
        </w:rPr>
        <w:t xml:space="preserve"> through passive diffusion below the LCST</w:t>
      </w:r>
      <w:r w:rsidR="00EA6ADF" w:rsidRPr="007721FB">
        <w:rPr>
          <w:rFonts w:ascii="Times New Roman" w:hAnsi="Times New Roman" w:cs="Times New Roman"/>
          <w:sz w:val="24"/>
          <w:szCs w:val="24"/>
        </w:rPr>
        <w:t xml:space="preserve">. Such particles then rely </w:t>
      </w:r>
      <w:r w:rsidR="00696BAA" w:rsidRPr="007721FB">
        <w:rPr>
          <w:rFonts w:ascii="Times New Roman" w:hAnsi="Times New Roman" w:cs="Times New Roman"/>
          <w:sz w:val="24"/>
          <w:szCs w:val="24"/>
        </w:rPr>
        <w:t>on intracellular stimuli (pH and redox) for</w:t>
      </w:r>
      <w:r w:rsidR="00471805" w:rsidRPr="007721FB">
        <w:rPr>
          <w:rFonts w:ascii="Times New Roman" w:hAnsi="Times New Roman" w:cs="Times New Roman"/>
          <w:sz w:val="24"/>
          <w:szCs w:val="24"/>
        </w:rPr>
        <w:t xml:space="preserve"> therapeutics</w:t>
      </w:r>
      <w:r w:rsidR="00696BAA" w:rsidRPr="007721FB">
        <w:rPr>
          <w:rFonts w:ascii="Times New Roman" w:hAnsi="Times New Roman" w:cs="Times New Roman"/>
          <w:sz w:val="24"/>
          <w:szCs w:val="24"/>
        </w:rPr>
        <w:t xml:space="preserve"> </w:t>
      </w:r>
      <w:r w:rsidR="00870BC1" w:rsidRPr="007721FB">
        <w:rPr>
          <w:rFonts w:ascii="Times New Roman" w:hAnsi="Times New Roman" w:cs="Times New Roman"/>
          <w:sz w:val="24"/>
          <w:szCs w:val="24"/>
        </w:rPr>
        <w:t xml:space="preserve">spatiotemporally controlled release </w:t>
      </w:r>
      <w:r w:rsidR="00696BAA"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"DOI" : "10.1021/bm501849p", "ISSN" : "15264602", "PMID" : "25728363", "abstract" : "Pro-inflammatory cytokines tumor necrosis factor \u03b1 (TNF-\u03b1) and interleukin 6 (IL-6) are mediators in the development of many inflammatory diseases. To demonstrate that macrophages take up and respond to thermosensitive nanoparticle drug carriers, we synthesized PEGylated poly(N-isopropylacrylamide-2-acrylamido-2-methyl-1-propanesulfonate) particles cross-linked with degradable disulfide (N,N'-bis(acryloyl)cystamine) (NGPEGSS). An anti-inflammatory peptide (KAFAK) was loaded and released from the thermosensitive nanoparticles and shown to suppress levels of TNF-\u03b1 and IL-6 production in macrophages. Cellular uptake of fluorescent, thermosensitive, and degradable nanoparticles and therapeutic efficacy of free KAFAK peptide compared to that of KAFAK loaded in PEGylated degradable thermosensitive nanoparticles were examined. The data suggests that the degradable, thermosensitive nanoparticles loaded with KAFAK may be an effective tool to treat inflammatory diseases.", "author" : [ { "dropping-particle" : "", "family" : "Poh", "given" : "Scott", "non-dropping-particle" : "", "parse-names" : false, "suffix" : "" }, { "dropping-particle" : "", "family" : "Lin", "given" : "Jenny B.", "non-dropping-particle" : "", "parse-names" : false, "suffix" : "" }, { "dropping-particle" : "", "family" : "Panitch", "given" : "Alyssa", "non-dropping-particle" : "", "parse-names" : false, "suffix" : "" } ], "container-title" : "Biomacromolecules", "id" : "ITEM-1", "issue" : "4", "issued" : { "date-parts" : [ [ "2015" ] ] }, "page" : "1191-1200", "title" : "Release of Anti-inflammatory Peptides from Thermosensitive Nanoparticles with Degradable Cross-Links Suppresses Pro-inflammatory Cytokine Production", "type" : "article-journal", "volume" : "16" }, "uris" : [ "http://www.mendeley.com/documents/?uuid=c24758ee-d0b5-4bc4-8c3b-84017dbc2425", "http://www.mendeley.com/documents/?uuid=7ec857ec-c347-411e-8fed-af0b2c0e61b1" ] } ], "mendeley" : { "formattedCitation" : "[87]", "plainTextFormattedCitation" : "[87]", "previouslyFormattedCitation" : "[87]" }, "properties" : { "noteIndex" : 0 }, "schema" : "https://github.com/citation-style-language/schema/raw/master/csl-citation.json" }</w:instrText>
      </w:r>
      <w:r w:rsidR="00696BAA"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[87]</w:t>
      </w:r>
      <w:r w:rsidR="00696BAA" w:rsidRPr="007721FB">
        <w:rPr>
          <w:rFonts w:ascii="Times New Roman" w:hAnsi="Times New Roman" w:cs="Times New Roman"/>
          <w:sz w:val="24"/>
          <w:szCs w:val="24"/>
        </w:rPr>
        <w:fldChar w:fldCharType="end"/>
      </w:r>
      <w:r w:rsidR="00EA6ADF" w:rsidRPr="007721FB">
        <w:rPr>
          <w:rFonts w:ascii="Times New Roman" w:hAnsi="Times New Roman" w:cs="Times New Roman"/>
          <w:sz w:val="24"/>
          <w:szCs w:val="24"/>
        </w:rPr>
        <w:t xml:space="preserve">. </w:t>
      </w:r>
      <w:r w:rsidR="00CF23C5" w:rsidRPr="007721FB">
        <w:rPr>
          <w:rFonts w:ascii="Times New Roman" w:hAnsi="Times New Roman" w:cs="Times New Roman"/>
          <w:sz w:val="24"/>
          <w:szCs w:val="24"/>
        </w:rPr>
        <w:t>In the context of bone disorders, t</w:t>
      </w:r>
      <w:r w:rsidR="00870BC1" w:rsidRPr="007721FB">
        <w:rPr>
          <w:rFonts w:ascii="Times New Roman" w:hAnsi="Times New Roman" w:cs="Times New Roman"/>
          <w:sz w:val="24"/>
          <w:szCs w:val="24"/>
        </w:rPr>
        <w:t xml:space="preserve">he </w:t>
      </w:r>
      <w:r w:rsidR="00696BAA" w:rsidRPr="007721FB">
        <w:rPr>
          <w:rFonts w:ascii="Times New Roman" w:hAnsi="Times New Roman" w:cs="Times New Roman"/>
          <w:sz w:val="24"/>
          <w:szCs w:val="24"/>
        </w:rPr>
        <w:t xml:space="preserve">KAFAK peptide delivery is promising </w:t>
      </w:r>
      <w:r w:rsidR="00EA6ADF" w:rsidRPr="007721FB">
        <w:rPr>
          <w:rFonts w:ascii="Times New Roman" w:hAnsi="Times New Roman" w:cs="Times New Roman"/>
          <w:sz w:val="24"/>
          <w:szCs w:val="24"/>
        </w:rPr>
        <w:t>for osteoarthritis due to its suppression of</w:t>
      </w:r>
      <w:r w:rsidR="00696BAA" w:rsidRPr="007721FB">
        <w:rPr>
          <w:rFonts w:ascii="Times New Roman" w:hAnsi="Times New Roman" w:cs="Times New Roman"/>
          <w:sz w:val="24"/>
          <w:szCs w:val="24"/>
        </w:rPr>
        <w:t xml:space="preserve"> TNF-α and IL-6 production. </w:t>
      </w:r>
      <w:r w:rsidR="00EA6ADF" w:rsidRPr="007721FB">
        <w:rPr>
          <w:rFonts w:ascii="Times New Roman" w:hAnsi="Times New Roman" w:cs="Times New Roman"/>
          <w:sz w:val="24"/>
          <w:szCs w:val="24"/>
        </w:rPr>
        <w:t>Despite being a</w:t>
      </w:r>
      <w:r w:rsidR="00810D6F" w:rsidRPr="007721FB">
        <w:rPr>
          <w:rFonts w:ascii="Times New Roman" w:hAnsi="Times New Roman" w:cs="Times New Roman"/>
          <w:sz w:val="24"/>
          <w:szCs w:val="24"/>
        </w:rPr>
        <w:t>lready a</w:t>
      </w:r>
      <w:r w:rsidR="00EA6ADF" w:rsidRPr="007721FB">
        <w:rPr>
          <w:rFonts w:ascii="Times New Roman" w:hAnsi="Times New Roman" w:cs="Times New Roman"/>
          <w:sz w:val="24"/>
          <w:szCs w:val="24"/>
        </w:rPr>
        <w:t>n interesting syst</w:t>
      </w:r>
      <w:r w:rsidR="006C610F" w:rsidRPr="007721FB">
        <w:rPr>
          <w:rFonts w:ascii="Times New Roman" w:hAnsi="Times New Roman" w:cs="Times New Roman"/>
          <w:sz w:val="24"/>
          <w:szCs w:val="24"/>
        </w:rPr>
        <w:t>e</w:t>
      </w:r>
      <w:r w:rsidR="00EA6ADF" w:rsidRPr="007721FB">
        <w:rPr>
          <w:rFonts w:ascii="Times New Roman" w:hAnsi="Times New Roman" w:cs="Times New Roman"/>
          <w:sz w:val="24"/>
          <w:szCs w:val="24"/>
        </w:rPr>
        <w:t>m</w:t>
      </w:r>
      <w:r w:rsidR="00810D6F" w:rsidRPr="007721FB">
        <w:rPr>
          <w:rFonts w:ascii="Times New Roman" w:hAnsi="Times New Roman" w:cs="Times New Roman"/>
          <w:sz w:val="24"/>
          <w:szCs w:val="24"/>
        </w:rPr>
        <w:t>,</w:t>
      </w:r>
      <w:r w:rsidR="00EA6ADF" w:rsidRPr="007721FB">
        <w:rPr>
          <w:rFonts w:ascii="Times New Roman" w:hAnsi="Times New Roman" w:cs="Times New Roman"/>
          <w:sz w:val="24"/>
          <w:szCs w:val="24"/>
        </w:rPr>
        <w:t xml:space="preserve"> the</w:t>
      </w:r>
      <w:r w:rsidR="00696BAA" w:rsidRPr="007721FB">
        <w:rPr>
          <w:rFonts w:ascii="Times New Roman" w:hAnsi="Times New Roman" w:cs="Times New Roman"/>
          <w:sz w:val="24"/>
          <w:szCs w:val="24"/>
        </w:rPr>
        <w:t xml:space="preserve"> </w:t>
      </w:r>
      <w:r w:rsidR="006C610F" w:rsidRPr="007721FB">
        <w:rPr>
          <w:rFonts w:ascii="Times New Roman" w:hAnsi="Times New Roman" w:cs="Times New Roman"/>
          <w:sz w:val="24"/>
          <w:szCs w:val="24"/>
        </w:rPr>
        <w:t>performance of these nanocarriers could be further improved by e</w:t>
      </w:r>
      <w:r w:rsidR="00696BAA" w:rsidRPr="007721FB">
        <w:rPr>
          <w:rFonts w:ascii="Times New Roman" w:hAnsi="Times New Roman" w:cs="Times New Roman"/>
          <w:sz w:val="24"/>
          <w:szCs w:val="24"/>
        </w:rPr>
        <w:t>xternal heatin</w:t>
      </w:r>
      <w:r w:rsidR="00810D6F" w:rsidRPr="007721FB">
        <w:rPr>
          <w:rFonts w:ascii="Times New Roman" w:hAnsi="Times New Roman" w:cs="Times New Roman"/>
          <w:sz w:val="24"/>
          <w:szCs w:val="24"/>
        </w:rPr>
        <w:t>g</w:t>
      </w:r>
      <w:r w:rsidR="006C610F" w:rsidRPr="007721FB">
        <w:rPr>
          <w:rFonts w:ascii="Times New Roman" w:hAnsi="Times New Roman" w:cs="Times New Roman"/>
          <w:sz w:val="24"/>
          <w:szCs w:val="24"/>
        </w:rPr>
        <w:t xml:space="preserve"> so as to</w:t>
      </w:r>
      <w:r w:rsidR="00696BAA" w:rsidRPr="007721FB">
        <w:rPr>
          <w:rFonts w:ascii="Times New Roman" w:hAnsi="Times New Roman" w:cs="Times New Roman"/>
          <w:sz w:val="24"/>
          <w:szCs w:val="24"/>
        </w:rPr>
        <w:t xml:space="preserve"> </w:t>
      </w:r>
      <w:r w:rsidR="006C610F" w:rsidRPr="007721FB">
        <w:rPr>
          <w:rFonts w:ascii="Times New Roman" w:hAnsi="Times New Roman" w:cs="Times New Roman"/>
          <w:sz w:val="24"/>
          <w:szCs w:val="24"/>
        </w:rPr>
        <w:t xml:space="preserve">enhance </w:t>
      </w:r>
      <w:r w:rsidR="00696BAA" w:rsidRPr="007721FB">
        <w:rPr>
          <w:rFonts w:ascii="Times New Roman" w:hAnsi="Times New Roman" w:cs="Times New Roman"/>
          <w:sz w:val="24"/>
          <w:szCs w:val="24"/>
        </w:rPr>
        <w:t>t</w:t>
      </w:r>
      <w:r w:rsidR="007F5B37" w:rsidRPr="007721FB">
        <w:rPr>
          <w:rFonts w:ascii="Times New Roman" w:hAnsi="Times New Roman" w:cs="Times New Roman"/>
          <w:sz w:val="24"/>
          <w:szCs w:val="24"/>
        </w:rPr>
        <w:t xml:space="preserve">he delivery at intended joints </w:t>
      </w:r>
      <w:r w:rsidR="006C610F" w:rsidRPr="007721FB">
        <w:rPr>
          <w:rFonts w:ascii="Times New Roman" w:hAnsi="Times New Roman" w:cs="Times New Roman"/>
          <w:sz w:val="24"/>
          <w:szCs w:val="24"/>
        </w:rPr>
        <w:t>or</w:t>
      </w:r>
      <w:r w:rsidR="007966FA" w:rsidRPr="007721FB">
        <w:rPr>
          <w:rFonts w:ascii="Times New Roman" w:hAnsi="Times New Roman" w:cs="Times New Roman"/>
          <w:sz w:val="24"/>
          <w:szCs w:val="24"/>
        </w:rPr>
        <w:t xml:space="preserve"> inflamed areas</w:t>
      </w:r>
      <w:r w:rsidR="00696BAA" w:rsidRPr="007721FB">
        <w:rPr>
          <w:rFonts w:ascii="Times New Roman" w:hAnsi="Times New Roman" w:cs="Times New Roman"/>
          <w:sz w:val="24"/>
          <w:szCs w:val="24"/>
        </w:rPr>
        <w:t xml:space="preserve"> </w:t>
      </w:r>
      <w:r w:rsidR="006C610F" w:rsidRPr="007721FB">
        <w:rPr>
          <w:rFonts w:ascii="Times New Roman" w:hAnsi="Times New Roman" w:cs="Times New Roman"/>
          <w:sz w:val="24"/>
          <w:szCs w:val="24"/>
        </w:rPr>
        <w:t xml:space="preserve">in the </w:t>
      </w:r>
      <w:r w:rsidR="00696BAA" w:rsidRPr="007721FB">
        <w:rPr>
          <w:rFonts w:ascii="Times New Roman" w:hAnsi="Times New Roman" w:cs="Times New Roman"/>
          <w:sz w:val="24"/>
          <w:szCs w:val="24"/>
        </w:rPr>
        <w:t>knee</w:t>
      </w:r>
      <w:r w:rsidR="00EA6ADF" w:rsidRPr="007721FB">
        <w:rPr>
          <w:rFonts w:ascii="Times New Roman" w:hAnsi="Times New Roman" w:cs="Times New Roman"/>
          <w:sz w:val="24"/>
          <w:szCs w:val="24"/>
        </w:rPr>
        <w:t xml:space="preserve"> </w:t>
      </w:r>
      <w:r w:rsidR="007F2531"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"DOI" : "10.1097/PHM.0b013e318174e467", "ISBN" : "1537-7385", "ISSN" : "0894-9115", "PMID" : "18496246", "abstract" : "OBJECTIVE: To investigate the therapeutic effects of physical agents administered before isokinetic exercise in women with knee osteoarthritis. DESIGN: One hundred patients with bilateral knee osteoarthritis were randomized into five groups of 20 patients each: group 1 received short-wave diathermy + hot packs and isokinetic exercise; group 2 received transcutaneous electrical nerve stimulation + hot packs and isokinetic exercise; group 3 received ultrasound + hot packs and isokinetic exercise; group 4 received hot packs and isokinetic exercise; and group 5 served as controls and received only isokinetic exercise. RESULTS: Pain and disability index scores were significantly reduced in each group. Patients in the study groups had significantly greater reductions in their visual analog scale scores and scores on the Lequesne index than did patients in the control group (group 5). They also showed greater increases than did controls in muscular strength at all angular velocities. In most parameters, improvements were greatest in groups 1 and 2 compared with groups 3 and 4. CONCLUSIONS: Using physical agents before isokinetic exercises in women with knee osteoarthritis leads to augmented exercise performance, reduced pain, and improved function. Hot pack with a transcutaneous electrical nerve stimulator or short-wave diathermy has the best outcome.", "author" : [ { "dropping-particle" : "", "family" : "Cetin", "given" : "Nuri", "non-dropping-particle" : "", "parse-names" : false, "suffix" : "" }, { "dropping-particle" : "", "family" : "Aytar", "given" : "Aydan", "non-dropping-particle" : "", "parse-names" : false, "suffix" : "" }, { "dropping-particle" : "", "family" : "Atalay", "given" : "Ayce", "non-dropping-particle" : "", "parse-names" : false, "suffix" : "" }, { "dropping-particle" : "", "family" : "Akman", "given" : "Mahmut Nafiz", "non-dropping-particle" : "", "parse-names" : false, "suffix" : "" } ], "container-title" : "American journal of physical medicine &amp; rehabilitation / Association of Academic Physiatrists", "id" : "ITEM-1", "issue" : "6", "issued" : { "date-parts" : [ [ "2008" ] ] }, "page" : "443-451", "title" : "Comparing hot pack, short-wave diathermy, ultrasound, and TENS on isokinetic strength, pain, and functional status of women with osteoarthritic knees: a single-blind, randomized, controlled trial.", "type" : "article-journal", "volume" : "87" }, "uris" : [ "http://www.mendeley.com/documents/?uuid=5cc3c822-83a0-450a-b207-43e42400b1c5", "http://www.mendeley.com/documents/?uuid=c882a009-fbd2-4800-86b5-93ca912b5ed1" ] } ], "mendeley" : { "formattedCitation" : "[88]", "plainTextFormattedCitation" : "[88]", "previouslyFormattedCitation" : "[88]" }, "properties" : { "noteIndex" : 0 }, "schema" : "https://github.com/citation-style-language/schema/raw/master/csl-citation.json" }</w:instrText>
      </w:r>
      <w:r w:rsidR="007F2531"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[88]</w:t>
      </w:r>
      <w:r w:rsidR="007F2531" w:rsidRPr="007721FB">
        <w:rPr>
          <w:rFonts w:ascii="Times New Roman" w:hAnsi="Times New Roman" w:cs="Times New Roman"/>
          <w:sz w:val="24"/>
          <w:szCs w:val="24"/>
        </w:rPr>
        <w:fldChar w:fldCharType="end"/>
      </w:r>
      <w:r w:rsidR="00EA6ADF" w:rsidRPr="007721FB">
        <w:rPr>
          <w:rFonts w:ascii="Times New Roman" w:hAnsi="Times New Roman" w:cs="Times New Roman"/>
          <w:sz w:val="24"/>
          <w:szCs w:val="24"/>
        </w:rPr>
        <w:t>.</w:t>
      </w:r>
      <w:r w:rsidR="006C610F" w:rsidRPr="007721FB">
        <w:rPr>
          <w:rFonts w:ascii="Times New Roman" w:hAnsi="Times New Roman" w:cs="Times New Roman"/>
          <w:sz w:val="24"/>
          <w:szCs w:val="24"/>
        </w:rPr>
        <w:t xml:space="preserve"> </w:t>
      </w:r>
      <w:r w:rsidR="00696BAA" w:rsidRPr="007721FB">
        <w:rPr>
          <w:rFonts w:ascii="Times New Roman" w:hAnsi="Times New Roman" w:cs="Times New Roman"/>
          <w:sz w:val="24"/>
          <w:szCs w:val="24"/>
        </w:rPr>
        <w:t>In addition, it is well known that osteoarthritis progression is related with increased oxidative stress</w:t>
      </w:r>
      <w:r w:rsidR="00EA6ADF" w:rsidRPr="007721FB">
        <w:rPr>
          <w:rFonts w:ascii="Times New Roman" w:hAnsi="Times New Roman" w:cs="Times New Roman"/>
          <w:sz w:val="24"/>
          <w:szCs w:val="24"/>
        </w:rPr>
        <w:t xml:space="preserve">. For example, previously reported </w:t>
      </w:r>
      <w:r w:rsidR="00696BAA" w:rsidRPr="007721FB">
        <w:rPr>
          <w:rFonts w:ascii="Times New Roman" w:hAnsi="Times New Roman" w:cs="Times New Roman"/>
          <w:sz w:val="24"/>
          <w:szCs w:val="24"/>
        </w:rPr>
        <w:t xml:space="preserve">citrate-based thermo-responsive </w:t>
      </w:r>
      <w:r w:rsidR="00DE6B5D" w:rsidRPr="007721FB">
        <w:rPr>
          <w:rFonts w:ascii="Times New Roman" w:hAnsi="Times New Roman" w:cs="Times New Roman"/>
          <w:sz w:val="24"/>
          <w:szCs w:val="24"/>
        </w:rPr>
        <w:t xml:space="preserve">nanocarriers </w:t>
      </w:r>
      <w:r w:rsidR="00696BAA" w:rsidRPr="007721FB">
        <w:rPr>
          <w:rFonts w:ascii="Times New Roman" w:hAnsi="Times New Roman" w:cs="Times New Roman"/>
          <w:sz w:val="24"/>
          <w:szCs w:val="24"/>
        </w:rPr>
        <w:t>with intrinsic antioxidant properties could</w:t>
      </w:r>
      <w:r w:rsidR="00EA6ADF" w:rsidRPr="007721FB">
        <w:rPr>
          <w:rFonts w:ascii="Times New Roman" w:hAnsi="Times New Roman" w:cs="Times New Roman"/>
          <w:sz w:val="24"/>
          <w:szCs w:val="24"/>
        </w:rPr>
        <w:t xml:space="preserve"> be</w:t>
      </w:r>
      <w:r w:rsidR="00696BAA" w:rsidRPr="007721FB">
        <w:rPr>
          <w:rFonts w:ascii="Times New Roman" w:hAnsi="Times New Roman" w:cs="Times New Roman"/>
          <w:sz w:val="24"/>
          <w:szCs w:val="24"/>
        </w:rPr>
        <w:t xml:space="preserve"> </w:t>
      </w:r>
      <w:r w:rsidR="00EA6ADF" w:rsidRPr="007721FB">
        <w:rPr>
          <w:rFonts w:ascii="Times New Roman" w:hAnsi="Times New Roman" w:cs="Times New Roman"/>
          <w:sz w:val="24"/>
          <w:szCs w:val="24"/>
        </w:rPr>
        <w:t xml:space="preserve">used in the future to </w:t>
      </w:r>
      <w:r w:rsidR="00696BAA" w:rsidRPr="007721FB">
        <w:rPr>
          <w:rFonts w:ascii="Times New Roman" w:hAnsi="Times New Roman" w:cs="Times New Roman"/>
          <w:sz w:val="24"/>
          <w:szCs w:val="24"/>
        </w:rPr>
        <w:t>improve osteoarthritis treatment</w:t>
      </w:r>
      <w:r w:rsidR="00EA6ADF" w:rsidRPr="007721FB">
        <w:rPr>
          <w:rFonts w:ascii="Times New Roman" w:hAnsi="Times New Roman" w:cs="Times New Roman"/>
          <w:sz w:val="24"/>
          <w:szCs w:val="24"/>
        </w:rPr>
        <w:t xml:space="preserve"> </w:t>
      </w:r>
      <w:r w:rsidR="00696BAA"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"DOI" : "10.1021/bm5010004", "ISSN" : "15264602", "PMID" : "25295411", "abstract" : "Oxidative stress in tissue can contribute to chronic inflammation that impairs wound healing and the efficacy of cell-based therapies and medical devices. We describe the synthesis and characterization of a biodegradable, thermoresponsive gel with intrinsic antioxidant properties suitable for the delivery of therapeutics. Citric acid, poly(ethylene glycol) (PEG), and poly-N-isopropylacrylamide (PNIPAAm) were copolymerized by sequential polycondensation and radical polymerization to produce poly(polyethylene glycol citrate-co-N-isopropylacrylamide) (PPCN). PPCN was chemically characterized, and the thermoresponsive behavior, antioxidant properties, morphology, potential for protein and cell delivery, and tissue compatibility in vivo were evaluated. The PPCN gel has a lower critical solution temperature (LCST) of 26 \u00b0C and exhibits intrinsic antioxidant properties based on its ability to scavenge free radicals, chelate metal ions, and inhibit lipid peroxidation. PPCN displays a hierarchical architecture of micropores and nanofibers, and contrary to typical thermoresponsive polymers, such as PNIPAAm, PPCN gel maintains its volume upon formation. PPCN efficiently entrapped and slowly released the chemokine SDF-1\u03b1 and supported the viability and proliferation of vascular cells. Subcutaneous injections in rats showed that PPCN gels are resorbed over time and new connective tissue formation takes place without signs of significant inflammation. Ultimately, this intrinsically antioxidant, biodegradable, thermoresponsive gel could potentially be used as an injectable biomaterial for applications where oxidative stress in tissue is a concern.", "author" : [ { "dropping-particle" : "", "family" : "Yang", "given" : "Jian", "non-dropping-particle" : "", "parse-names" : false, "suffix" : "" }, { "dropping-particle" : "", "family" : "Lith", "given" : "Robert", "non-dropping-particle" : "Van", "parse-names" : false, "suffix" : "" }, { "dropping-particle" : "", "family" : "Baler", "given" : "Kevin", "non-dropping-particle" : "", "parse-names" : false, "suffix" : "" }, { "dropping-particle" : "", "family" : "Hoshi", "given" : "Ryan A.", "non-dropping-particle" : "", "parse-names" : false, "suffix" : "" }, { "dropping-particle" : "", "family" : "Ameer", "given" : "Guillermo A.", "non-dropping-particle" : "", "parse-names" : false, "suffix" : "" } ], "container-title" : "Biomacromolecules", "id" : "ITEM-1", "issue" : "11", "issued" : { "date-parts" : [ [ "2014" ] ] }, "page" : "3942-3952", "title" : "A thermoresponsive biodegradable polymer with intrinsic antioxidant properties", "type" : "article-journal", "volume" : "15" }, "uris" : [ "http://www.mendeley.com/documents/?uuid=aea639b9-7e4a-42f0-a1f6-a55c0ea5f1cb", "http://www.mendeley.com/documents/?uuid=7c2b0608-0e61-4b9a-ac04-d146869d0446" ] } ], "mendeley" : { "formattedCitation" : "[89]", "plainTextFormattedCitation" : "[89]", "previouslyFormattedCitation" : "[89]" }, "properties" : { "noteIndex" : 0 }, "schema" : "https://github.com/citation-style-language/schema/raw/master/csl-citation.json" }</w:instrText>
      </w:r>
      <w:r w:rsidR="00696BAA"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[89]</w:t>
      </w:r>
      <w:r w:rsidR="00696BAA" w:rsidRPr="007721FB">
        <w:rPr>
          <w:rFonts w:ascii="Times New Roman" w:hAnsi="Times New Roman" w:cs="Times New Roman"/>
          <w:sz w:val="24"/>
          <w:szCs w:val="24"/>
        </w:rPr>
        <w:fldChar w:fldCharType="end"/>
      </w:r>
      <w:r w:rsidR="00EA6ADF" w:rsidRPr="007721FB">
        <w:rPr>
          <w:rFonts w:ascii="Times New Roman" w:hAnsi="Times New Roman" w:cs="Times New Roman"/>
          <w:sz w:val="24"/>
          <w:szCs w:val="24"/>
        </w:rPr>
        <w:t>.</w:t>
      </w:r>
    </w:p>
    <w:p w14:paraId="63B1D648" w14:textId="232E7655" w:rsidR="00696BAA" w:rsidRPr="007721FB" w:rsidRDefault="00EA6ADF" w:rsidP="00D867DF">
      <w:pPr>
        <w:spacing w:after="0" w:line="240" w:lineRule="auto"/>
        <w:jc w:val="both"/>
        <w:rPr>
          <w:rFonts w:ascii="Times New Roman" w:hAnsi="Times New Roman" w:cs="Times New Roman"/>
          <w:sz w:val="24"/>
          <w:szCs w:val="24"/>
        </w:rPr>
      </w:pPr>
      <w:r w:rsidRPr="007721FB">
        <w:rPr>
          <w:rFonts w:ascii="Times New Roman" w:hAnsi="Times New Roman" w:cs="Times New Roman"/>
          <w:sz w:val="24"/>
          <w:szCs w:val="24"/>
        </w:rPr>
        <w:t xml:space="preserve">  </w:t>
      </w:r>
      <w:r w:rsidR="00DF3A51" w:rsidRPr="007721FB">
        <w:rPr>
          <w:rFonts w:ascii="Times New Roman" w:hAnsi="Times New Roman" w:cs="Times New Roman"/>
          <w:sz w:val="24"/>
          <w:szCs w:val="24"/>
        </w:rPr>
        <w:t xml:space="preserve"> </w:t>
      </w:r>
      <w:r w:rsidRPr="007721FB">
        <w:rPr>
          <w:rFonts w:ascii="Times New Roman" w:hAnsi="Times New Roman" w:cs="Times New Roman"/>
          <w:sz w:val="24"/>
          <w:szCs w:val="24"/>
        </w:rPr>
        <w:t xml:space="preserve"> From the available body of </w:t>
      </w:r>
      <w:r w:rsidR="005E4B18" w:rsidRPr="007721FB">
        <w:rPr>
          <w:rFonts w:ascii="Times New Roman" w:hAnsi="Times New Roman" w:cs="Times New Roman"/>
          <w:sz w:val="24"/>
          <w:szCs w:val="24"/>
        </w:rPr>
        <w:t>literature,</w:t>
      </w:r>
      <w:r w:rsidRPr="007721FB">
        <w:rPr>
          <w:rFonts w:ascii="Times New Roman" w:hAnsi="Times New Roman" w:cs="Times New Roman"/>
          <w:sz w:val="24"/>
          <w:szCs w:val="24"/>
        </w:rPr>
        <w:t xml:space="preserve"> it is clear that </w:t>
      </w:r>
      <w:r w:rsidR="00696BAA" w:rsidRPr="007721FB">
        <w:rPr>
          <w:rFonts w:ascii="Times New Roman" w:hAnsi="Times New Roman" w:cs="Times New Roman"/>
          <w:sz w:val="24"/>
          <w:szCs w:val="24"/>
        </w:rPr>
        <w:t>there are still significant challenges to be overcome in the development of bone</w:t>
      </w:r>
      <w:r w:rsidR="005E4B18" w:rsidRPr="007721FB">
        <w:rPr>
          <w:rFonts w:ascii="Times New Roman" w:hAnsi="Times New Roman" w:cs="Times New Roman"/>
          <w:sz w:val="24"/>
          <w:szCs w:val="24"/>
        </w:rPr>
        <w:t>-specific</w:t>
      </w:r>
      <w:r w:rsidR="00696BAA" w:rsidRPr="007721FB">
        <w:rPr>
          <w:rFonts w:ascii="Times New Roman" w:hAnsi="Times New Roman" w:cs="Times New Roman"/>
          <w:sz w:val="24"/>
          <w:szCs w:val="24"/>
        </w:rPr>
        <w:t xml:space="preserve"> thermo-responsive nanocarriers to ac</w:t>
      </w:r>
      <w:r w:rsidR="00810D6F" w:rsidRPr="007721FB">
        <w:rPr>
          <w:rFonts w:ascii="Times New Roman" w:hAnsi="Times New Roman" w:cs="Times New Roman"/>
          <w:sz w:val="24"/>
          <w:szCs w:val="24"/>
        </w:rPr>
        <w:t>hieve</w:t>
      </w:r>
      <w:r w:rsidR="00696BAA" w:rsidRPr="007721FB">
        <w:rPr>
          <w:rFonts w:ascii="Times New Roman" w:hAnsi="Times New Roman" w:cs="Times New Roman"/>
          <w:sz w:val="24"/>
          <w:szCs w:val="24"/>
        </w:rPr>
        <w:t xml:space="preserve"> maximum therapeutic efficacy </w:t>
      </w:r>
      <w:r w:rsidR="00696BAA" w:rsidRPr="007721FB">
        <w:rPr>
          <w:rFonts w:ascii="Times New Roman" w:hAnsi="Times New Roman" w:cs="Times New Roman"/>
          <w:i/>
          <w:sz w:val="24"/>
          <w:szCs w:val="24"/>
        </w:rPr>
        <w:t>in vivo</w:t>
      </w:r>
      <w:r w:rsidR="00DF3A51" w:rsidRPr="007721FB">
        <w:rPr>
          <w:rFonts w:ascii="Times New Roman" w:hAnsi="Times New Roman" w:cs="Times New Roman"/>
          <w:sz w:val="24"/>
          <w:szCs w:val="24"/>
        </w:rPr>
        <w:t xml:space="preserve">. </w:t>
      </w:r>
      <w:r w:rsidR="003F1F95" w:rsidRPr="007721FB">
        <w:rPr>
          <w:rFonts w:ascii="Times New Roman" w:hAnsi="Times New Roman" w:cs="Times New Roman"/>
          <w:sz w:val="24"/>
          <w:szCs w:val="24"/>
        </w:rPr>
        <w:t xml:space="preserve">This is particularly challenging for </w:t>
      </w:r>
      <w:r w:rsidR="005E4B18" w:rsidRPr="007721FB">
        <w:rPr>
          <w:rFonts w:ascii="Times New Roman" w:hAnsi="Times New Roman" w:cs="Times New Roman"/>
          <w:sz w:val="24"/>
          <w:szCs w:val="24"/>
        </w:rPr>
        <w:t xml:space="preserve">scenarios </w:t>
      </w:r>
      <w:r w:rsidR="003F1F95" w:rsidRPr="007721FB">
        <w:rPr>
          <w:rFonts w:ascii="Times New Roman" w:hAnsi="Times New Roman" w:cs="Times New Roman"/>
          <w:sz w:val="24"/>
          <w:szCs w:val="24"/>
        </w:rPr>
        <w:t>where there is no</w:t>
      </w:r>
      <w:r w:rsidR="007966FA" w:rsidRPr="007721FB">
        <w:rPr>
          <w:rFonts w:ascii="Times New Roman" w:hAnsi="Times New Roman" w:cs="Times New Roman"/>
          <w:sz w:val="24"/>
          <w:szCs w:val="24"/>
        </w:rPr>
        <w:t xml:space="preserve"> significant</w:t>
      </w:r>
      <w:r w:rsidR="003F1F95" w:rsidRPr="007721FB">
        <w:rPr>
          <w:rFonts w:ascii="Times New Roman" w:hAnsi="Times New Roman" w:cs="Times New Roman"/>
          <w:sz w:val="24"/>
          <w:szCs w:val="24"/>
        </w:rPr>
        <w:t xml:space="preserve"> </w:t>
      </w:r>
      <w:r w:rsidR="007966FA" w:rsidRPr="007721FB">
        <w:rPr>
          <w:rFonts w:ascii="Times New Roman" w:hAnsi="Times New Roman" w:cs="Times New Roman"/>
          <w:sz w:val="24"/>
          <w:szCs w:val="24"/>
        </w:rPr>
        <w:t>increase of</w:t>
      </w:r>
      <w:r w:rsidR="003F1F95" w:rsidRPr="007721FB">
        <w:rPr>
          <w:rFonts w:ascii="Times New Roman" w:hAnsi="Times New Roman" w:cs="Times New Roman"/>
          <w:sz w:val="24"/>
          <w:szCs w:val="24"/>
        </w:rPr>
        <w:t xml:space="preserve"> internal temperature, thus requiring external heating</w:t>
      </w:r>
      <w:r w:rsidR="005E4B18" w:rsidRPr="007721FB">
        <w:rPr>
          <w:rFonts w:ascii="Times New Roman" w:hAnsi="Times New Roman" w:cs="Times New Roman"/>
          <w:sz w:val="24"/>
          <w:szCs w:val="24"/>
        </w:rPr>
        <w:t xml:space="preserve"> as</w:t>
      </w:r>
      <w:r w:rsidR="003F1F95" w:rsidRPr="007721FB">
        <w:rPr>
          <w:rFonts w:ascii="Times New Roman" w:hAnsi="Times New Roman" w:cs="Times New Roman"/>
          <w:sz w:val="24"/>
          <w:szCs w:val="24"/>
        </w:rPr>
        <w:t xml:space="preserve"> stimuli. In this context, o</w:t>
      </w:r>
      <w:r w:rsidR="00DF3A51" w:rsidRPr="007721FB">
        <w:rPr>
          <w:rFonts w:ascii="Times New Roman" w:hAnsi="Times New Roman" w:cs="Times New Roman"/>
          <w:sz w:val="24"/>
          <w:szCs w:val="24"/>
        </w:rPr>
        <w:t xml:space="preserve">ne of the most important </w:t>
      </w:r>
      <w:r w:rsidR="00DE6B5D" w:rsidRPr="007721FB">
        <w:rPr>
          <w:rFonts w:ascii="Times New Roman" w:hAnsi="Times New Roman" w:cs="Times New Roman"/>
          <w:sz w:val="24"/>
          <w:szCs w:val="24"/>
        </w:rPr>
        <w:t>aspect</w:t>
      </w:r>
      <w:r w:rsidR="00810D6F" w:rsidRPr="007721FB">
        <w:rPr>
          <w:rFonts w:ascii="Times New Roman" w:hAnsi="Times New Roman" w:cs="Times New Roman"/>
          <w:sz w:val="24"/>
          <w:szCs w:val="24"/>
        </w:rPr>
        <w:t>s</w:t>
      </w:r>
      <w:r w:rsidR="00DE6B5D" w:rsidRPr="007721FB">
        <w:rPr>
          <w:rFonts w:ascii="Times New Roman" w:hAnsi="Times New Roman" w:cs="Times New Roman"/>
          <w:sz w:val="24"/>
          <w:szCs w:val="24"/>
        </w:rPr>
        <w:t xml:space="preserve"> </w:t>
      </w:r>
      <w:r w:rsidR="00DF3A51" w:rsidRPr="007721FB">
        <w:rPr>
          <w:rFonts w:ascii="Times New Roman" w:hAnsi="Times New Roman" w:cs="Times New Roman"/>
          <w:sz w:val="24"/>
          <w:szCs w:val="24"/>
        </w:rPr>
        <w:t>is</w:t>
      </w:r>
      <w:r w:rsidR="00696BAA" w:rsidRPr="007721FB">
        <w:rPr>
          <w:rFonts w:ascii="Times New Roman" w:hAnsi="Times New Roman" w:cs="Times New Roman"/>
          <w:sz w:val="24"/>
          <w:szCs w:val="24"/>
        </w:rPr>
        <w:t xml:space="preserve"> </w:t>
      </w:r>
      <w:r w:rsidR="00DE6B5D" w:rsidRPr="007721FB">
        <w:rPr>
          <w:rFonts w:ascii="Times New Roman" w:hAnsi="Times New Roman" w:cs="Times New Roman"/>
          <w:sz w:val="24"/>
          <w:szCs w:val="24"/>
        </w:rPr>
        <w:t>the ability to assure an</w:t>
      </w:r>
      <w:r w:rsidR="00696BAA" w:rsidRPr="007721FB">
        <w:rPr>
          <w:rFonts w:ascii="Times New Roman" w:hAnsi="Times New Roman" w:cs="Times New Roman"/>
          <w:sz w:val="24"/>
          <w:szCs w:val="24"/>
        </w:rPr>
        <w:t xml:space="preserve"> externally</w:t>
      </w:r>
      <w:r w:rsidR="00DE6B5D" w:rsidRPr="007721FB">
        <w:rPr>
          <w:rFonts w:ascii="Times New Roman" w:hAnsi="Times New Roman" w:cs="Times New Roman"/>
          <w:sz w:val="24"/>
          <w:szCs w:val="24"/>
        </w:rPr>
        <w:t xml:space="preserve"> focused</w:t>
      </w:r>
      <w:r w:rsidR="003F1F95" w:rsidRPr="007721FB">
        <w:rPr>
          <w:rFonts w:ascii="Times New Roman" w:hAnsi="Times New Roman" w:cs="Times New Roman"/>
          <w:sz w:val="24"/>
          <w:szCs w:val="24"/>
        </w:rPr>
        <w:t xml:space="preserve"> heating </w:t>
      </w:r>
      <w:r w:rsidR="00696BAA" w:rsidRPr="007721FB">
        <w:rPr>
          <w:rFonts w:ascii="Times New Roman" w:hAnsi="Times New Roman" w:cs="Times New Roman"/>
          <w:sz w:val="24"/>
          <w:szCs w:val="24"/>
        </w:rPr>
        <w:t xml:space="preserve">to bone disease sites without </w:t>
      </w:r>
      <w:r w:rsidR="00810D6F" w:rsidRPr="007721FB">
        <w:rPr>
          <w:rFonts w:ascii="Times New Roman" w:hAnsi="Times New Roman" w:cs="Times New Roman"/>
          <w:sz w:val="24"/>
          <w:szCs w:val="24"/>
        </w:rPr>
        <w:t>affecting</w:t>
      </w:r>
      <w:r w:rsidR="00696BAA" w:rsidRPr="007721FB">
        <w:rPr>
          <w:rFonts w:ascii="Times New Roman" w:hAnsi="Times New Roman" w:cs="Times New Roman"/>
          <w:sz w:val="24"/>
          <w:szCs w:val="24"/>
        </w:rPr>
        <w:t xml:space="preserve"> neighboring healthy tissues.</w:t>
      </w:r>
    </w:p>
    <w:p w14:paraId="4010F066" w14:textId="77777777" w:rsidR="00671868" w:rsidRPr="007721FB" w:rsidRDefault="00671868" w:rsidP="00F42607">
      <w:pPr>
        <w:spacing w:after="0" w:line="240" w:lineRule="auto"/>
        <w:ind w:firstLine="709"/>
        <w:jc w:val="both"/>
        <w:rPr>
          <w:rFonts w:ascii="Times New Roman" w:hAnsi="Times New Roman" w:cs="Times New Roman"/>
          <w:sz w:val="24"/>
          <w:szCs w:val="24"/>
        </w:rPr>
      </w:pPr>
    </w:p>
    <w:p w14:paraId="31B97CA8" w14:textId="0C393B59" w:rsidR="00AC38FF" w:rsidRPr="007721FB" w:rsidRDefault="00461DB2" w:rsidP="00F42607">
      <w:pPr>
        <w:pStyle w:val="Cabealho2"/>
        <w:keepNext w:val="0"/>
        <w:keepLines w:val="0"/>
        <w:spacing w:before="0" w:after="120" w:line="240" w:lineRule="auto"/>
        <w:jc w:val="both"/>
        <w:rPr>
          <w:rFonts w:ascii="Times New Roman" w:hAnsi="Times New Roman" w:cs="Times New Roman"/>
          <w:b/>
          <w:color w:val="auto"/>
          <w:sz w:val="24"/>
          <w:szCs w:val="24"/>
        </w:rPr>
      </w:pPr>
      <w:bookmarkStart w:id="12" w:name="_Toc471752569"/>
      <w:bookmarkStart w:id="13" w:name="_Toc471829473"/>
      <w:r w:rsidRPr="007721FB">
        <w:rPr>
          <w:rFonts w:ascii="Times New Roman" w:hAnsi="Times New Roman" w:cs="Times New Roman"/>
          <w:b/>
          <w:color w:val="auto"/>
          <w:sz w:val="24"/>
          <w:szCs w:val="24"/>
        </w:rPr>
        <w:t>3</w:t>
      </w:r>
      <w:r w:rsidR="00AC38FF" w:rsidRPr="007721FB">
        <w:rPr>
          <w:rFonts w:ascii="Times New Roman" w:hAnsi="Times New Roman" w:cs="Times New Roman"/>
          <w:b/>
          <w:color w:val="auto"/>
          <w:sz w:val="24"/>
          <w:szCs w:val="24"/>
        </w:rPr>
        <w:t>.</w:t>
      </w:r>
      <w:r w:rsidR="00491A41" w:rsidRPr="007721FB">
        <w:rPr>
          <w:rFonts w:ascii="Times New Roman" w:hAnsi="Times New Roman" w:cs="Times New Roman"/>
          <w:b/>
          <w:color w:val="auto"/>
          <w:sz w:val="24"/>
          <w:szCs w:val="24"/>
        </w:rPr>
        <w:t>3.</w:t>
      </w:r>
      <w:r w:rsidR="00AC38FF" w:rsidRPr="007721FB">
        <w:rPr>
          <w:rFonts w:ascii="Times New Roman" w:hAnsi="Times New Roman" w:cs="Times New Roman"/>
          <w:b/>
          <w:color w:val="auto"/>
          <w:sz w:val="24"/>
          <w:szCs w:val="24"/>
        </w:rPr>
        <w:t xml:space="preserve"> U</w:t>
      </w:r>
      <w:r w:rsidR="00D03C63" w:rsidRPr="007721FB">
        <w:rPr>
          <w:rFonts w:ascii="Times New Roman" w:hAnsi="Times New Roman" w:cs="Times New Roman"/>
          <w:b/>
          <w:color w:val="auto"/>
          <w:sz w:val="24"/>
          <w:szCs w:val="24"/>
        </w:rPr>
        <w:t>ltrasound-responsive</w:t>
      </w:r>
      <w:bookmarkEnd w:id="12"/>
      <w:bookmarkEnd w:id="13"/>
      <w:r w:rsidR="00186724" w:rsidRPr="007721FB">
        <w:rPr>
          <w:rFonts w:ascii="Times New Roman" w:hAnsi="Times New Roman" w:cs="Times New Roman"/>
          <w:b/>
          <w:color w:val="auto"/>
          <w:sz w:val="24"/>
          <w:szCs w:val="24"/>
        </w:rPr>
        <w:t xml:space="preserve"> nanocarriers</w:t>
      </w:r>
    </w:p>
    <w:p w14:paraId="609849D5" w14:textId="5B4E3DB7" w:rsidR="004E36A7" w:rsidRPr="007721FB" w:rsidRDefault="003E5E1E" w:rsidP="00D867DF">
      <w:pPr>
        <w:spacing w:after="0" w:line="240" w:lineRule="auto"/>
        <w:jc w:val="both"/>
        <w:rPr>
          <w:rStyle w:val="apple-converted-space"/>
          <w:rFonts w:ascii="Times New Roman" w:eastAsiaTheme="majorEastAsia" w:hAnsi="Times New Roman" w:cs="Times New Roman"/>
          <w:sz w:val="24"/>
          <w:szCs w:val="24"/>
          <w:shd w:val="clear" w:color="auto" w:fill="FFFFFF"/>
        </w:rPr>
      </w:pPr>
      <w:r w:rsidRPr="007721FB">
        <w:rPr>
          <w:rStyle w:val="apple-converted-space"/>
          <w:rFonts w:ascii="Times New Roman" w:hAnsi="Times New Roman" w:cs="Times New Roman"/>
          <w:sz w:val="24"/>
          <w:szCs w:val="24"/>
          <w:shd w:val="clear" w:color="auto" w:fill="FFFFFF"/>
        </w:rPr>
        <w:t xml:space="preserve">   </w:t>
      </w:r>
      <w:r w:rsidR="00AC38FF" w:rsidRPr="007721FB">
        <w:rPr>
          <w:rStyle w:val="apple-converted-space"/>
          <w:rFonts w:ascii="Times New Roman" w:hAnsi="Times New Roman" w:cs="Times New Roman"/>
          <w:sz w:val="24"/>
          <w:szCs w:val="24"/>
          <w:shd w:val="clear" w:color="auto" w:fill="FFFFFF"/>
        </w:rPr>
        <w:t>Ultrasound</w:t>
      </w:r>
      <w:r w:rsidR="00F95636" w:rsidRPr="007721FB">
        <w:rPr>
          <w:rStyle w:val="apple-converted-space"/>
          <w:rFonts w:ascii="Times New Roman" w:hAnsi="Times New Roman" w:cs="Times New Roman"/>
          <w:sz w:val="24"/>
          <w:szCs w:val="24"/>
          <w:shd w:val="clear" w:color="auto" w:fill="FFFFFF"/>
        </w:rPr>
        <w:t xml:space="preserve"> is </w:t>
      </w:r>
      <w:r w:rsidR="007F1AA3" w:rsidRPr="007721FB">
        <w:rPr>
          <w:rStyle w:val="apple-converted-space"/>
          <w:rFonts w:ascii="Times New Roman" w:hAnsi="Times New Roman" w:cs="Times New Roman"/>
          <w:sz w:val="24"/>
          <w:szCs w:val="24"/>
          <w:shd w:val="clear" w:color="auto" w:fill="FFFFFF"/>
        </w:rPr>
        <w:t>based on the use of</w:t>
      </w:r>
      <w:r w:rsidR="008131F3" w:rsidRPr="007721FB">
        <w:rPr>
          <w:rStyle w:val="apple-converted-space"/>
          <w:rFonts w:ascii="Times New Roman" w:hAnsi="Times New Roman" w:cs="Times New Roman"/>
          <w:sz w:val="24"/>
          <w:szCs w:val="24"/>
          <w:shd w:val="clear" w:color="auto" w:fill="FFFFFF"/>
        </w:rPr>
        <w:t xml:space="preserve"> low or high intensity</w:t>
      </w:r>
      <w:r w:rsidR="00F95636" w:rsidRPr="007721FB">
        <w:rPr>
          <w:rStyle w:val="apple-converted-space"/>
          <w:rFonts w:ascii="Times New Roman" w:hAnsi="Times New Roman" w:cs="Times New Roman"/>
          <w:sz w:val="24"/>
          <w:szCs w:val="24"/>
          <w:shd w:val="clear" w:color="auto" w:fill="FFFFFF"/>
        </w:rPr>
        <w:t xml:space="preserve"> acoustic energy</w:t>
      </w:r>
      <w:r w:rsidR="007F1AA3" w:rsidRPr="007721FB">
        <w:rPr>
          <w:rStyle w:val="apple-converted-space"/>
          <w:rFonts w:ascii="Times New Roman" w:hAnsi="Times New Roman" w:cs="Times New Roman"/>
          <w:sz w:val="24"/>
          <w:szCs w:val="24"/>
          <w:shd w:val="clear" w:color="auto" w:fill="FFFFFF"/>
        </w:rPr>
        <w:t xml:space="preserve"> and is</w:t>
      </w:r>
      <w:r w:rsidR="00F95636" w:rsidRPr="007721FB">
        <w:rPr>
          <w:rStyle w:val="apple-converted-space"/>
          <w:rFonts w:ascii="Times New Roman" w:hAnsi="Times New Roman" w:cs="Times New Roman"/>
          <w:sz w:val="24"/>
          <w:szCs w:val="24"/>
          <w:shd w:val="clear" w:color="auto" w:fill="FFFFFF"/>
        </w:rPr>
        <w:t xml:space="preserve"> </w:t>
      </w:r>
      <w:r w:rsidR="00E47601" w:rsidRPr="007721FB">
        <w:rPr>
          <w:rStyle w:val="apple-converted-space"/>
          <w:rFonts w:ascii="Times New Roman" w:hAnsi="Times New Roman" w:cs="Times New Roman"/>
          <w:sz w:val="24"/>
          <w:szCs w:val="24"/>
          <w:shd w:val="clear" w:color="auto" w:fill="FFFFFF"/>
        </w:rPr>
        <w:t>widely</w:t>
      </w:r>
      <w:r w:rsidR="00F95636" w:rsidRPr="007721FB">
        <w:rPr>
          <w:rStyle w:val="apple-converted-space"/>
          <w:rFonts w:ascii="Times New Roman" w:hAnsi="Times New Roman" w:cs="Times New Roman"/>
          <w:sz w:val="24"/>
          <w:szCs w:val="24"/>
          <w:shd w:val="clear" w:color="auto" w:fill="FFFFFF"/>
        </w:rPr>
        <w:t xml:space="preserve"> used in clinic for non-invasive </w:t>
      </w:r>
      <w:r w:rsidR="00E47601" w:rsidRPr="007721FB">
        <w:rPr>
          <w:rStyle w:val="apple-converted-space"/>
          <w:rFonts w:ascii="Times New Roman" w:hAnsi="Times New Roman" w:cs="Times New Roman"/>
          <w:sz w:val="24"/>
          <w:szCs w:val="24"/>
          <w:shd w:val="clear" w:color="auto" w:fill="FFFFFF"/>
        </w:rPr>
        <w:t xml:space="preserve">biomedical </w:t>
      </w:r>
      <w:r w:rsidR="00F95636" w:rsidRPr="007721FB">
        <w:rPr>
          <w:rStyle w:val="apple-converted-space"/>
          <w:rFonts w:ascii="Times New Roman" w:hAnsi="Times New Roman" w:cs="Times New Roman"/>
          <w:sz w:val="24"/>
          <w:szCs w:val="24"/>
          <w:shd w:val="clear" w:color="auto" w:fill="FFFFFF"/>
        </w:rPr>
        <w:t>imaging</w:t>
      </w:r>
      <w:r w:rsidR="007F1AA3" w:rsidRPr="007721FB">
        <w:rPr>
          <w:rStyle w:val="apple-converted-space"/>
          <w:rFonts w:ascii="Times New Roman" w:hAnsi="Times New Roman" w:cs="Times New Roman"/>
          <w:sz w:val="24"/>
          <w:szCs w:val="24"/>
          <w:shd w:val="clear" w:color="auto" w:fill="FFFFFF"/>
        </w:rPr>
        <w:t xml:space="preserve"> </w:t>
      </w:r>
      <w:r w:rsidR="00F777C7" w:rsidRPr="007721FB">
        <w:rPr>
          <w:rStyle w:val="apple-converted-space"/>
          <w:rFonts w:ascii="Times New Roman" w:hAnsi="Times New Roman" w:cs="Times New Roman"/>
          <w:sz w:val="24"/>
          <w:szCs w:val="24"/>
          <w:shd w:val="clear" w:color="auto" w:fill="FFFFFF"/>
        </w:rPr>
        <w:fldChar w:fldCharType="begin" w:fldLock="1"/>
      </w:r>
      <w:r w:rsidR="00B31E12" w:rsidRPr="007721FB">
        <w:rPr>
          <w:rStyle w:val="apple-converted-space"/>
          <w:rFonts w:ascii="Times New Roman" w:hAnsi="Times New Roman" w:cs="Times New Roman"/>
          <w:sz w:val="24"/>
          <w:szCs w:val="24"/>
          <w:shd w:val="clear" w:color="auto" w:fill="FFFFFF"/>
        </w:rPr>
        <w:instrText>ADDIN CSL_CITATION { "citationItems" : [ { "id" : "ITEM-1", "itemData" : { "DOI" : "10.1016/j.addr.2012.01.020", "ISBN" : "0169-409X", "ISSN" : "0169409X", "PMID" : "22349241", "abstract" : "The use of polymeric nanocarriers to transport active compounds like small-molecular drugs, peptides, or genes found an increased attention throughout the different fields of natural sciences. Not only that these nanocarriers enhance the properties of already existing drugs in terms of solubility, bioavailability, and prolonged circulation times, furthermore they can be tailor-made in such a manner that they selectively release their cargo at the desired site of action. For the triggered release, these so-called smart drug delivery systems are designed to react on certain stimuli like pH, temperature, redox potential, enzymes, light, and ultrasound. Some of these stimuli are naturally occurring in vivo, for example the difference in pH in different cellular compartments while others are caused by the disease, which is to be treated, like differences in pH and temperature in some tumor tissues. Other external applied stimuli, like light and ultrasound, allow the temporal and spatial control of the release, since they are not triggered by any biological event. This review gives a brief overview about some types of stimuli-responsive nanocarriers with the main focus on organic polymer-based systems. Furthermore, the different stimuli and the design of corresponding responsive nanocarriers will be discussed with the help of selected examples from the literature. \u00a9 2012 Elsevier B.V.", "author" : [ { "dropping-particle" : "", "family" : "Fleige", "given" : "Emanuel", "non-dropping-particle" : "", "parse-names" : false, "suffix" : "" }, { "dropping-particle" : "", "family" : "Quadir", "given" : "Mohiuddin A.", "non-dropping-particle" : "", "parse-names" : false, "suffix" : "" }, { "dropping-particle" : "", "family" : "Haag", "given" : "Rainer", "non-dropping-particle" : "", "parse-names" : false, "suffix" : "" } ], "container-title" : "Advanced Drug Delivery Reviews", "id" : "ITEM-1", "issue" : "9", "issued" : { "date-parts" : [ [ "2012" ] ] }, "page" : "866-884", "publisher" : "Elsevier B.V.", "title" : "Stimuli-responsive polymeric nanocarriers for the controlled transport of active compounds: Concepts and applications", "type" : "article-journal", "volume" : "64" }, "uris" : [ "http://www.mendeley.com/documents/?uuid=e7802d55-ca29-48ca-924b-8462c33add9d", "http://www.mendeley.com/documents/?uuid=22b69028-3c91-46a7-8067-ac6b1d2a84db" ] } ], "mendeley" : { "formattedCitation" : "[90]", "plainTextFormattedCitation" : "[90]", "previouslyFormattedCitation" : "[90]" }, "properties" : { "noteIndex" : 0 }, "schema" : "https://github.com/citation-style-language/schema/raw/master/csl-citation.json" }</w:instrText>
      </w:r>
      <w:r w:rsidR="00F777C7" w:rsidRPr="007721FB">
        <w:rPr>
          <w:rStyle w:val="apple-converted-space"/>
          <w:rFonts w:ascii="Times New Roman" w:hAnsi="Times New Roman" w:cs="Times New Roman"/>
          <w:sz w:val="24"/>
          <w:szCs w:val="24"/>
          <w:shd w:val="clear" w:color="auto" w:fill="FFFFFF"/>
        </w:rPr>
        <w:fldChar w:fldCharType="separate"/>
      </w:r>
      <w:r w:rsidR="00B31E12" w:rsidRPr="007721FB">
        <w:rPr>
          <w:rStyle w:val="apple-converted-space"/>
          <w:rFonts w:ascii="Times New Roman" w:hAnsi="Times New Roman" w:cs="Times New Roman"/>
          <w:noProof/>
          <w:sz w:val="24"/>
          <w:szCs w:val="24"/>
          <w:shd w:val="clear" w:color="auto" w:fill="FFFFFF"/>
        </w:rPr>
        <w:t>[90]</w:t>
      </w:r>
      <w:r w:rsidR="00F777C7" w:rsidRPr="007721FB">
        <w:rPr>
          <w:rStyle w:val="apple-converted-space"/>
          <w:rFonts w:ascii="Times New Roman" w:hAnsi="Times New Roman" w:cs="Times New Roman"/>
          <w:sz w:val="24"/>
          <w:szCs w:val="24"/>
          <w:shd w:val="clear" w:color="auto" w:fill="FFFFFF"/>
        </w:rPr>
        <w:fldChar w:fldCharType="end"/>
      </w:r>
      <w:r w:rsidR="007F1AA3" w:rsidRPr="007721FB">
        <w:rPr>
          <w:rStyle w:val="apple-converted-space"/>
          <w:rFonts w:ascii="Times New Roman" w:hAnsi="Times New Roman" w:cs="Times New Roman"/>
          <w:sz w:val="24"/>
          <w:szCs w:val="24"/>
          <w:shd w:val="clear" w:color="auto" w:fill="FFFFFF"/>
        </w:rPr>
        <w:t>.</w:t>
      </w:r>
      <w:r w:rsidR="00827AE8" w:rsidRPr="007721FB">
        <w:rPr>
          <w:rStyle w:val="apple-converted-space"/>
          <w:rFonts w:ascii="Times New Roman" w:hAnsi="Times New Roman" w:cs="Times New Roman"/>
          <w:sz w:val="24"/>
          <w:szCs w:val="24"/>
          <w:shd w:val="clear" w:color="auto" w:fill="FFFFFF"/>
        </w:rPr>
        <w:t xml:space="preserve"> </w:t>
      </w:r>
      <w:r w:rsidR="00CA6ED9" w:rsidRPr="007721FB">
        <w:rPr>
          <w:rStyle w:val="apple-converted-space"/>
          <w:rFonts w:ascii="Times New Roman" w:hAnsi="Times New Roman" w:cs="Times New Roman"/>
          <w:sz w:val="24"/>
          <w:szCs w:val="24"/>
          <w:shd w:val="clear" w:color="auto" w:fill="FFFFFF"/>
        </w:rPr>
        <w:t>U</w:t>
      </w:r>
      <w:r w:rsidR="007F4049" w:rsidRPr="007721FB">
        <w:rPr>
          <w:rStyle w:val="apple-converted-space"/>
          <w:rFonts w:ascii="Times New Roman" w:hAnsi="Times New Roman" w:cs="Times New Roman"/>
          <w:sz w:val="24"/>
          <w:szCs w:val="24"/>
          <w:shd w:val="clear" w:color="auto" w:fill="FFFFFF"/>
        </w:rPr>
        <w:t xml:space="preserve">ltrasound-responsive systems have been widely </w:t>
      </w:r>
      <w:r w:rsidR="00E61CE4" w:rsidRPr="007721FB">
        <w:rPr>
          <w:rStyle w:val="apple-converted-space"/>
          <w:rFonts w:ascii="Times New Roman" w:hAnsi="Times New Roman" w:cs="Times New Roman"/>
          <w:sz w:val="24"/>
          <w:szCs w:val="24"/>
          <w:shd w:val="clear" w:color="auto" w:fill="FFFFFF"/>
        </w:rPr>
        <w:t>explored</w:t>
      </w:r>
      <w:r w:rsidR="007F4049" w:rsidRPr="007721FB">
        <w:rPr>
          <w:rStyle w:val="apple-converted-space"/>
          <w:rFonts w:ascii="Times New Roman" w:hAnsi="Times New Roman" w:cs="Times New Roman"/>
          <w:sz w:val="24"/>
          <w:szCs w:val="24"/>
          <w:shd w:val="clear" w:color="auto" w:fill="FFFFFF"/>
        </w:rPr>
        <w:t xml:space="preserve"> </w:t>
      </w:r>
      <w:r w:rsidR="008E1F59" w:rsidRPr="007721FB">
        <w:rPr>
          <w:rStyle w:val="apple-converted-space"/>
          <w:rFonts w:ascii="Times New Roman" w:hAnsi="Times New Roman" w:cs="Times New Roman"/>
          <w:sz w:val="24"/>
          <w:szCs w:val="24"/>
          <w:shd w:val="clear" w:color="auto" w:fill="FFFFFF"/>
        </w:rPr>
        <w:t>for delivery of bioactive therapeutics</w:t>
      </w:r>
      <w:r w:rsidR="003D736B" w:rsidRPr="007721FB">
        <w:rPr>
          <w:rStyle w:val="apple-converted-space"/>
          <w:rFonts w:ascii="Times New Roman" w:hAnsi="Times New Roman" w:cs="Times New Roman"/>
          <w:sz w:val="24"/>
          <w:szCs w:val="24"/>
          <w:shd w:val="clear" w:color="auto" w:fill="FFFFFF"/>
        </w:rPr>
        <w:t xml:space="preserve">, typically </w:t>
      </w:r>
      <w:r w:rsidR="00CA6ED9" w:rsidRPr="007721FB">
        <w:rPr>
          <w:rStyle w:val="apple-converted-space"/>
          <w:rFonts w:ascii="Times New Roman" w:hAnsi="Times New Roman" w:cs="Times New Roman"/>
          <w:sz w:val="24"/>
          <w:szCs w:val="24"/>
          <w:shd w:val="clear" w:color="auto" w:fill="FFFFFF"/>
        </w:rPr>
        <w:t>by exploiting</w:t>
      </w:r>
      <w:r w:rsidR="003D736B" w:rsidRPr="007721FB">
        <w:rPr>
          <w:rStyle w:val="apple-converted-space"/>
          <w:rFonts w:ascii="Times New Roman" w:hAnsi="Times New Roman" w:cs="Times New Roman"/>
          <w:sz w:val="24"/>
          <w:szCs w:val="24"/>
          <w:shd w:val="clear" w:color="auto" w:fill="FFFFFF"/>
        </w:rPr>
        <w:t xml:space="preserve"> </w:t>
      </w:r>
      <w:r w:rsidR="008131F3" w:rsidRPr="007721FB">
        <w:rPr>
          <w:rStyle w:val="apple-converted-space"/>
          <w:rFonts w:ascii="Times New Roman" w:hAnsi="Times New Roman" w:cs="Times New Roman"/>
          <w:sz w:val="24"/>
          <w:szCs w:val="24"/>
          <w:shd w:val="clear" w:color="auto" w:fill="FFFFFF"/>
        </w:rPr>
        <w:t>liposomal and micellar nanocarrier</w:t>
      </w:r>
      <w:r w:rsidR="003F35D7" w:rsidRPr="007721FB">
        <w:rPr>
          <w:rStyle w:val="apple-converted-space"/>
          <w:rFonts w:ascii="Times New Roman" w:hAnsi="Times New Roman" w:cs="Times New Roman"/>
          <w:sz w:val="24"/>
          <w:szCs w:val="24"/>
          <w:shd w:val="clear" w:color="auto" w:fill="FFFFFF"/>
        </w:rPr>
        <w:t>s</w:t>
      </w:r>
      <w:r w:rsidR="00CA6ED9" w:rsidRPr="007721FB">
        <w:rPr>
          <w:rStyle w:val="apple-converted-space"/>
          <w:rFonts w:ascii="Times New Roman" w:hAnsi="Times New Roman" w:cs="Times New Roman"/>
          <w:sz w:val="24"/>
          <w:szCs w:val="24"/>
          <w:shd w:val="clear" w:color="auto" w:fill="FFFFFF"/>
        </w:rPr>
        <w:t xml:space="preserve"> </w:t>
      </w:r>
      <w:r w:rsidR="000671FB" w:rsidRPr="007721FB">
        <w:rPr>
          <w:rStyle w:val="apple-converted-space"/>
          <w:rFonts w:ascii="Times New Roman" w:hAnsi="Times New Roman" w:cs="Times New Roman"/>
          <w:sz w:val="24"/>
          <w:szCs w:val="24"/>
          <w:shd w:val="clear" w:color="auto" w:fill="FFFFFF"/>
        </w:rPr>
        <w:fldChar w:fldCharType="begin" w:fldLock="1"/>
      </w:r>
      <w:r w:rsidR="00B31E12" w:rsidRPr="007721FB">
        <w:rPr>
          <w:rStyle w:val="apple-converted-space"/>
          <w:rFonts w:ascii="Times New Roman" w:hAnsi="Times New Roman" w:cs="Times New Roman"/>
          <w:sz w:val="24"/>
          <w:szCs w:val="24"/>
          <w:shd w:val="clear" w:color="auto" w:fill="FFFFFF"/>
        </w:rPr>
        <w:instrText>ADDIN CSL_CITATION { "citationItems" : [ { "id" : "ITEM-1", "itemData" : { "DOI" : "10.3390/polym8100359", "ISSN" : "2073-4360", "author" : [ { "dropping-particle" : "", "family" : "Zardad", "given" : "Az-Zamakhshariy", "non-dropping-particle" : "", "parse-names" : false, "suffix" : "" }, { "dropping-particle" : "", "family" : "Choonara", "given" : "Yahya", "non-dropping-particle" : "", "parse-names" : false, "suffix" : "" }, { "dropping-particle" : "", "family" : "Toit", "given" : "Lisa", "non-dropping-particle" : "du", "parse-names" : false, "suffix" : "" }, { "dropping-particle" : "", "family" : "Kumar", "given" : "Pradeep", "non-dropping-particle" : "", "parse-names" : false, "suffix" : "" }, { "dropping-particle" : "", "family" : "Mabrouk", "given" : "Mostafa", "non-dropping-particle" : "", "parse-names" : false, "suffix" : "" }, { "dropping-particle" : "", "family" : "Kondiah", "given" : "Pierre", "non-dropping-particle" : "", "parse-names" : false, "suffix" : "" }, { "dropping-particle" : "", "family" : "Pillay", "given" : "Viness", "non-dropping-particle" : "", "parse-names" : false, "suffix" : "" } ], "container-title" : "Polymers", "id" : "ITEM-1", "issue" : "10", "issued" : { "date-parts" : [ [ "2016" ] ] }, "page" : "359", "title" : "A Review of Thermo- and Ultrasound-Responsive Polymeric Systems for Delivery of Chemotherapeutic Agents", "type" : "article-journal", "volume" : "8" }, "uris" : [ "http://www.mendeley.com/documents/?uuid=251550bd-24b3-43b4-8d67-f995201f8fbb", "http://www.mendeley.com/documents/?uuid=a4a3dd77-2cc4-4e23-8c4c-1edb6edcdbd4" ] } ], "mendeley" : { "formattedCitation" : "[91]", "plainTextFormattedCitation" : "[91]", "previouslyFormattedCitation" : "[91]" }, "properties" : { "noteIndex" : 0 }, "schema" : "https://github.com/citation-style-language/schema/raw/master/csl-citation.json" }</w:instrText>
      </w:r>
      <w:r w:rsidR="000671FB" w:rsidRPr="007721FB">
        <w:rPr>
          <w:rStyle w:val="apple-converted-space"/>
          <w:rFonts w:ascii="Times New Roman" w:hAnsi="Times New Roman" w:cs="Times New Roman"/>
          <w:sz w:val="24"/>
          <w:szCs w:val="24"/>
          <w:shd w:val="clear" w:color="auto" w:fill="FFFFFF"/>
        </w:rPr>
        <w:fldChar w:fldCharType="separate"/>
      </w:r>
      <w:r w:rsidR="00B31E12" w:rsidRPr="007721FB">
        <w:rPr>
          <w:rStyle w:val="apple-converted-space"/>
          <w:rFonts w:ascii="Times New Roman" w:hAnsi="Times New Roman" w:cs="Times New Roman"/>
          <w:noProof/>
          <w:sz w:val="24"/>
          <w:szCs w:val="24"/>
          <w:shd w:val="clear" w:color="auto" w:fill="FFFFFF"/>
        </w:rPr>
        <w:t>[91]</w:t>
      </w:r>
      <w:r w:rsidR="000671FB" w:rsidRPr="007721FB">
        <w:rPr>
          <w:rStyle w:val="apple-converted-space"/>
          <w:rFonts w:ascii="Times New Roman" w:hAnsi="Times New Roman" w:cs="Times New Roman"/>
          <w:sz w:val="24"/>
          <w:szCs w:val="24"/>
          <w:shd w:val="clear" w:color="auto" w:fill="FFFFFF"/>
        </w:rPr>
        <w:fldChar w:fldCharType="end"/>
      </w:r>
      <w:r w:rsidR="00CA6ED9" w:rsidRPr="007721FB">
        <w:rPr>
          <w:rStyle w:val="apple-converted-space"/>
          <w:rFonts w:ascii="Times New Roman" w:hAnsi="Times New Roman" w:cs="Times New Roman"/>
          <w:sz w:val="24"/>
          <w:szCs w:val="24"/>
          <w:shd w:val="clear" w:color="auto" w:fill="FFFFFF"/>
        </w:rPr>
        <w:t xml:space="preserve">. In the context of drug delivery, </w:t>
      </w:r>
      <w:r w:rsidR="007C2229" w:rsidRPr="007721FB">
        <w:rPr>
          <w:rStyle w:val="apple-converted-space"/>
          <w:rFonts w:ascii="Times New Roman" w:hAnsi="Times New Roman" w:cs="Times New Roman"/>
          <w:sz w:val="24"/>
          <w:szCs w:val="24"/>
          <w:shd w:val="clear" w:color="auto" w:fill="FFFFFF"/>
        </w:rPr>
        <w:t>this external stimulus</w:t>
      </w:r>
      <w:r w:rsidR="00F95636" w:rsidRPr="007721FB">
        <w:rPr>
          <w:rStyle w:val="apple-converted-space"/>
          <w:rFonts w:ascii="Times New Roman" w:hAnsi="Times New Roman" w:cs="Times New Roman"/>
          <w:sz w:val="24"/>
          <w:szCs w:val="24"/>
          <w:shd w:val="clear" w:color="auto" w:fill="FFFFFF"/>
        </w:rPr>
        <w:t xml:space="preserve"> </w:t>
      </w:r>
      <w:r w:rsidR="00CA6ED9" w:rsidRPr="007721FB">
        <w:rPr>
          <w:rStyle w:val="apple-converted-space"/>
          <w:rFonts w:ascii="Times New Roman" w:hAnsi="Times New Roman" w:cs="Times New Roman"/>
          <w:sz w:val="24"/>
          <w:szCs w:val="24"/>
          <w:shd w:val="clear" w:color="auto" w:fill="FFFFFF"/>
        </w:rPr>
        <w:t>induces</w:t>
      </w:r>
      <w:r w:rsidR="003D736B" w:rsidRPr="007721FB">
        <w:rPr>
          <w:rStyle w:val="apple-converted-space"/>
          <w:rFonts w:ascii="Times New Roman" w:hAnsi="Times New Roman" w:cs="Times New Roman"/>
          <w:sz w:val="24"/>
          <w:szCs w:val="24"/>
          <w:shd w:val="clear" w:color="auto" w:fill="FFFFFF"/>
        </w:rPr>
        <w:t xml:space="preserve"> cavitation </w:t>
      </w:r>
      <w:r w:rsidR="003F35D7" w:rsidRPr="007721FB">
        <w:rPr>
          <w:rStyle w:val="apple-converted-space"/>
          <w:rFonts w:ascii="Times New Roman" w:hAnsi="Times New Roman" w:cs="Times New Roman"/>
          <w:sz w:val="24"/>
          <w:szCs w:val="24"/>
          <w:shd w:val="clear" w:color="auto" w:fill="FFFFFF"/>
        </w:rPr>
        <w:t xml:space="preserve">of </w:t>
      </w:r>
      <w:r w:rsidR="003D736B" w:rsidRPr="007721FB">
        <w:rPr>
          <w:rStyle w:val="apple-converted-space"/>
          <w:rFonts w:ascii="Times New Roman" w:hAnsi="Times New Roman" w:cs="Times New Roman"/>
          <w:sz w:val="24"/>
          <w:szCs w:val="24"/>
          <w:shd w:val="clear" w:color="auto" w:fill="FFFFFF"/>
        </w:rPr>
        <w:t>microbubble</w:t>
      </w:r>
      <w:r w:rsidR="004E36A7" w:rsidRPr="007721FB">
        <w:rPr>
          <w:rStyle w:val="apple-converted-space"/>
          <w:rFonts w:ascii="Times New Roman" w:hAnsi="Times New Roman" w:cs="Times New Roman"/>
          <w:sz w:val="24"/>
          <w:szCs w:val="24"/>
          <w:shd w:val="clear" w:color="auto" w:fill="FFFFFF"/>
        </w:rPr>
        <w:t xml:space="preserve"> contrast agents (small gas bubbles)</w:t>
      </w:r>
      <w:r w:rsidR="003D736B" w:rsidRPr="007721FB">
        <w:rPr>
          <w:rStyle w:val="apple-converted-space"/>
          <w:rFonts w:ascii="Times New Roman" w:hAnsi="Times New Roman" w:cs="Times New Roman"/>
          <w:sz w:val="24"/>
          <w:szCs w:val="24"/>
          <w:shd w:val="clear" w:color="auto" w:fill="FFFFFF"/>
        </w:rPr>
        <w:t xml:space="preserve"> </w:t>
      </w:r>
      <w:r w:rsidR="004E36A7" w:rsidRPr="007721FB">
        <w:rPr>
          <w:rStyle w:val="apple-converted-space"/>
          <w:rFonts w:ascii="Times New Roman" w:hAnsi="Times New Roman" w:cs="Times New Roman"/>
          <w:sz w:val="24"/>
          <w:szCs w:val="24"/>
          <w:shd w:val="clear" w:color="auto" w:fill="FFFFFF"/>
        </w:rPr>
        <w:t xml:space="preserve">loaded within nanocarriers hydrophobic reservoirs. The incidence of ultrasound leads to expansion and </w:t>
      </w:r>
      <w:r w:rsidR="003F35D7" w:rsidRPr="007721FB">
        <w:rPr>
          <w:rStyle w:val="apple-converted-space"/>
          <w:rFonts w:ascii="Times New Roman" w:hAnsi="Times New Roman" w:cs="Times New Roman"/>
          <w:sz w:val="24"/>
          <w:szCs w:val="24"/>
          <w:shd w:val="clear" w:color="auto" w:fill="FFFFFF"/>
        </w:rPr>
        <w:t xml:space="preserve">can </w:t>
      </w:r>
      <w:r w:rsidR="004E36A7" w:rsidRPr="007721FB">
        <w:rPr>
          <w:rStyle w:val="apple-converted-space"/>
          <w:rFonts w:ascii="Times New Roman" w:hAnsi="Times New Roman" w:cs="Times New Roman"/>
          <w:sz w:val="24"/>
          <w:szCs w:val="24"/>
          <w:shd w:val="clear" w:color="auto" w:fill="FFFFFF"/>
        </w:rPr>
        <w:t>ultimately</w:t>
      </w:r>
      <w:r w:rsidR="003D736B" w:rsidRPr="007721FB">
        <w:rPr>
          <w:rStyle w:val="apple-converted-space"/>
          <w:rFonts w:ascii="Times New Roman" w:hAnsi="Times New Roman" w:cs="Times New Roman"/>
          <w:sz w:val="24"/>
          <w:szCs w:val="24"/>
          <w:shd w:val="clear" w:color="auto" w:fill="FFFFFF"/>
        </w:rPr>
        <w:t xml:space="preserve"> </w:t>
      </w:r>
      <w:r w:rsidR="004E36A7" w:rsidRPr="007721FB">
        <w:rPr>
          <w:rStyle w:val="apple-converted-space"/>
          <w:rFonts w:ascii="Times New Roman" w:hAnsi="Times New Roman" w:cs="Times New Roman"/>
          <w:sz w:val="24"/>
          <w:szCs w:val="24"/>
          <w:shd w:val="clear" w:color="auto" w:fill="FFFFFF"/>
        </w:rPr>
        <w:t>fragment carriers</w:t>
      </w:r>
      <w:r w:rsidR="003D736B" w:rsidRPr="007721FB">
        <w:rPr>
          <w:rStyle w:val="apple-converted-space"/>
          <w:rFonts w:ascii="Times New Roman" w:hAnsi="Times New Roman" w:cs="Times New Roman"/>
          <w:sz w:val="24"/>
          <w:szCs w:val="24"/>
          <w:shd w:val="clear" w:color="auto" w:fill="FFFFFF"/>
        </w:rPr>
        <w:t xml:space="preserve"> structure.</w:t>
      </w:r>
    </w:p>
    <w:p w14:paraId="3606D867" w14:textId="6C7B0D18" w:rsidR="004E36A7" w:rsidRPr="007721FB" w:rsidRDefault="004E36A7" w:rsidP="00FE1D82">
      <w:pPr>
        <w:spacing w:after="0" w:line="240" w:lineRule="auto"/>
        <w:jc w:val="both"/>
        <w:rPr>
          <w:rStyle w:val="apple-converted-space"/>
          <w:rFonts w:ascii="Times New Roman" w:hAnsi="Times New Roman" w:cs="Times New Roman"/>
          <w:sz w:val="24"/>
          <w:szCs w:val="24"/>
          <w:shd w:val="clear" w:color="auto" w:fill="FFFFFF"/>
        </w:rPr>
      </w:pPr>
      <w:r w:rsidRPr="007721FB">
        <w:rPr>
          <w:rStyle w:val="apple-converted-space"/>
          <w:rFonts w:ascii="Times New Roman" w:hAnsi="Times New Roman" w:cs="Times New Roman"/>
          <w:sz w:val="24"/>
          <w:szCs w:val="24"/>
          <w:shd w:val="clear" w:color="auto" w:fill="FFFFFF"/>
        </w:rPr>
        <w:t xml:space="preserve">   E</w:t>
      </w:r>
      <w:r w:rsidR="00E61CE4" w:rsidRPr="007721FB">
        <w:rPr>
          <w:rStyle w:val="apple-converted-space"/>
          <w:rFonts w:ascii="Times New Roman" w:hAnsi="Times New Roman" w:cs="Times New Roman"/>
          <w:sz w:val="24"/>
          <w:szCs w:val="24"/>
          <w:shd w:val="clear" w:color="auto" w:fill="FFFFFF"/>
        </w:rPr>
        <w:t xml:space="preserve">chogenic liposomes </w:t>
      </w:r>
      <w:r w:rsidR="00E34071" w:rsidRPr="007721FB">
        <w:rPr>
          <w:rStyle w:val="apple-converted-space"/>
          <w:rFonts w:ascii="Times New Roman" w:hAnsi="Times New Roman" w:cs="Times New Roman"/>
          <w:sz w:val="24"/>
          <w:szCs w:val="24"/>
          <w:shd w:val="clear" w:color="auto" w:fill="FFFFFF"/>
        </w:rPr>
        <w:t>have been previously</w:t>
      </w:r>
      <w:r w:rsidR="00E61CE4" w:rsidRPr="007721FB">
        <w:rPr>
          <w:rStyle w:val="apple-converted-space"/>
          <w:rFonts w:ascii="Times New Roman" w:hAnsi="Times New Roman" w:cs="Times New Roman"/>
          <w:sz w:val="24"/>
          <w:szCs w:val="24"/>
          <w:shd w:val="clear" w:color="auto" w:fill="FFFFFF"/>
        </w:rPr>
        <w:t xml:space="preserve"> designed to allow multiple stimuli-responsiveness and enhance</w:t>
      </w:r>
      <w:r w:rsidR="008858F3" w:rsidRPr="007721FB">
        <w:rPr>
          <w:rStyle w:val="apple-converted-space"/>
          <w:rFonts w:ascii="Times New Roman" w:hAnsi="Times New Roman" w:cs="Times New Roman"/>
          <w:sz w:val="24"/>
          <w:szCs w:val="24"/>
          <w:shd w:val="clear" w:color="auto" w:fill="FFFFFF"/>
        </w:rPr>
        <w:t xml:space="preserve"> the</w:t>
      </w:r>
      <w:r w:rsidR="00E61CE4" w:rsidRPr="007721FB">
        <w:rPr>
          <w:rStyle w:val="apple-converted-space"/>
          <w:rFonts w:ascii="Times New Roman" w:hAnsi="Times New Roman" w:cs="Times New Roman"/>
          <w:sz w:val="24"/>
          <w:szCs w:val="24"/>
          <w:shd w:val="clear" w:color="auto" w:fill="FFFFFF"/>
        </w:rPr>
        <w:t xml:space="preserve"> release</w:t>
      </w:r>
      <w:r w:rsidR="008858F3" w:rsidRPr="007721FB">
        <w:rPr>
          <w:rStyle w:val="apple-converted-space"/>
          <w:rFonts w:ascii="Times New Roman" w:hAnsi="Times New Roman" w:cs="Times New Roman"/>
          <w:sz w:val="24"/>
          <w:szCs w:val="24"/>
          <w:shd w:val="clear" w:color="auto" w:fill="FFFFFF"/>
        </w:rPr>
        <w:t xml:space="preserve"> of bioactive molecules</w:t>
      </w:r>
      <w:r w:rsidR="00E61CE4" w:rsidRPr="007721FB">
        <w:rPr>
          <w:rStyle w:val="apple-converted-space"/>
          <w:rFonts w:ascii="Times New Roman" w:hAnsi="Times New Roman" w:cs="Times New Roman"/>
          <w:sz w:val="24"/>
          <w:szCs w:val="24"/>
          <w:shd w:val="clear" w:color="auto" w:fill="FFFFFF"/>
        </w:rPr>
        <w:t xml:space="preserve">. Nahire </w:t>
      </w:r>
      <w:r w:rsidRPr="007721FB">
        <w:rPr>
          <w:rStyle w:val="apple-converted-space"/>
          <w:rFonts w:ascii="Times New Roman" w:hAnsi="Times New Roman" w:cs="Times New Roman"/>
          <w:sz w:val="24"/>
          <w:szCs w:val="24"/>
          <w:shd w:val="clear" w:color="auto" w:fill="FFFFFF"/>
        </w:rPr>
        <w:t>and co-workers</w:t>
      </w:r>
      <w:r w:rsidR="00E61CE4" w:rsidRPr="007721FB">
        <w:rPr>
          <w:rStyle w:val="apple-converted-space"/>
          <w:rFonts w:ascii="Times New Roman" w:hAnsi="Times New Roman" w:cs="Times New Roman"/>
          <w:sz w:val="24"/>
          <w:szCs w:val="24"/>
          <w:shd w:val="clear" w:color="auto" w:fill="FFFFFF"/>
        </w:rPr>
        <w:t xml:space="preserve"> </w:t>
      </w:r>
      <w:r w:rsidR="00DF1A02" w:rsidRPr="007721FB">
        <w:rPr>
          <w:rStyle w:val="apple-converted-space"/>
          <w:rFonts w:ascii="Times New Roman" w:hAnsi="Times New Roman" w:cs="Times New Roman"/>
          <w:sz w:val="24"/>
          <w:szCs w:val="24"/>
          <w:shd w:val="clear" w:color="auto" w:fill="FFFFFF"/>
        </w:rPr>
        <w:t>developed MMP-9 responsive echogenic liposomes comprised of 1-palmitoyl-2-oleoyl- sn-glycero-3-phosphocholine with a triple-helical lipopeptide</w:t>
      </w:r>
      <w:r w:rsidR="001C4879" w:rsidRPr="007721FB">
        <w:rPr>
          <w:rStyle w:val="apple-converted-space"/>
          <w:rFonts w:ascii="Times New Roman" w:hAnsi="Times New Roman" w:cs="Times New Roman"/>
          <w:sz w:val="24"/>
          <w:szCs w:val="24"/>
          <w:shd w:val="clear" w:color="auto" w:fill="FFFFFF"/>
        </w:rPr>
        <w:t xml:space="preserve"> (size</w:t>
      </w:r>
      <w:r w:rsidRPr="007721FB">
        <w:rPr>
          <w:rStyle w:val="apple-converted-space"/>
          <w:rFonts w:ascii="Times New Roman" w:hAnsi="Times New Roman" w:cs="Times New Roman"/>
          <w:sz w:val="24"/>
          <w:szCs w:val="24"/>
          <w:shd w:val="clear" w:color="auto" w:fill="FFFFFF"/>
        </w:rPr>
        <w:t>:</w:t>
      </w:r>
      <w:r w:rsidR="001C4879" w:rsidRPr="007721FB">
        <w:rPr>
          <w:rStyle w:val="apple-converted-space"/>
          <w:rFonts w:ascii="Times New Roman" w:hAnsi="Times New Roman" w:cs="Times New Roman"/>
          <w:sz w:val="24"/>
          <w:szCs w:val="24"/>
          <w:shd w:val="clear" w:color="auto" w:fill="FFFFFF"/>
        </w:rPr>
        <w:t xml:space="preserve"> 190 ± 35 nm)</w:t>
      </w:r>
      <w:r w:rsidR="005C35EB" w:rsidRPr="007721FB">
        <w:rPr>
          <w:rStyle w:val="apple-converted-space"/>
          <w:rFonts w:ascii="Times New Roman" w:hAnsi="Times New Roman" w:cs="Times New Roman"/>
          <w:sz w:val="24"/>
          <w:szCs w:val="24"/>
          <w:shd w:val="clear" w:color="auto" w:fill="FFFFFF"/>
        </w:rPr>
        <w:t xml:space="preserve"> </w:t>
      </w:r>
      <w:r w:rsidR="001C4879" w:rsidRPr="007721FB">
        <w:rPr>
          <w:rStyle w:val="apple-converted-space"/>
          <w:rFonts w:ascii="Times New Roman" w:hAnsi="Times New Roman" w:cs="Times New Roman"/>
          <w:sz w:val="24"/>
          <w:szCs w:val="24"/>
          <w:shd w:val="clear" w:color="auto" w:fill="FFFFFF"/>
        </w:rPr>
        <w:fldChar w:fldCharType="begin" w:fldLock="1"/>
      </w:r>
      <w:r w:rsidR="00B31E12" w:rsidRPr="007721FB">
        <w:rPr>
          <w:rStyle w:val="apple-converted-space"/>
          <w:rFonts w:ascii="Times New Roman" w:hAnsi="Times New Roman" w:cs="Times New Roman"/>
          <w:sz w:val="24"/>
          <w:szCs w:val="24"/>
          <w:shd w:val="clear" w:color="auto" w:fill="FFFFFF"/>
        </w:rPr>
        <w:instrText>ADDIN CSL_CITATION { "citationItems" : [ { "id" : "ITEM-1", "itemData" : { "DOI" : "10.1021/mp300165s", "ISBN" : "1543-8392 (Electronic)\\r1543-8384 (Linking)", "ISSN" : "15438384", "PMID" : "22849291", "abstract" : "The extracellular enzyme matrix metalloproteinase-9 (MMP-9) is overexpressed in atherosclerotic plaques and in metastatic cancers. The enzyme is responsible for rupture of the plaques and for the invasion and metastasis of a large number of cancers. The ability of ultrasonic excitation to induce thermal and mechanical effects has been used to release drugs from different carriers. However, the majority of these studies were performed with low frequency ultrasound (LFUS) at kilohertz frequencies. Clinical usage of LFUS excitations will be limited due to harmful biological effects. Herein, we report our results on the release of encapsulated contents from substrate lipopeptide incorporated echogenic liposomes triggered by recombinant human MMP-9. The contents release was further enhanced by the application of diagnostic frequency (3 MHz) ultrasound. The echogenic liposomes were successfully imaged employing a medical ultrasound transducer (4-15 MHz). The conditioned cell culture media from cancer cells (secreting MMP-9) released the encapsulated dye from the liposomes (30-50%), and this release is also increased (50-80%) by applying diagnostic frequency ultrasound (3 MHz) for 3 min. With further developments, these liposomes have the potential to serve as multimodal carriers for triggered release and simultaneous ultrasound imaging.", "author" : [ { "dropping-particle" : "", "family" : "Nahire", "given" : "Rahul", "non-dropping-particle" : "", "parse-names" : false, "suffix" : "" }, { "dropping-particle" : "", "family" : "Paul", "given" : "Shirshendu", "non-dropping-particle" : "", "parse-names" : false, "suffix" : "" }, { "dropping-particle" : "", "family" : "Scott", "given" : "Michael D.", "non-dropping-particle" : "", "parse-names" : false, "suffix" : "" }, { "dropping-particle" : "", "family" : "Singh", "given" : "Raushan K.", "non-dropping-particle" : "", "parse-names" : false, "suffix" : "" }, { "dropping-particle" : "", "family" : "Muhonen", "given" : "Wallace W.", "non-dropping-particle" : "", "parse-names" : false, "suffix" : "" }, { "dropping-particle" : "", "family" : "Shabb", "given" : "John", "non-dropping-particle" : "", "parse-names" : false, "suffix" : "" }, { "dropping-particle" : "", "family" : "Gange", "given" : "Kara N.", "non-dropping-particle" : "", "parse-names" : false, "suffix" : "" }, { "dropping-particle" : "", "family" : "Srivastava", "given" : "D. K.", "non-dropping-particle" : "", "parse-names" : false, "suffix" : "" }, { "dropping-particle" : "", "family" : "Sarkar", "given" : "Kausik", "non-dropping-particle" : "", "parse-names" : false, "suffix" : "" }, { "dropping-particle" : "", "family" : "Mallik", "given" : "Sanku", "non-dropping-particle" : "", "parse-names" : false, "suffix" : "" } ], "container-title" : "Molecular Pharmaceutics", "id" : "ITEM-1", "issue" : "9", "issued" : { "date-parts" : [ [ "2012" ] ] }, "page" : "2554-2564", "title" : "Ultrasound enhanced matrix metalloproteinase-9 triggered release of contents from echogenic liposomes", "type" : "article-journal", "volume" : "9" }, "uris" : [ "http://www.mendeley.com/documents/?uuid=d6b680e0-65f5-444c-b6e0-ecdf1f8409f5", "http://www.mendeley.com/documents/?uuid=566b7048-3ced-4dd0-b7cf-04b3fa8082d4" ] } ], "mendeley" : { "formattedCitation" : "[92]", "plainTextFormattedCitation" : "[92]", "previouslyFormattedCitation" : "[92]" }, "properties" : { "noteIndex" : 0 }, "schema" : "https://github.com/citation-style-language/schema/raw/master/csl-citation.json" }</w:instrText>
      </w:r>
      <w:r w:rsidR="001C4879" w:rsidRPr="007721FB">
        <w:rPr>
          <w:rStyle w:val="apple-converted-space"/>
          <w:rFonts w:ascii="Times New Roman" w:hAnsi="Times New Roman" w:cs="Times New Roman"/>
          <w:sz w:val="24"/>
          <w:szCs w:val="24"/>
          <w:shd w:val="clear" w:color="auto" w:fill="FFFFFF"/>
        </w:rPr>
        <w:fldChar w:fldCharType="separate"/>
      </w:r>
      <w:r w:rsidR="00B31E12" w:rsidRPr="007721FB">
        <w:rPr>
          <w:rStyle w:val="apple-converted-space"/>
          <w:rFonts w:ascii="Times New Roman" w:hAnsi="Times New Roman" w:cs="Times New Roman"/>
          <w:noProof/>
          <w:sz w:val="24"/>
          <w:szCs w:val="24"/>
          <w:shd w:val="clear" w:color="auto" w:fill="FFFFFF"/>
        </w:rPr>
        <w:t>[92]</w:t>
      </w:r>
      <w:r w:rsidR="001C4879" w:rsidRPr="007721FB">
        <w:rPr>
          <w:rStyle w:val="apple-converted-space"/>
          <w:rFonts w:ascii="Times New Roman" w:hAnsi="Times New Roman" w:cs="Times New Roman"/>
          <w:sz w:val="24"/>
          <w:szCs w:val="24"/>
          <w:shd w:val="clear" w:color="auto" w:fill="FFFFFF"/>
        </w:rPr>
        <w:fldChar w:fldCharType="end"/>
      </w:r>
      <w:r w:rsidR="005C35EB" w:rsidRPr="007721FB">
        <w:rPr>
          <w:rStyle w:val="apple-converted-space"/>
          <w:rFonts w:ascii="Times New Roman" w:hAnsi="Times New Roman" w:cs="Times New Roman"/>
          <w:sz w:val="24"/>
          <w:szCs w:val="24"/>
          <w:shd w:val="clear" w:color="auto" w:fill="FFFFFF"/>
        </w:rPr>
        <w:t>.</w:t>
      </w:r>
      <w:r w:rsidR="005C0072" w:rsidRPr="007721FB">
        <w:rPr>
          <w:rStyle w:val="apple-converted-space"/>
          <w:rFonts w:ascii="Times New Roman" w:hAnsi="Times New Roman" w:cs="Times New Roman"/>
          <w:sz w:val="24"/>
          <w:szCs w:val="24"/>
          <w:shd w:val="clear" w:color="auto" w:fill="FFFFFF"/>
        </w:rPr>
        <w:t xml:space="preserve"> </w:t>
      </w:r>
      <w:r w:rsidRPr="007721FB">
        <w:rPr>
          <w:rStyle w:val="apple-converted-space"/>
          <w:rFonts w:ascii="Times New Roman" w:hAnsi="Times New Roman" w:cs="Times New Roman"/>
          <w:sz w:val="24"/>
          <w:szCs w:val="24"/>
          <w:shd w:val="clear" w:color="auto" w:fill="FFFFFF"/>
        </w:rPr>
        <w:t>In this study an</w:t>
      </w:r>
      <w:r w:rsidR="005C0072" w:rsidRPr="007721FB">
        <w:rPr>
          <w:rStyle w:val="apple-converted-space"/>
          <w:rFonts w:ascii="Times New Roman" w:hAnsi="Times New Roman" w:cs="Times New Roman"/>
          <w:sz w:val="24"/>
          <w:szCs w:val="24"/>
          <w:shd w:val="clear" w:color="auto" w:fill="FFFFFF"/>
        </w:rPr>
        <w:t xml:space="preserve"> increased payload release from liposomes upon simultaneous application </w:t>
      </w:r>
      <w:r w:rsidR="005C0072" w:rsidRPr="007721FB">
        <w:rPr>
          <w:rStyle w:val="apple-converted-space"/>
          <w:rFonts w:ascii="Times New Roman" w:hAnsi="Times New Roman" w:cs="Times New Roman"/>
          <w:sz w:val="24"/>
          <w:szCs w:val="24"/>
          <w:shd w:val="clear" w:color="auto" w:fill="FFFFFF"/>
        </w:rPr>
        <w:lastRenderedPageBreak/>
        <w:t xml:space="preserve">of </w:t>
      </w:r>
      <w:r w:rsidRPr="007721FB">
        <w:rPr>
          <w:rStyle w:val="apple-converted-space"/>
          <w:rFonts w:ascii="Times New Roman" w:hAnsi="Times New Roman" w:cs="Times New Roman"/>
          <w:sz w:val="24"/>
          <w:szCs w:val="24"/>
          <w:shd w:val="clear" w:color="auto" w:fill="FFFFFF"/>
        </w:rPr>
        <w:t>diagnostic-used</w:t>
      </w:r>
      <w:r w:rsidR="005C0072" w:rsidRPr="007721FB">
        <w:rPr>
          <w:rStyle w:val="apple-converted-space"/>
          <w:rFonts w:ascii="Times New Roman" w:hAnsi="Times New Roman" w:cs="Times New Roman"/>
          <w:sz w:val="24"/>
          <w:szCs w:val="24"/>
          <w:shd w:val="clear" w:color="auto" w:fill="FFFFFF"/>
        </w:rPr>
        <w:t xml:space="preserve"> ultrasound frequency (3 MHz)</w:t>
      </w:r>
      <w:r w:rsidRPr="007721FB">
        <w:rPr>
          <w:rStyle w:val="apple-converted-space"/>
          <w:rFonts w:ascii="Times New Roman" w:hAnsi="Times New Roman" w:cs="Times New Roman"/>
          <w:sz w:val="24"/>
          <w:szCs w:val="24"/>
          <w:shd w:val="clear" w:color="auto" w:fill="FFFFFF"/>
        </w:rPr>
        <w:t xml:space="preserve"> was obtained</w:t>
      </w:r>
      <w:r w:rsidR="005C0072" w:rsidRPr="007721FB">
        <w:rPr>
          <w:rStyle w:val="apple-converted-space"/>
          <w:rFonts w:ascii="Times New Roman" w:hAnsi="Times New Roman" w:cs="Times New Roman"/>
          <w:sz w:val="24"/>
          <w:szCs w:val="24"/>
          <w:shd w:val="clear" w:color="auto" w:fill="FFFFFF"/>
        </w:rPr>
        <w:t>.</w:t>
      </w:r>
      <w:bookmarkStart w:id="14" w:name="_Toc471752570"/>
      <w:r w:rsidR="005C0072" w:rsidRPr="007721FB">
        <w:rPr>
          <w:rStyle w:val="apple-converted-space"/>
          <w:rFonts w:ascii="Times New Roman" w:hAnsi="Times New Roman" w:cs="Times New Roman"/>
          <w:sz w:val="24"/>
          <w:szCs w:val="24"/>
          <w:shd w:val="clear" w:color="auto" w:fill="FFFFFF"/>
        </w:rPr>
        <w:t xml:space="preserve"> </w:t>
      </w:r>
      <w:r w:rsidR="003F15B5" w:rsidRPr="007721FB">
        <w:rPr>
          <w:rStyle w:val="apple-converted-space"/>
          <w:rFonts w:ascii="Times New Roman" w:hAnsi="Times New Roman" w:cs="Times New Roman"/>
          <w:sz w:val="24"/>
          <w:szCs w:val="24"/>
          <w:shd w:val="clear" w:color="auto" w:fill="FFFFFF"/>
        </w:rPr>
        <w:t xml:space="preserve">More recently, Crasto </w:t>
      </w:r>
      <w:r w:rsidRPr="007721FB">
        <w:rPr>
          <w:rStyle w:val="apple-converted-space"/>
          <w:rFonts w:ascii="Times New Roman" w:hAnsi="Times New Roman" w:cs="Times New Roman"/>
          <w:sz w:val="24"/>
          <w:szCs w:val="24"/>
          <w:shd w:val="clear" w:color="auto" w:fill="FFFFFF"/>
        </w:rPr>
        <w:t>and h</w:t>
      </w:r>
      <w:r w:rsidR="00873DBA" w:rsidRPr="007721FB">
        <w:rPr>
          <w:rStyle w:val="apple-converted-space"/>
          <w:rFonts w:ascii="Times New Roman" w:hAnsi="Times New Roman" w:cs="Times New Roman"/>
          <w:sz w:val="24"/>
          <w:szCs w:val="24"/>
          <w:shd w:val="clear" w:color="auto" w:fill="FFFFFF"/>
        </w:rPr>
        <w:t>er</w:t>
      </w:r>
      <w:r w:rsidRPr="007721FB">
        <w:rPr>
          <w:rStyle w:val="apple-converted-space"/>
          <w:rFonts w:ascii="Times New Roman" w:hAnsi="Times New Roman" w:cs="Times New Roman"/>
          <w:sz w:val="24"/>
          <w:szCs w:val="24"/>
          <w:shd w:val="clear" w:color="auto" w:fill="FFFFFF"/>
        </w:rPr>
        <w:t xml:space="preserve"> team</w:t>
      </w:r>
      <w:r w:rsidR="003F15B5" w:rsidRPr="007721FB">
        <w:rPr>
          <w:rStyle w:val="apple-converted-space"/>
          <w:rFonts w:ascii="Times New Roman" w:hAnsi="Times New Roman" w:cs="Times New Roman"/>
          <w:sz w:val="24"/>
          <w:szCs w:val="24"/>
          <w:shd w:val="clear" w:color="auto" w:fill="FFFFFF"/>
        </w:rPr>
        <w:t xml:space="preserve"> developed PEGylated liposomes (size</w:t>
      </w:r>
      <w:r w:rsidRPr="007721FB">
        <w:rPr>
          <w:rStyle w:val="apple-converted-space"/>
          <w:rFonts w:ascii="Times New Roman" w:hAnsi="Times New Roman" w:cs="Times New Roman"/>
          <w:sz w:val="24"/>
          <w:szCs w:val="24"/>
          <w:shd w:val="clear" w:color="auto" w:fill="FFFFFF"/>
        </w:rPr>
        <w:t>:</w:t>
      </w:r>
      <w:r w:rsidR="003F15B5" w:rsidRPr="007721FB">
        <w:rPr>
          <w:rStyle w:val="apple-converted-space"/>
          <w:rFonts w:ascii="Times New Roman" w:hAnsi="Times New Roman" w:cs="Times New Roman"/>
          <w:sz w:val="24"/>
          <w:szCs w:val="24"/>
          <w:shd w:val="clear" w:color="auto" w:fill="FFFFFF"/>
        </w:rPr>
        <w:t xml:space="preserve"> 145 ± 20 nm) that released recombinant human BMP-2 </w:t>
      </w:r>
      <w:r w:rsidR="00881C5F" w:rsidRPr="007721FB">
        <w:rPr>
          <w:rStyle w:val="apple-converted-space"/>
          <w:rFonts w:ascii="Times New Roman" w:hAnsi="Times New Roman" w:cs="Times New Roman"/>
          <w:sz w:val="24"/>
          <w:szCs w:val="24"/>
          <w:shd w:val="clear" w:color="auto" w:fill="FFFFFF"/>
        </w:rPr>
        <w:t xml:space="preserve">(rhBMP-2) </w:t>
      </w:r>
      <w:r w:rsidR="003F15B5" w:rsidRPr="007721FB">
        <w:rPr>
          <w:rStyle w:val="apple-converted-space"/>
          <w:rFonts w:ascii="Times New Roman" w:hAnsi="Times New Roman" w:cs="Times New Roman"/>
          <w:sz w:val="24"/>
          <w:szCs w:val="24"/>
          <w:shd w:val="clear" w:color="auto" w:fill="FFFFFF"/>
        </w:rPr>
        <w:t>upon ultrasound exposure (1 MHz)</w:t>
      </w:r>
      <w:r w:rsidRPr="007721FB">
        <w:rPr>
          <w:rStyle w:val="apple-converted-space"/>
          <w:rFonts w:ascii="Times New Roman" w:hAnsi="Times New Roman" w:cs="Times New Roman"/>
          <w:sz w:val="24"/>
          <w:szCs w:val="24"/>
          <w:shd w:val="clear" w:color="auto" w:fill="FFFFFF"/>
        </w:rPr>
        <w:t xml:space="preserve"> (Figure </w:t>
      </w:r>
      <w:r w:rsidR="007966FA" w:rsidRPr="007721FB">
        <w:rPr>
          <w:rStyle w:val="apple-converted-space"/>
          <w:rFonts w:ascii="Times New Roman" w:hAnsi="Times New Roman" w:cs="Times New Roman"/>
          <w:sz w:val="24"/>
          <w:szCs w:val="24"/>
          <w:shd w:val="clear" w:color="auto" w:fill="FFFFFF"/>
        </w:rPr>
        <w:t>6</w:t>
      </w:r>
      <w:r w:rsidRPr="007721FB">
        <w:rPr>
          <w:rStyle w:val="apple-converted-space"/>
          <w:rFonts w:ascii="Times New Roman" w:hAnsi="Times New Roman" w:cs="Times New Roman"/>
          <w:sz w:val="24"/>
          <w:szCs w:val="24"/>
          <w:shd w:val="clear" w:color="auto" w:fill="FFFFFF"/>
        </w:rPr>
        <w:t xml:space="preserve">) </w:t>
      </w:r>
      <w:r w:rsidR="003F15B5" w:rsidRPr="007721FB">
        <w:rPr>
          <w:rStyle w:val="apple-converted-space"/>
          <w:rFonts w:ascii="Times New Roman" w:hAnsi="Times New Roman" w:cs="Times New Roman"/>
          <w:sz w:val="24"/>
          <w:szCs w:val="24"/>
          <w:shd w:val="clear" w:color="auto" w:fill="FFFFFF"/>
        </w:rPr>
        <w:fldChar w:fldCharType="begin" w:fldLock="1"/>
      </w:r>
      <w:r w:rsidR="00B31E12" w:rsidRPr="007721FB">
        <w:rPr>
          <w:rStyle w:val="apple-converted-space"/>
          <w:rFonts w:ascii="Times New Roman" w:hAnsi="Times New Roman" w:cs="Times New Roman"/>
          <w:sz w:val="24"/>
          <w:szCs w:val="24"/>
          <w:shd w:val="clear" w:color="auto" w:fill="FFFFFF"/>
        </w:rPr>
        <w:instrText>ADDIN CSL_CITATION { "citationItems" : [ { "id" : "ITEM-1", "itemData" : { "DOI" : "10.1016/j.jconrel.2016.09.032", "ISSN" : "01683659", "author" : [ { "dropping-particle" : "", "family" : "Crasto", "given" : "Gazelle J.", "non-dropping-particle" : "", "parse-names" : false, "suffix" : "" }, { "dropping-particle" : "", "family" : "Kartner", "given" : "Norbert", "non-dropping-particle" : "", "parse-names" : false, "suffix" : "" }, { "dropping-particle" : "", "family" : "Reznik", "given" : "Nikita", "non-dropping-particle" : "", "parse-names" : false, "suffix" : "" }, { "dropping-particle" : "V.", "family" : "Spatafora", "given" : "Michael", "non-dropping-particle" : "", "parse-names" : false, "suffix" : "" }, { "dropping-particle" : "", "family" : "Chen", "given" : "Hanje", "non-dropping-particle" : "", "parse-names" : false, "suffix" : "" }, { "dropping-particle" : "", "family" : "Williams", "given" : "Ross", "non-dropping-particle" : "", "parse-names" : false, "suffix" : "" }, { "dropping-particle" : "", "family" : "Burns", "given" : "Peter N.", "non-dropping-particle" : "", "parse-names" : false, "suffix" : "" }, { "dropping-particle" : "", "family" : "Clokie", "given" : "Cameron", "non-dropping-particle" : "", "parse-names" : false, "suffix" : "" }, { "dropping-particle" : "", "family" : "Manolson", "given" : "Morris F.", "non-dropping-particle" : "", "parse-names" : false, "suffix" : "" }, { "dropping-particle" : "", "family" : "Peel", "given" : "Sean A.F.", "non-dropping-particle" : "", "parse-names" : false, "suffix" : "" } ], "container-title" : "Journal of Controlled Release", "id" : "ITEM-1", "issued" : { "date-parts" : [ [ "2016" ] ] }, "publisher" : "Elsevier B.V.", "title" : "Controlled bone formation using ultrasound-triggered release of BMP-2 from liposomes", "type" : "article-journal" }, "uris" : [ "http://www.mendeley.com/documents/?uuid=915d49f1-0d6e-4fbd-9c34-1c53eea30afc", "http://www.mendeley.com/documents/?uuid=2caee53f-b7ad-4063-98e3-e635a1d10332" ] } ], "mendeley" : { "formattedCitation" : "[93]", "plainTextFormattedCitation" : "[93]", "previouslyFormattedCitation" : "[93]" }, "properties" : { "noteIndex" : 0 }, "schema" : "https://github.com/citation-style-language/schema/raw/master/csl-citation.json" }</w:instrText>
      </w:r>
      <w:r w:rsidR="003F15B5" w:rsidRPr="007721FB">
        <w:rPr>
          <w:rStyle w:val="apple-converted-space"/>
          <w:rFonts w:ascii="Times New Roman" w:hAnsi="Times New Roman" w:cs="Times New Roman"/>
          <w:sz w:val="24"/>
          <w:szCs w:val="24"/>
          <w:shd w:val="clear" w:color="auto" w:fill="FFFFFF"/>
        </w:rPr>
        <w:fldChar w:fldCharType="separate"/>
      </w:r>
      <w:r w:rsidR="00B31E12" w:rsidRPr="007721FB">
        <w:rPr>
          <w:rStyle w:val="apple-converted-space"/>
          <w:rFonts w:ascii="Times New Roman" w:hAnsi="Times New Roman" w:cs="Times New Roman"/>
          <w:noProof/>
          <w:sz w:val="24"/>
          <w:szCs w:val="24"/>
          <w:shd w:val="clear" w:color="auto" w:fill="FFFFFF"/>
        </w:rPr>
        <w:t>[93]</w:t>
      </w:r>
      <w:r w:rsidR="003F15B5" w:rsidRPr="007721FB">
        <w:rPr>
          <w:rStyle w:val="apple-converted-space"/>
          <w:rFonts w:ascii="Times New Roman" w:hAnsi="Times New Roman" w:cs="Times New Roman"/>
          <w:sz w:val="24"/>
          <w:szCs w:val="24"/>
          <w:shd w:val="clear" w:color="auto" w:fill="FFFFFF"/>
        </w:rPr>
        <w:fldChar w:fldCharType="end"/>
      </w:r>
      <w:r w:rsidRPr="007721FB">
        <w:rPr>
          <w:rStyle w:val="apple-converted-space"/>
          <w:rFonts w:ascii="Times New Roman" w:hAnsi="Times New Roman" w:cs="Times New Roman"/>
          <w:sz w:val="24"/>
          <w:szCs w:val="24"/>
          <w:shd w:val="clear" w:color="auto" w:fill="FFFFFF"/>
        </w:rPr>
        <w:t>.</w:t>
      </w:r>
      <w:r w:rsidR="000F1814" w:rsidRPr="007721FB">
        <w:rPr>
          <w:rStyle w:val="apple-converted-space"/>
          <w:rFonts w:ascii="Times New Roman" w:hAnsi="Times New Roman" w:cs="Times New Roman"/>
          <w:sz w:val="24"/>
          <w:szCs w:val="24"/>
          <w:shd w:val="clear" w:color="auto" w:fill="FFFFFF"/>
        </w:rPr>
        <w:t xml:space="preserve"> </w:t>
      </w:r>
      <w:r w:rsidR="00873DBA" w:rsidRPr="007721FB">
        <w:rPr>
          <w:rStyle w:val="apple-converted-space"/>
          <w:rFonts w:ascii="Times New Roman" w:hAnsi="Times New Roman" w:cs="Times New Roman"/>
          <w:sz w:val="24"/>
          <w:szCs w:val="24"/>
          <w:shd w:val="clear" w:color="auto" w:fill="FFFFFF"/>
        </w:rPr>
        <w:t>Such ultrasound-responsive liposomes exhibited rhBMP-2 release correlated with exposure time and ultrasound pressure, which lead to increased C2C12 cellular expression of alkaline phosphatase (ALP)</w:t>
      </w:r>
      <w:r w:rsidR="00FE1D82" w:rsidRPr="007721FB">
        <w:rPr>
          <w:rStyle w:val="apple-converted-space"/>
          <w:rFonts w:ascii="Times New Roman" w:hAnsi="Times New Roman" w:cs="Times New Roman"/>
          <w:sz w:val="24"/>
          <w:szCs w:val="24"/>
          <w:shd w:val="clear" w:color="auto" w:fill="FFFFFF"/>
        </w:rPr>
        <w:t xml:space="preserve"> (Figure 6B and 6C)</w:t>
      </w:r>
      <w:r w:rsidR="00873DBA" w:rsidRPr="007721FB">
        <w:rPr>
          <w:rStyle w:val="apple-converted-space"/>
          <w:rFonts w:ascii="Times New Roman" w:hAnsi="Times New Roman" w:cs="Times New Roman"/>
          <w:sz w:val="24"/>
          <w:szCs w:val="24"/>
          <w:shd w:val="clear" w:color="auto" w:fill="FFFFFF"/>
        </w:rPr>
        <w:t>. Moreover, these nanocarriers for sonodisruptable delivery (NSD)</w:t>
      </w:r>
      <w:r w:rsidR="00FE1D82" w:rsidRPr="007721FB">
        <w:rPr>
          <w:rStyle w:val="apple-converted-space"/>
          <w:rFonts w:ascii="Times New Roman" w:hAnsi="Times New Roman" w:cs="Times New Roman"/>
          <w:sz w:val="24"/>
          <w:szCs w:val="24"/>
          <w:shd w:val="clear" w:color="auto" w:fill="FFFFFF"/>
        </w:rPr>
        <w:t xml:space="preserve"> were embedded within an absorbable collagen sponge (ACS) for a proof-of-concept comparison with the clinical standard of rhBMP-2 delivered via ACS implants. Indeed, µCT data showed that the ACS-NSD groups carrying rhBMP-2 elicited an increase in bone volume and mineral density (BM) comparable to the ACS-BMP groups (Figure 6D and 6E). </w:t>
      </w:r>
      <w:r w:rsidR="00E34071" w:rsidRPr="007721FB">
        <w:rPr>
          <w:rStyle w:val="apple-converted-space"/>
          <w:rFonts w:ascii="Times New Roman" w:hAnsi="Times New Roman" w:cs="Times New Roman"/>
          <w:sz w:val="24"/>
          <w:szCs w:val="24"/>
          <w:shd w:val="clear" w:color="auto" w:fill="FFFFFF"/>
        </w:rPr>
        <w:t>By using</w:t>
      </w:r>
      <w:r w:rsidR="000F1814" w:rsidRPr="007721FB">
        <w:rPr>
          <w:rStyle w:val="apple-converted-space"/>
          <w:rFonts w:ascii="Times New Roman" w:hAnsi="Times New Roman" w:cs="Times New Roman"/>
          <w:sz w:val="24"/>
          <w:szCs w:val="24"/>
          <w:shd w:val="clear" w:color="auto" w:fill="FFFFFF"/>
        </w:rPr>
        <w:t xml:space="preserve"> this st</w:t>
      </w:r>
      <w:r w:rsidR="00E34071" w:rsidRPr="007721FB">
        <w:rPr>
          <w:rStyle w:val="apple-converted-space"/>
          <w:rFonts w:ascii="Times New Roman" w:hAnsi="Times New Roman" w:cs="Times New Roman"/>
          <w:sz w:val="24"/>
          <w:szCs w:val="24"/>
          <w:shd w:val="clear" w:color="auto" w:fill="FFFFFF"/>
        </w:rPr>
        <w:t>r</w:t>
      </w:r>
      <w:r w:rsidR="000F1814" w:rsidRPr="007721FB">
        <w:rPr>
          <w:rStyle w:val="apple-converted-space"/>
          <w:rFonts w:ascii="Times New Roman" w:hAnsi="Times New Roman" w:cs="Times New Roman"/>
          <w:sz w:val="24"/>
          <w:szCs w:val="24"/>
          <w:shd w:val="clear" w:color="auto" w:fill="FFFFFF"/>
        </w:rPr>
        <w:t>ategy,</w:t>
      </w:r>
      <w:r w:rsidR="005C0072" w:rsidRPr="007721FB">
        <w:rPr>
          <w:rStyle w:val="apple-converted-space"/>
          <w:rFonts w:ascii="Times New Roman" w:hAnsi="Times New Roman" w:cs="Times New Roman"/>
          <w:sz w:val="24"/>
          <w:szCs w:val="24"/>
          <w:shd w:val="clear" w:color="auto" w:fill="FFFFFF"/>
        </w:rPr>
        <w:t xml:space="preserve"> the</w:t>
      </w:r>
      <w:r w:rsidR="00E26788" w:rsidRPr="007721FB">
        <w:rPr>
          <w:rStyle w:val="apple-converted-space"/>
          <w:rFonts w:ascii="Times New Roman" w:hAnsi="Times New Roman" w:cs="Times New Roman"/>
          <w:sz w:val="24"/>
          <w:szCs w:val="24"/>
          <w:shd w:val="clear" w:color="auto" w:fill="FFFFFF"/>
        </w:rPr>
        <w:t xml:space="preserve"> researcher</w:t>
      </w:r>
      <w:r w:rsidR="005C0072" w:rsidRPr="007721FB">
        <w:rPr>
          <w:rStyle w:val="apple-converted-space"/>
          <w:rFonts w:ascii="Times New Roman" w:hAnsi="Times New Roman" w:cs="Times New Roman"/>
          <w:sz w:val="24"/>
          <w:szCs w:val="24"/>
          <w:shd w:val="clear" w:color="auto" w:fill="FFFFFF"/>
        </w:rPr>
        <w:t>s</w:t>
      </w:r>
      <w:r w:rsidR="00E26788" w:rsidRPr="007721FB">
        <w:rPr>
          <w:rStyle w:val="apple-converted-space"/>
          <w:rFonts w:ascii="Times New Roman" w:hAnsi="Times New Roman" w:cs="Times New Roman"/>
          <w:sz w:val="24"/>
          <w:szCs w:val="24"/>
          <w:shd w:val="clear" w:color="auto" w:fill="FFFFFF"/>
        </w:rPr>
        <w:t xml:space="preserve"> were able to</w:t>
      </w:r>
      <w:r w:rsidR="000F1814" w:rsidRPr="007721FB">
        <w:rPr>
          <w:rStyle w:val="apple-converted-space"/>
          <w:rFonts w:ascii="Times New Roman" w:hAnsi="Times New Roman" w:cs="Times New Roman"/>
          <w:sz w:val="24"/>
          <w:szCs w:val="24"/>
          <w:shd w:val="clear" w:color="auto" w:fill="FFFFFF"/>
        </w:rPr>
        <w:t xml:space="preserve"> </w:t>
      </w:r>
      <w:r w:rsidR="005C0072" w:rsidRPr="007721FB">
        <w:rPr>
          <w:rStyle w:val="apple-converted-space"/>
          <w:rFonts w:ascii="Times New Roman" w:hAnsi="Times New Roman" w:cs="Times New Roman"/>
          <w:sz w:val="24"/>
          <w:szCs w:val="24"/>
          <w:shd w:val="clear" w:color="auto" w:fill="FFFFFF"/>
        </w:rPr>
        <w:t>increase</w:t>
      </w:r>
      <w:r w:rsidR="003F15B5" w:rsidRPr="007721FB">
        <w:rPr>
          <w:rStyle w:val="apple-converted-space"/>
          <w:rFonts w:ascii="Times New Roman" w:hAnsi="Times New Roman" w:cs="Times New Roman"/>
          <w:sz w:val="24"/>
          <w:szCs w:val="24"/>
          <w:shd w:val="clear" w:color="auto" w:fill="FFFFFF"/>
        </w:rPr>
        <w:t xml:space="preserve"> local</w:t>
      </w:r>
      <w:r w:rsidR="000F1814" w:rsidRPr="007721FB">
        <w:rPr>
          <w:rStyle w:val="apple-converted-space"/>
          <w:rFonts w:ascii="Times New Roman" w:hAnsi="Times New Roman" w:cs="Times New Roman"/>
          <w:sz w:val="24"/>
          <w:szCs w:val="24"/>
          <w:shd w:val="clear" w:color="auto" w:fill="FFFFFF"/>
        </w:rPr>
        <w:t>ized</w:t>
      </w:r>
      <w:r w:rsidR="003F15B5" w:rsidRPr="007721FB">
        <w:rPr>
          <w:rStyle w:val="apple-converted-space"/>
          <w:rFonts w:ascii="Times New Roman" w:hAnsi="Times New Roman" w:cs="Times New Roman"/>
          <w:sz w:val="24"/>
          <w:szCs w:val="24"/>
          <w:shd w:val="clear" w:color="auto" w:fill="FFFFFF"/>
        </w:rPr>
        <w:t xml:space="preserve"> bone </w:t>
      </w:r>
      <w:r w:rsidR="00AB51C4" w:rsidRPr="007721FB">
        <w:rPr>
          <w:rStyle w:val="apple-converted-space"/>
          <w:rFonts w:ascii="Times New Roman" w:hAnsi="Times New Roman" w:cs="Times New Roman"/>
          <w:sz w:val="24"/>
          <w:szCs w:val="24"/>
          <w:shd w:val="clear" w:color="auto" w:fill="FFFFFF"/>
        </w:rPr>
        <w:t xml:space="preserve">matrix formation </w:t>
      </w:r>
      <w:r w:rsidR="003F15B5" w:rsidRPr="007721FB">
        <w:rPr>
          <w:rStyle w:val="apple-converted-space"/>
          <w:rFonts w:ascii="Times New Roman" w:hAnsi="Times New Roman" w:cs="Times New Roman"/>
          <w:sz w:val="24"/>
          <w:szCs w:val="24"/>
          <w:shd w:val="clear" w:color="auto" w:fill="FFFFFF"/>
        </w:rPr>
        <w:t xml:space="preserve">in a </w:t>
      </w:r>
      <w:r w:rsidRPr="007721FB">
        <w:rPr>
          <w:rStyle w:val="apple-converted-space"/>
          <w:rFonts w:ascii="Times New Roman" w:hAnsi="Times New Roman" w:cs="Times New Roman"/>
          <w:sz w:val="24"/>
          <w:szCs w:val="24"/>
          <w:shd w:val="clear" w:color="auto" w:fill="FFFFFF"/>
        </w:rPr>
        <w:t>S</w:t>
      </w:r>
      <w:r w:rsidR="003F15B5" w:rsidRPr="007721FB">
        <w:rPr>
          <w:rStyle w:val="apple-converted-space"/>
          <w:rFonts w:ascii="Times New Roman" w:hAnsi="Times New Roman" w:cs="Times New Roman"/>
          <w:sz w:val="24"/>
          <w:szCs w:val="24"/>
          <w:shd w:val="clear" w:color="auto" w:fill="FFFFFF"/>
        </w:rPr>
        <w:t xml:space="preserve">wiss </w:t>
      </w:r>
      <w:r w:rsidRPr="007721FB">
        <w:rPr>
          <w:rStyle w:val="apple-converted-space"/>
          <w:rFonts w:ascii="Times New Roman" w:hAnsi="Times New Roman" w:cs="Times New Roman"/>
          <w:sz w:val="24"/>
          <w:szCs w:val="24"/>
          <w:shd w:val="clear" w:color="auto" w:fill="FFFFFF"/>
        </w:rPr>
        <w:t>W</w:t>
      </w:r>
      <w:r w:rsidR="003F15B5" w:rsidRPr="007721FB">
        <w:rPr>
          <w:rStyle w:val="apple-converted-space"/>
          <w:rFonts w:ascii="Times New Roman" w:hAnsi="Times New Roman" w:cs="Times New Roman"/>
          <w:sz w:val="24"/>
          <w:szCs w:val="24"/>
          <w:shd w:val="clear" w:color="auto" w:fill="FFFFFF"/>
        </w:rPr>
        <w:t>ebster mice muscle pouch model</w:t>
      </w:r>
      <w:r w:rsidR="00527AC7" w:rsidRPr="007721FB">
        <w:rPr>
          <w:rStyle w:val="apple-converted-space"/>
          <w:rFonts w:ascii="Times New Roman" w:hAnsi="Times New Roman" w:cs="Times New Roman"/>
          <w:sz w:val="24"/>
          <w:szCs w:val="24"/>
          <w:shd w:val="clear" w:color="auto" w:fill="FFFFFF"/>
        </w:rPr>
        <w:t xml:space="preserve">, </w:t>
      </w:r>
      <w:r w:rsidR="00881C5F" w:rsidRPr="007721FB">
        <w:rPr>
          <w:rStyle w:val="apple-converted-space"/>
          <w:rFonts w:ascii="Times New Roman" w:hAnsi="Times New Roman" w:cs="Times New Roman"/>
          <w:sz w:val="24"/>
          <w:szCs w:val="24"/>
          <w:shd w:val="clear" w:color="auto" w:fill="FFFFFF"/>
        </w:rPr>
        <w:t xml:space="preserve">representing the first </w:t>
      </w:r>
      <w:r w:rsidR="00881C5F" w:rsidRPr="007721FB">
        <w:rPr>
          <w:rStyle w:val="apple-converted-space"/>
          <w:rFonts w:ascii="Times New Roman" w:hAnsi="Times New Roman" w:cs="Times New Roman"/>
          <w:i/>
          <w:sz w:val="24"/>
          <w:szCs w:val="24"/>
          <w:shd w:val="clear" w:color="auto" w:fill="FFFFFF"/>
        </w:rPr>
        <w:t>in vivo</w:t>
      </w:r>
      <w:r w:rsidR="00881C5F" w:rsidRPr="007721FB">
        <w:rPr>
          <w:rStyle w:val="apple-converted-space"/>
          <w:rFonts w:ascii="Times New Roman" w:hAnsi="Times New Roman" w:cs="Times New Roman"/>
          <w:sz w:val="24"/>
          <w:szCs w:val="24"/>
          <w:shd w:val="clear" w:color="auto" w:fill="FFFFFF"/>
        </w:rPr>
        <w:t xml:space="preserve"> validation of ultrasound-triggered delivery of rhBMP-2 </w:t>
      </w:r>
      <w:r w:rsidR="00EF2CA2" w:rsidRPr="007721FB">
        <w:rPr>
          <w:rStyle w:val="apple-converted-space"/>
          <w:rFonts w:ascii="Times New Roman" w:hAnsi="Times New Roman" w:cs="Times New Roman"/>
          <w:sz w:val="24"/>
          <w:szCs w:val="24"/>
          <w:shd w:val="clear" w:color="auto" w:fill="FFFFFF"/>
        </w:rPr>
        <w:t>and consequently have issued a patent on this technology</w:t>
      </w:r>
      <w:r w:rsidRPr="007721FB">
        <w:rPr>
          <w:rStyle w:val="apple-converted-space"/>
          <w:rFonts w:ascii="Times New Roman" w:hAnsi="Times New Roman" w:cs="Times New Roman"/>
          <w:sz w:val="24"/>
          <w:szCs w:val="24"/>
          <w:shd w:val="clear" w:color="auto" w:fill="FFFFFF"/>
        </w:rPr>
        <w:t xml:space="preserve"> </w:t>
      </w:r>
      <w:r w:rsidR="00F97E60" w:rsidRPr="007721FB">
        <w:rPr>
          <w:rStyle w:val="apple-converted-space"/>
          <w:rFonts w:ascii="Times New Roman" w:hAnsi="Times New Roman" w:cs="Times New Roman"/>
          <w:sz w:val="24"/>
          <w:szCs w:val="24"/>
          <w:shd w:val="clear" w:color="auto" w:fill="FFFFFF"/>
        </w:rPr>
        <w:fldChar w:fldCharType="begin" w:fldLock="1"/>
      </w:r>
      <w:r w:rsidR="00B31E12" w:rsidRPr="007721FB">
        <w:rPr>
          <w:rStyle w:val="apple-converted-space"/>
          <w:rFonts w:ascii="Times New Roman" w:hAnsi="Times New Roman" w:cs="Times New Roman"/>
          <w:sz w:val="24"/>
          <w:szCs w:val="24"/>
          <w:shd w:val="clear" w:color="auto" w:fill="FFFFFF"/>
        </w:rPr>
        <w:instrText>ADDIN CSL_CITATION { "citationItems" : [ { "id" : "ITEM-1", "itemData" : { "author" : [ { "dropping-particle" : "", "family" : "Crasto", "given" : "Gazelle J.", "non-dropping-particle" : "", "parse-names" : false, "suffix" : "" }, { "dropping-particle" : "", "family" : "Chen", "given" : "H", "non-dropping-particle" : "", "parse-names" : false, "suffix" : "" }, { "dropping-particle" : "", "family" : "Kartner", "given" : "N", "non-dropping-particle" : "", "parse-names" : false, "suffix" : "" }, { "dropping-particle" : "", "family" : "Reznik", "given" : "Nikita", "non-dropping-particle" : "", "parse-names" : false, "suffix" : "" }, { "dropping-particle" : "", "family" : "Peel", "given" : "S A F", "non-dropping-particle" : "", "parse-names" : false, "suffix" : "" } ], "id" : "ITEM-1", "issued" : { "date-parts" : [ [ "2016" ] ] }, "publisher" : "Google Patents", "title" : "Ultrasound triggered delivery of growth factors from liposomes for tissue regeneration", "type" : "article" }, "uris" : [ "http://www.mendeley.com/documents/?uuid=1433723c-b089-4e26-b915-86dea42b762a", "http://www.mendeley.com/documents/?uuid=b19236da-612f-4589-900a-140b8b3fda67" ] } ], "mendeley" : { "formattedCitation" : "[94]", "plainTextFormattedCitation" : "[94]", "previouslyFormattedCitation" : "[94]" }, "properties" : { "noteIndex" : 0 }, "schema" : "https://github.com/citation-style-language/schema/raw/master/csl-citation.json" }</w:instrText>
      </w:r>
      <w:r w:rsidR="00F97E60" w:rsidRPr="007721FB">
        <w:rPr>
          <w:rStyle w:val="apple-converted-space"/>
          <w:rFonts w:ascii="Times New Roman" w:hAnsi="Times New Roman" w:cs="Times New Roman"/>
          <w:sz w:val="24"/>
          <w:szCs w:val="24"/>
          <w:shd w:val="clear" w:color="auto" w:fill="FFFFFF"/>
        </w:rPr>
        <w:fldChar w:fldCharType="separate"/>
      </w:r>
      <w:r w:rsidR="00B31E12" w:rsidRPr="007721FB">
        <w:rPr>
          <w:rStyle w:val="apple-converted-space"/>
          <w:rFonts w:ascii="Times New Roman" w:hAnsi="Times New Roman" w:cs="Times New Roman"/>
          <w:noProof/>
          <w:sz w:val="24"/>
          <w:szCs w:val="24"/>
          <w:shd w:val="clear" w:color="auto" w:fill="FFFFFF"/>
        </w:rPr>
        <w:t>[94]</w:t>
      </w:r>
      <w:r w:rsidR="00F97E60" w:rsidRPr="007721FB">
        <w:rPr>
          <w:rStyle w:val="apple-converted-space"/>
          <w:rFonts w:ascii="Times New Roman" w:hAnsi="Times New Roman" w:cs="Times New Roman"/>
          <w:sz w:val="24"/>
          <w:szCs w:val="24"/>
          <w:shd w:val="clear" w:color="auto" w:fill="FFFFFF"/>
        </w:rPr>
        <w:fldChar w:fldCharType="end"/>
      </w:r>
      <w:r w:rsidRPr="007721FB">
        <w:rPr>
          <w:rStyle w:val="apple-converted-space"/>
          <w:rFonts w:ascii="Times New Roman" w:hAnsi="Times New Roman" w:cs="Times New Roman"/>
          <w:sz w:val="24"/>
          <w:szCs w:val="24"/>
          <w:shd w:val="clear" w:color="auto" w:fill="FFFFFF"/>
        </w:rPr>
        <w:t>.</w:t>
      </w:r>
    </w:p>
    <w:p w14:paraId="29E65296" w14:textId="77777777" w:rsidR="004E36A7" w:rsidRPr="007721FB" w:rsidRDefault="004E36A7" w:rsidP="00D867DF">
      <w:pPr>
        <w:spacing w:after="0" w:line="240" w:lineRule="auto"/>
        <w:jc w:val="both"/>
        <w:rPr>
          <w:rStyle w:val="apple-converted-space"/>
          <w:rFonts w:ascii="Times New Roman" w:hAnsi="Times New Roman" w:cs="Times New Roman"/>
          <w:sz w:val="24"/>
          <w:szCs w:val="24"/>
          <w:shd w:val="clear" w:color="auto" w:fill="FFFFFF"/>
        </w:rPr>
      </w:pPr>
    </w:p>
    <w:p w14:paraId="2082A76A" w14:textId="471DD588" w:rsidR="004E36A7" w:rsidRPr="007721FB" w:rsidRDefault="008A3837" w:rsidP="00D867DF">
      <w:pPr>
        <w:spacing w:after="0" w:line="240" w:lineRule="auto"/>
        <w:jc w:val="center"/>
        <w:rPr>
          <w:rStyle w:val="apple-converted-space"/>
          <w:rFonts w:ascii="Times New Roman" w:hAnsi="Times New Roman" w:cs="Times New Roman"/>
          <w:sz w:val="24"/>
          <w:szCs w:val="24"/>
          <w:shd w:val="clear" w:color="auto" w:fill="FFFFFF"/>
        </w:rPr>
      </w:pPr>
      <w:r w:rsidRPr="007721FB">
        <w:rPr>
          <w:noProof/>
        </w:rPr>
        <w:drawing>
          <wp:inline distT="0" distB="0" distL="0" distR="0" wp14:anchorId="474B15F7" wp14:editId="49CB30A1">
            <wp:extent cx="5400040" cy="3214573"/>
            <wp:effectExtent l="0" t="0" r="0" b="5080"/>
            <wp:docPr id="7" name="Imagem 7" descr="C:\Users\Vítor Gaspar\AppData\Local\Microsoft\Windows\INetCache\Content.Word\Figure 6_.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ítor Gaspar\AppData\Local\Microsoft\Windows\INetCache\Content.Word\Figure 6_.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3214573"/>
                    </a:xfrm>
                    <a:prstGeom prst="rect">
                      <a:avLst/>
                    </a:prstGeom>
                    <a:noFill/>
                    <a:ln>
                      <a:noFill/>
                    </a:ln>
                  </pic:spPr>
                </pic:pic>
              </a:graphicData>
            </a:graphic>
          </wp:inline>
        </w:drawing>
      </w:r>
    </w:p>
    <w:p w14:paraId="65DF626C" w14:textId="44171BB7" w:rsidR="006D2E74" w:rsidRPr="007721FB" w:rsidRDefault="00AB51C4" w:rsidP="00D867DF">
      <w:pPr>
        <w:spacing w:after="0" w:line="240" w:lineRule="auto"/>
        <w:jc w:val="both"/>
        <w:rPr>
          <w:rStyle w:val="apple-converted-space"/>
          <w:rFonts w:ascii="Times New Roman" w:hAnsi="Times New Roman" w:cs="Times New Roman"/>
          <w:shd w:val="clear" w:color="auto" w:fill="FFFFFF"/>
        </w:rPr>
      </w:pPr>
      <w:r w:rsidRPr="007721FB">
        <w:rPr>
          <w:rStyle w:val="apple-converted-space"/>
          <w:rFonts w:ascii="Times New Roman" w:hAnsi="Times New Roman" w:cs="Times New Roman"/>
          <w:b/>
          <w:shd w:val="clear" w:color="auto" w:fill="FFFFFF"/>
        </w:rPr>
        <w:t xml:space="preserve">Figure </w:t>
      </w:r>
      <w:r w:rsidR="007966FA" w:rsidRPr="007721FB">
        <w:rPr>
          <w:rStyle w:val="apple-converted-space"/>
          <w:rFonts w:ascii="Times New Roman" w:hAnsi="Times New Roman" w:cs="Times New Roman"/>
          <w:b/>
          <w:shd w:val="clear" w:color="auto" w:fill="FFFFFF"/>
        </w:rPr>
        <w:t>6</w:t>
      </w:r>
      <w:r w:rsidRPr="007721FB">
        <w:rPr>
          <w:rStyle w:val="apple-converted-space"/>
          <w:rFonts w:ascii="Times New Roman" w:hAnsi="Times New Roman" w:cs="Times New Roman"/>
          <w:b/>
          <w:shd w:val="clear" w:color="auto" w:fill="FFFFFF"/>
        </w:rPr>
        <w:t>.</w:t>
      </w:r>
      <w:r w:rsidR="007C2229" w:rsidRPr="007721FB">
        <w:rPr>
          <w:rStyle w:val="apple-converted-space"/>
          <w:rFonts w:ascii="Times New Roman" w:hAnsi="Times New Roman" w:cs="Times New Roman"/>
          <w:b/>
          <w:shd w:val="clear" w:color="auto" w:fill="FFFFFF"/>
        </w:rPr>
        <w:t xml:space="preserve"> </w:t>
      </w:r>
      <w:r w:rsidR="007C2229" w:rsidRPr="007721FB">
        <w:rPr>
          <w:rStyle w:val="apple-converted-space"/>
          <w:rFonts w:ascii="Times New Roman" w:hAnsi="Times New Roman" w:cs="Times New Roman"/>
          <w:shd w:val="clear" w:color="auto" w:fill="FFFFFF"/>
        </w:rPr>
        <w:t>Ultrasound-responsive liposomes</w:t>
      </w:r>
      <w:r w:rsidR="005F0E14" w:rsidRPr="007721FB">
        <w:rPr>
          <w:rStyle w:val="apple-converted-space"/>
          <w:rFonts w:ascii="Times New Roman" w:hAnsi="Times New Roman" w:cs="Times New Roman"/>
          <w:shd w:val="clear" w:color="auto" w:fill="FFFFFF"/>
        </w:rPr>
        <w:t xml:space="preserve"> characterization</w:t>
      </w:r>
      <w:r w:rsidR="007C2229" w:rsidRPr="007721FB">
        <w:rPr>
          <w:rStyle w:val="apple-converted-space"/>
          <w:rFonts w:ascii="Times New Roman" w:hAnsi="Times New Roman" w:cs="Times New Roman"/>
          <w:shd w:val="clear" w:color="auto" w:fill="FFFFFF"/>
        </w:rPr>
        <w:t>.</w:t>
      </w:r>
      <w:r w:rsidRPr="007721FB">
        <w:rPr>
          <w:rStyle w:val="apple-converted-space"/>
          <w:rFonts w:ascii="Times New Roman" w:hAnsi="Times New Roman" w:cs="Times New Roman"/>
          <w:b/>
          <w:shd w:val="clear" w:color="auto" w:fill="FFFFFF"/>
        </w:rPr>
        <w:t xml:space="preserve"> </w:t>
      </w:r>
      <w:r w:rsidR="00FC4BD5" w:rsidRPr="007721FB">
        <w:rPr>
          <w:rStyle w:val="apple-converted-space"/>
          <w:rFonts w:ascii="Times New Roman" w:hAnsi="Times New Roman" w:cs="Times New Roman"/>
          <w:shd w:val="clear" w:color="auto" w:fill="FFFFFF"/>
        </w:rPr>
        <w:t xml:space="preserve">(A) Dynamic light scattering analysis of PEGylated </w:t>
      </w:r>
      <w:r w:rsidR="008B5BCF" w:rsidRPr="007721FB">
        <w:rPr>
          <w:rStyle w:val="apple-converted-space"/>
          <w:rFonts w:ascii="Times New Roman" w:hAnsi="Times New Roman" w:cs="Times New Roman"/>
          <w:shd w:val="clear" w:color="auto" w:fill="FFFFFF"/>
        </w:rPr>
        <w:t>nanol</w:t>
      </w:r>
      <w:r w:rsidR="00FC4BD5" w:rsidRPr="007721FB">
        <w:rPr>
          <w:rStyle w:val="apple-converted-space"/>
          <w:rFonts w:ascii="Times New Roman" w:hAnsi="Times New Roman" w:cs="Times New Roman"/>
          <w:shd w:val="clear" w:color="auto" w:fill="FFFFFF"/>
        </w:rPr>
        <w:t>iposomes loaded with</w:t>
      </w:r>
      <w:r w:rsidR="007C2229" w:rsidRPr="007721FB">
        <w:rPr>
          <w:rStyle w:val="apple-converted-space"/>
          <w:rFonts w:ascii="Times New Roman" w:hAnsi="Times New Roman" w:cs="Times New Roman"/>
          <w:shd w:val="clear" w:color="auto" w:fill="FFFFFF"/>
        </w:rPr>
        <w:t xml:space="preserve"> </w:t>
      </w:r>
      <w:r w:rsidR="00FC4BD5" w:rsidRPr="007721FB">
        <w:rPr>
          <w:rStyle w:val="apple-converted-space"/>
          <w:rFonts w:ascii="Times New Roman" w:hAnsi="Times New Roman" w:cs="Times New Roman"/>
          <w:shd w:val="clear" w:color="auto" w:fill="FFFFFF"/>
        </w:rPr>
        <w:t>r</w:t>
      </w:r>
      <w:r w:rsidR="00CB3958" w:rsidRPr="007721FB">
        <w:rPr>
          <w:rStyle w:val="apple-converted-space"/>
          <w:rFonts w:ascii="Times New Roman" w:hAnsi="Times New Roman" w:cs="Times New Roman"/>
          <w:shd w:val="clear" w:color="auto" w:fill="FFFFFF"/>
        </w:rPr>
        <w:t>h</w:t>
      </w:r>
      <w:r w:rsidR="00FC4BD5" w:rsidRPr="007721FB">
        <w:rPr>
          <w:rStyle w:val="apple-converted-space"/>
          <w:rFonts w:ascii="Times New Roman" w:hAnsi="Times New Roman" w:cs="Times New Roman"/>
          <w:shd w:val="clear" w:color="auto" w:fill="FFFFFF"/>
        </w:rPr>
        <w:t>BMP</w:t>
      </w:r>
      <w:r w:rsidR="00CB3958" w:rsidRPr="007721FB">
        <w:rPr>
          <w:rStyle w:val="apple-converted-space"/>
          <w:rFonts w:ascii="Times New Roman" w:hAnsi="Times New Roman" w:cs="Times New Roman"/>
          <w:shd w:val="clear" w:color="auto" w:fill="FFFFFF"/>
        </w:rPr>
        <w:t>-2</w:t>
      </w:r>
      <w:r w:rsidR="00FC4BD5" w:rsidRPr="007721FB">
        <w:rPr>
          <w:rStyle w:val="apple-converted-space"/>
          <w:rFonts w:ascii="Times New Roman" w:hAnsi="Times New Roman" w:cs="Times New Roman"/>
          <w:shd w:val="clear" w:color="auto" w:fill="FFFFFF"/>
        </w:rPr>
        <w:t>; (B)</w:t>
      </w:r>
      <w:r w:rsidR="008B5BCF" w:rsidRPr="007721FB">
        <w:rPr>
          <w:rStyle w:val="apple-converted-space"/>
          <w:rFonts w:ascii="Times New Roman" w:hAnsi="Times New Roman" w:cs="Times New Roman"/>
          <w:shd w:val="clear" w:color="auto" w:fill="FFFFFF"/>
        </w:rPr>
        <w:t xml:space="preserve"> </w:t>
      </w:r>
      <w:r w:rsidR="00873DBA" w:rsidRPr="007721FB">
        <w:rPr>
          <w:rStyle w:val="apple-converted-space"/>
          <w:rFonts w:ascii="Times New Roman" w:hAnsi="Times New Roman" w:cs="Times New Roman"/>
          <w:shd w:val="clear" w:color="auto" w:fill="FFFFFF"/>
        </w:rPr>
        <w:t>ALP</w:t>
      </w:r>
      <w:r w:rsidR="007C2229" w:rsidRPr="007721FB">
        <w:rPr>
          <w:rStyle w:val="apple-converted-space"/>
          <w:rFonts w:ascii="Times New Roman" w:hAnsi="Times New Roman" w:cs="Times New Roman"/>
          <w:shd w:val="clear" w:color="auto" w:fill="FFFFFF"/>
        </w:rPr>
        <w:t xml:space="preserve"> assay</w:t>
      </w:r>
      <w:r w:rsidR="008B5BCF" w:rsidRPr="007721FB">
        <w:rPr>
          <w:rStyle w:val="apple-converted-space"/>
          <w:rFonts w:ascii="Times New Roman" w:hAnsi="Times New Roman" w:cs="Times New Roman"/>
          <w:shd w:val="clear" w:color="auto" w:fill="FFFFFF"/>
        </w:rPr>
        <w:t xml:space="preserve"> in C2C12 cell</w:t>
      </w:r>
      <w:r w:rsidR="003F35D7" w:rsidRPr="007721FB">
        <w:rPr>
          <w:rStyle w:val="apple-converted-space"/>
          <w:rFonts w:ascii="Times New Roman" w:hAnsi="Times New Roman" w:cs="Times New Roman"/>
          <w:shd w:val="clear" w:color="auto" w:fill="FFFFFF"/>
        </w:rPr>
        <w:t>s</w:t>
      </w:r>
      <w:r w:rsidR="008B5BCF" w:rsidRPr="007721FB">
        <w:rPr>
          <w:rStyle w:val="apple-converted-space"/>
          <w:rFonts w:ascii="Times New Roman" w:hAnsi="Times New Roman" w:cs="Times New Roman"/>
          <w:shd w:val="clear" w:color="auto" w:fill="FFFFFF"/>
        </w:rPr>
        <w:t>following</w:t>
      </w:r>
      <w:r w:rsidR="007C2229" w:rsidRPr="007721FB">
        <w:rPr>
          <w:rStyle w:val="apple-converted-space"/>
          <w:rFonts w:ascii="Times New Roman" w:hAnsi="Times New Roman" w:cs="Times New Roman"/>
          <w:shd w:val="clear" w:color="auto" w:fill="FFFFFF"/>
        </w:rPr>
        <w:t xml:space="preserve"> rhBMP-2 released from </w:t>
      </w:r>
      <w:r w:rsidR="005F0E14" w:rsidRPr="007721FB">
        <w:rPr>
          <w:rFonts w:ascii="Times New Roman" w:hAnsi="Times New Roman" w:cs="Times New Roman"/>
        </w:rPr>
        <w:t>nanoparticles for sonodisruptable delivery containing rhBMP-2 (NSD-BMP) exposed to increasing ultrasound pressures for 60 s (N=3, n=2)</w:t>
      </w:r>
      <w:r w:rsidR="008B5BCF" w:rsidRPr="007721FB">
        <w:rPr>
          <w:rStyle w:val="apple-converted-space"/>
          <w:rFonts w:ascii="Times New Roman" w:hAnsi="Times New Roman" w:cs="Times New Roman"/>
          <w:shd w:val="clear" w:color="auto" w:fill="FFFFFF"/>
        </w:rPr>
        <w:t>;</w:t>
      </w:r>
      <w:r w:rsidR="005F0E14" w:rsidRPr="007721FB">
        <w:rPr>
          <w:rStyle w:val="apple-converted-space"/>
          <w:rFonts w:ascii="Times New Roman" w:hAnsi="Times New Roman" w:cs="Times New Roman"/>
          <w:shd w:val="clear" w:color="auto" w:fill="FFFFFF"/>
        </w:rPr>
        <w:t xml:space="preserve"> </w:t>
      </w:r>
      <w:r w:rsidR="005F0E14" w:rsidRPr="007721FB">
        <w:rPr>
          <w:rFonts w:ascii="Times New Roman" w:hAnsi="Times New Roman" w:cs="Times New Roman"/>
        </w:rPr>
        <w:t>Free refers to an assayed amount of soluble rhBMP-2 predicted to be contained within NSD-BMP-2 of the same sample size.</w:t>
      </w:r>
      <w:r w:rsidR="007C2229" w:rsidRPr="007721FB">
        <w:rPr>
          <w:rStyle w:val="apple-converted-space"/>
          <w:rFonts w:ascii="Times New Roman" w:hAnsi="Times New Roman" w:cs="Times New Roman"/>
          <w:shd w:val="clear" w:color="auto" w:fill="FFFFFF"/>
        </w:rPr>
        <w:t xml:space="preserve"> (C)</w:t>
      </w:r>
      <w:r w:rsidR="008B5BCF" w:rsidRPr="007721FB">
        <w:rPr>
          <w:rStyle w:val="apple-converted-space"/>
          <w:rFonts w:ascii="Times New Roman" w:hAnsi="Times New Roman" w:cs="Times New Roman"/>
          <w:shd w:val="clear" w:color="auto" w:fill="FFFFFF"/>
        </w:rPr>
        <w:t xml:space="preserve"> Evaluation of u</w:t>
      </w:r>
      <w:r w:rsidR="007C2229" w:rsidRPr="007721FB">
        <w:rPr>
          <w:rStyle w:val="apple-converted-space"/>
          <w:rFonts w:ascii="Times New Roman" w:hAnsi="Times New Roman" w:cs="Times New Roman"/>
          <w:shd w:val="clear" w:color="auto" w:fill="FFFFFF"/>
        </w:rPr>
        <w:t xml:space="preserve">ltrasound </w:t>
      </w:r>
      <w:r w:rsidR="008B5BCF" w:rsidRPr="007721FB">
        <w:rPr>
          <w:rStyle w:val="apple-converted-space"/>
          <w:rFonts w:ascii="Times New Roman" w:hAnsi="Times New Roman" w:cs="Times New Roman"/>
          <w:shd w:val="clear" w:color="auto" w:fill="FFFFFF"/>
        </w:rPr>
        <w:t>exposure in</w:t>
      </w:r>
      <w:r w:rsidR="007C2229" w:rsidRPr="007721FB">
        <w:rPr>
          <w:rStyle w:val="apple-converted-space"/>
          <w:rFonts w:ascii="Times New Roman" w:hAnsi="Times New Roman" w:cs="Times New Roman"/>
          <w:shd w:val="clear" w:color="auto" w:fill="FFFFFF"/>
        </w:rPr>
        <w:t xml:space="preserve"> rhBMP-2 release</w:t>
      </w:r>
      <w:r w:rsidR="008B5BCF" w:rsidRPr="007721FB">
        <w:rPr>
          <w:rStyle w:val="apple-converted-space"/>
          <w:rFonts w:ascii="Times New Roman" w:hAnsi="Times New Roman" w:cs="Times New Roman"/>
          <w:shd w:val="clear" w:color="auto" w:fill="FFFFFF"/>
        </w:rPr>
        <w:t xml:space="preserve"> profile</w:t>
      </w:r>
      <w:r w:rsidR="005F0E14" w:rsidRPr="007721FB">
        <w:rPr>
          <w:rStyle w:val="apple-converted-space"/>
          <w:rFonts w:ascii="Times New Roman" w:hAnsi="Times New Roman" w:cs="Times New Roman"/>
          <w:shd w:val="clear" w:color="auto" w:fill="FFFFFF"/>
        </w:rPr>
        <w:t xml:space="preserve">, i.e, </w:t>
      </w:r>
      <w:r w:rsidR="005F0E14" w:rsidRPr="007721FB">
        <w:rPr>
          <w:rFonts w:ascii="Times New Roman" w:hAnsi="Times New Roman" w:cs="Times New Roman"/>
        </w:rPr>
        <w:t>ultrasound duration dependence of rhBMP-2 release from NSD-BMP in phantom tissue (5–45 min at 1 MPa), quantified by ELISA (N=3, n=2)</w:t>
      </w:r>
      <w:r w:rsidR="008B5BCF" w:rsidRPr="007721FB">
        <w:rPr>
          <w:rStyle w:val="apple-converted-space"/>
          <w:rFonts w:ascii="Times New Roman" w:hAnsi="Times New Roman" w:cs="Times New Roman"/>
          <w:shd w:val="clear" w:color="auto" w:fill="FFFFFF"/>
        </w:rPr>
        <w:t>;</w:t>
      </w:r>
      <w:r w:rsidR="007C2229" w:rsidRPr="007721FB">
        <w:rPr>
          <w:rStyle w:val="apple-converted-space"/>
          <w:rFonts w:ascii="Times New Roman" w:hAnsi="Times New Roman" w:cs="Times New Roman"/>
          <w:shd w:val="clear" w:color="auto" w:fill="FFFFFF"/>
        </w:rPr>
        <w:t xml:space="preserve"> (D) </w:t>
      </w:r>
      <w:r w:rsidR="005F0E14" w:rsidRPr="007721FB">
        <w:rPr>
          <w:rFonts w:ascii="Times New Roman" w:hAnsi="Times New Roman" w:cs="Times New Roman"/>
        </w:rPr>
        <w:t>Bone volume data acquired from µCT; ACS + BMP, standard rhBMP-2 implant (no ultrasound), ACS, implant sponge only (no rhBMP-2, no ultrasound), ACS + NSD- BMP, NSD-BMP nanocomplexes with rhBMP-2 payload applied to ACS implant (no ultrasound), ACS + NSD, nanoparticles without rhBMP-2 payload, on ACS implant (no ultrasound), ACS + NSD + US, nanoparticles without rhBMP-2 payload, on ACS implant (ultrasound applied 24 h after implantation surgery), ACS + NSD-BMP + US, nanocomplexes with rhBMP-2 payload applied to ACS implant (ultrasound applied 24 h after implantation surgery</w:t>
      </w:r>
      <w:r w:rsidR="005F0E14" w:rsidRPr="007721FB">
        <w:t>)</w:t>
      </w:r>
      <w:r w:rsidR="008B5BCF" w:rsidRPr="007721FB">
        <w:rPr>
          <w:rStyle w:val="apple-converted-space"/>
          <w:rFonts w:ascii="Times New Roman" w:hAnsi="Times New Roman" w:cs="Times New Roman"/>
          <w:shd w:val="clear" w:color="auto" w:fill="FFFFFF"/>
        </w:rPr>
        <w:t xml:space="preserve"> (E) Bone mineral density analysis of different formulations.</w:t>
      </w:r>
      <w:r w:rsidR="006D2E74" w:rsidRPr="007721FB">
        <w:rPr>
          <w:rStyle w:val="apple-converted-space"/>
          <w:rFonts w:ascii="Times New Roman" w:hAnsi="Times New Roman" w:cs="Times New Roman"/>
          <w:shd w:val="clear" w:color="auto" w:fill="FFFFFF"/>
        </w:rPr>
        <w:t xml:space="preserve"> ACS – represents collagen implant. NSD</w:t>
      </w:r>
      <w:r w:rsidR="005457AC" w:rsidRPr="007721FB">
        <w:rPr>
          <w:rStyle w:val="apple-converted-space"/>
          <w:rFonts w:ascii="Times New Roman" w:hAnsi="Times New Roman" w:cs="Times New Roman"/>
          <w:shd w:val="clear" w:color="auto" w:fill="FFFFFF"/>
        </w:rPr>
        <w:t xml:space="preserve"> – PEGylated nanoliposomes; NSD-BMP- PEGylated nanoliposomes loaded with rhBMP-2. US- ultrasound (applied 24</w:t>
      </w:r>
      <w:r w:rsidR="00B0121C" w:rsidRPr="007721FB">
        <w:rPr>
          <w:rStyle w:val="apple-converted-space"/>
          <w:rFonts w:ascii="Times New Roman" w:hAnsi="Times New Roman" w:cs="Times New Roman"/>
          <w:shd w:val="clear" w:color="auto" w:fill="FFFFFF"/>
        </w:rPr>
        <w:t xml:space="preserve"> </w:t>
      </w:r>
      <w:r w:rsidR="005457AC" w:rsidRPr="007721FB">
        <w:rPr>
          <w:rStyle w:val="apple-converted-space"/>
          <w:rFonts w:ascii="Times New Roman" w:hAnsi="Times New Roman" w:cs="Times New Roman"/>
          <w:shd w:val="clear" w:color="auto" w:fill="FFFFFF"/>
        </w:rPr>
        <w:t>h following surgery).</w:t>
      </w:r>
      <w:r w:rsidR="008A3837" w:rsidRPr="007721FB">
        <w:rPr>
          <w:rStyle w:val="apple-converted-space"/>
          <w:rFonts w:ascii="Times New Roman" w:hAnsi="Times New Roman" w:cs="Times New Roman"/>
          <w:shd w:val="clear" w:color="auto" w:fill="FFFFFF"/>
        </w:rPr>
        <w:t xml:space="preserve"> (F) </w:t>
      </w:r>
      <w:r w:rsidR="008A3837" w:rsidRPr="007721FB">
        <w:rPr>
          <w:rFonts w:ascii="Times New Roman" w:hAnsi="Times New Roman" w:cs="Times New Roman"/>
        </w:rPr>
        <w:t xml:space="preserve">µCT reconstruction, group subjected to ultrasound exposure. This induced bone formation by using the </w:t>
      </w:r>
      <w:r w:rsidR="008A3837" w:rsidRPr="007721FB">
        <w:rPr>
          <w:rFonts w:ascii="Times New Roman" w:hAnsi="Times New Roman" w:cs="Times New Roman"/>
        </w:rPr>
        <w:lastRenderedPageBreak/>
        <w:t>ACS+NSD-BMP formulation. (G) Masson’s trichrome staining of perifemoral section</w:t>
      </w:r>
      <w:r w:rsidR="00CF487D" w:rsidRPr="007721FB">
        <w:rPr>
          <w:rFonts w:ascii="Times New Roman" w:hAnsi="Times New Roman" w:cs="Times New Roman"/>
        </w:rPr>
        <w:t xml:space="preserve"> showing the extent of bone induction by using ACS implant with NSD-BMP formulations and administering ultrasound 24</w:t>
      </w:r>
      <w:r w:rsidR="00B0121C" w:rsidRPr="007721FB">
        <w:rPr>
          <w:rFonts w:ascii="Times New Roman" w:hAnsi="Times New Roman" w:cs="Times New Roman"/>
        </w:rPr>
        <w:t xml:space="preserve"> </w:t>
      </w:r>
      <w:r w:rsidR="00CF487D" w:rsidRPr="007721FB">
        <w:rPr>
          <w:rFonts w:ascii="Times New Roman" w:hAnsi="Times New Roman" w:cs="Times New Roman"/>
        </w:rPr>
        <w:t>h post-surgery.</w:t>
      </w:r>
      <w:r w:rsidR="005457AC" w:rsidRPr="007721FB">
        <w:rPr>
          <w:rStyle w:val="apple-converted-space"/>
          <w:rFonts w:ascii="Times New Roman" w:hAnsi="Times New Roman" w:cs="Times New Roman"/>
          <w:shd w:val="clear" w:color="auto" w:fill="FFFFFF"/>
        </w:rPr>
        <w:t xml:space="preserve"> Adapted from </w:t>
      </w:r>
      <w:r w:rsidR="005A76AE" w:rsidRPr="007721FB">
        <w:rPr>
          <w:rStyle w:val="apple-converted-space"/>
          <w:rFonts w:ascii="Times New Roman" w:hAnsi="Times New Roman" w:cs="Times New Roman"/>
          <w:shd w:val="clear" w:color="auto" w:fill="FFFFFF"/>
        </w:rPr>
        <w:fldChar w:fldCharType="begin" w:fldLock="1"/>
      </w:r>
      <w:r w:rsidR="00B31E12" w:rsidRPr="007721FB">
        <w:rPr>
          <w:rStyle w:val="apple-converted-space"/>
          <w:rFonts w:ascii="Times New Roman" w:hAnsi="Times New Roman" w:cs="Times New Roman"/>
          <w:shd w:val="clear" w:color="auto" w:fill="FFFFFF"/>
        </w:rPr>
        <w:instrText>ADDIN CSL_CITATION { "citationItems" : [ { "id" : "ITEM-1", "itemData" : { "DOI" : "10.1016/j.jconrel.2016.09.032", "ISSN" : "01683659", "author" : [ { "dropping-particle" : "", "family" : "Crasto", "given" : "Gazelle J.", "non-dropping-particle" : "", "parse-names" : false, "suffix" : "" }, { "dropping-particle" : "", "family" : "Kartner", "given" : "Norbert", "non-dropping-particle" : "", "parse-names" : false, "suffix" : "" }, { "dropping-particle" : "", "family" : "Reznik", "given" : "Nikita", "non-dropping-particle" : "", "parse-names" : false, "suffix" : "" }, { "dropping-particle" : "V.", "family" : "Spatafora", "given" : "Michael", "non-dropping-particle" : "", "parse-names" : false, "suffix" : "" }, { "dropping-particle" : "", "family" : "Chen", "given" : "Hanje", "non-dropping-particle" : "", "parse-names" : false, "suffix" : "" }, { "dropping-particle" : "", "family" : "Williams", "given" : "Ross", "non-dropping-particle" : "", "parse-names" : false, "suffix" : "" }, { "dropping-particle" : "", "family" : "Burns", "given" : "Peter N.", "non-dropping-particle" : "", "parse-names" : false, "suffix" : "" }, { "dropping-particle" : "", "family" : "Clokie", "given" : "Cameron", "non-dropping-particle" : "", "parse-names" : false, "suffix" : "" }, { "dropping-particle" : "", "family" : "Manolson", "given" : "Morris F.", "non-dropping-particle" : "", "parse-names" : false, "suffix" : "" }, { "dropping-particle" : "", "family" : "Peel", "given" : "Sean A.F.", "non-dropping-particle" : "", "parse-names" : false, "suffix" : "" } ], "container-title" : "Journal of Controlled Release", "id" : "ITEM-1", "issued" : { "date-parts" : [ [ "2016" ] ] }, "publisher" : "Elsevier B.V.", "title" : "Controlled bone formation using ultrasound-triggered release of BMP-2 from liposomes", "type" : "article-journal" }, "uris" : [ "http://www.mendeley.com/documents/?uuid=2caee53f-b7ad-4063-98e3-e635a1d10332" ] } ], "mendeley" : { "formattedCitation" : "[93]", "plainTextFormattedCitation" : "[93]", "previouslyFormattedCitation" : "[93]" }, "properties" : { "noteIndex" : 16 }, "schema" : "https://github.com/citation-style-language/schema/raw/master/csl-citation.json" }</w:instrText>
      </w:r>
      <w:r w:rsidR="005A76AE" w:rsidRPr="007721FB">
        <w:rPr>
          <w:rStyle w:val="apple-converted-space"/>
          <w:rFonts w:ascii="Times New Roman" w:hAnsi="Times New Roman" w:cs="Times New Roman"/>
          <w:shd w:val="clear" w:color="auto" w:fill="FFFFFF"/>
        </w:rPr>
        <w:fldChar w:fldCharType="separate"/>
      </w:r>
      <w:r w:rsidR="00B31E12" w:rsidRPr="007721FB">
        <w:rPr>
          <w:rStyle w:val="apple-converted-space"/>
          <w:rFonts w:ascii="Times New Roman" w:hAnsi="Times New Roman" w:cs="Times New Roman"/>
          <w:noProof/>
          <w:shd w:val="clear" w:color="auto" w:fill="FFFFFF"/>
        </w:rPr>
        <w:t>[93]</w:t>
      </w:r>
      <w:r w:rsidR="005A76AE" w:rsidRPr="007721FB">
        <w:rPr>
          <w:rStyle w:val="apple-converted-space"/>
          <w:rFonts w:ascii="Times New Roman" w:hAnsi="Times New Roman" w:cs="Times New Roman"/>
          <w:shd w:val="clear" w:color="auto" w:fill="FFFFFF"/>
        </w:rPr>
        <w:fldChar w:fldCharType="end"/>
      </w:r>
      <w:r w:rsidR="005A76AE" w:rsidRPr="007721FB">
        <w:rPr>
          <w:rStyle w:val="apple-converted-space"/>
          <w:rFonts w:ascii="Times New Roman" w:hAnsi="Times New Roman" w:cs="Times New Roman"/>
          <w:shd w:val="clear" w:color="auto" w:fill="FFFFFF"/>
        </w:rPr>
        <w:t xml:space="preserve"> </w:t>
      </w:r>
      <w:r w:rsidR="005457AC" w:rsidRPr="007721FB">
        <w:rPr>
          <w:rStyle w:val="apple-converted-space"/>
          <w:rFonts w:ascii="Times New Roman" w:hAnsi="Times New Roman" w:cs="Times New Roman"/>
          <w:shd w:val="clear" w:color="auto" w:fill="FFFFFF"/>
        </w:rPr>
        <w:t xml:space="preserve">with permission from </w:t>
      </w:r>
      <w:r w:rsidR="005A76AE" w:rsidRPr="007721FB">
        <w:rPr>
          <w:rStyle w:val="apple-converted-space"/>
          <w:rFonts w:ascii="Times New Roman" w:hAnsi="Times New Roman" w:cs="Times New Roman"/>
          <w:shd w:val="clear" w:color="auto" w:fill="FFFFFF"/>
        </w:rPr>
        <w:t>Elsevier.</w:t>
      </w:r>
    </w:p>
    <w:p w14:paraId="5C533F8B" w14:textId="77777777" w:rsidR="004E36A7" w:rsidRPr="007721FB" w:rsidRDefault="004E36A7" w:rsidP="00D867DF">
      <w:pPr>
        <w:spacing w:after="0" w:line="240" w:lineRule="auto"/>
        <w:jc w:val="both"/>
        <w:rPr>
          <w:rStyle w:val="apple-converted-space"/>
          <w:rFonts w:ascii="Times New Roman" w:hAnsi="Times New Roman" w:cs="Times New Roman"/>
          <w:shd w:val="clear" w:color="auto" w:fill="FFFFFF"/>
        </w:rPr>
      </w:pPr>
    </w:p>
    <w:p w14:paraId="3BD0EFA3" w14:textId="458F13AC" w:rsidR="00757337" w:rsidRPr="007721FB" w:rsidRDefault="00AB51C4" w:rsidP="00D867DF">
      <w:pPr>
        <w:spacing w:after="0" w:line="240" w:lineRule="auto"/>
        <w:jc w:val="both"/>
        <w:rPr>
          <w:rFonts w:ascii="Times New Roman" w:hAnsi="Times New Roman" w:cs="Times New Roman"/>
          <w:sz w:val="24"/>
          <w:szCs w:val="24"/>
          <w:shd w:val="clear" w:color="auto" w:fill="FFFFFF"/>
        </w:rPr>
      </w:pPr>
      <w:r w:rsidRPr="007721FB">
        <w:rPr>
          <w:rStyle w:val="apple-converted-space"/>
          <w:rFonts w:ascii="Times New Roman" w:hAnsi="Times New Roman" w:cs="Times New Roman"/>
          <w:sz w:val="24"/>
          <w:szCs w:val="24"/>
          <w:shd w:val="clear" w:color="auto" w:fill="FFFFFF"/>
        </w:rPr>
        <w:t xml:space="preserve">   </w:t>
      </w:r>
      <w:r w:rsidR="003F15B5" w:rsidRPr="007721FB">
        <w:rPr>
          <w:rStyle w:val="apple-converted-space"/>
          <w:rFonts w:ascii="Times New Roman" w:hAnsi="Times New Roman" w:cs="Times New Roman"/>
          <w:sz w:val="24"/>
          <w:szCs w:val="24"/>
          <w:shd w:val="clear" w:color="auto" w:fill="FFFFFF"/>
        </w:rPr>
        <w:t xml:space="preserve">Despite </w:t>
      </w:r>
      <w:r w:rsidRPr="007721FB">
        <w:rPr>
          <w:rStyle w:val="apple-converted-space"/>
          <w:rFonts w:ascii="Times New Roman" w:hAnsi="Times New Roman" w:cs="Times New Roman"/>
          <w:sz w:val="24"/>
          <w:szCs w:val="24"/>
          <w:shd w:val="clear" w:color="auto" w:fill="FFFFFF"/>
        </w:rPr>
        <w:t xml:space="preserve">achieving </w:t>
      </w:r>
      <w:r w:rsidR="003F15B5" w:rsidRPr="007721FB">
        <w:rPr>
          <w:rStyle w:val="apple-converted-space"/>
          <w:rFonts w:ascii="Times New Roman" w:hAnsi="Times New Roman" w:cs="Times New Roman"/>
          <w:sz w:val="24"/>
          <w:szCs w:val="24"/>
          <w:shd w:val="clear" w:color="auto" w:fill="FFFFFF"/>
        </w:rPr>
        <w:t xml:space="preserve">promising results, </w:t>
      </w:r>
      <w:r w:rsidR="00F97E60" w:rsidRPr="007721FB">
        <w:rPr>
          <w:rStyle w:val="apple-converted-space"/>
          <w:rFonts w:ascii="Times New Roman" w:hAnsi="Times New Roman" w:cs="Times New Roman"/>
          <w:sz w:val="24"/>
          <w:szCs w:val="24"/>
          <w:shd w:val="clear" w:color="auto" w:fill="FFFFFF"/>
        </w:rPr>
        <w:t xml:space="preserve">it </w:t>
      </w:r>
      <w:r w:rsidRPr="007721FB">
        <w:rPr>
          <w:rStyle w:val="apple-converted-space"/>
          <w:rFonts w:ascii="Times New Roman" w:hAnsi="Times New Roman" w:cs="Times New Roman"/>
          <w:sz w:val="24"/>
          <w:szCs w:val="24"/>
          <w:shd w:val="clear" w:color="auto" w:fill="FFFFFF"/>
        </w:rPr>
        <w:t>must</w:t>
      </w:r>
      <w:r w:rsidR="000F1814" w:rsidRPr="007721FB">
        <w:rPr>
          <w:rStyle w:val="apple-converted-space"/>
          <w:rFonts w:ascii="Times New Roman" w:hAnsi="Times New Roman" w:cs="Times New Roman"/>
          <w:sz w:val="24"/>
          <w:szCs w:val="24"/>
          <w:shd w:val="clear" w:color="auto" w:fill="FFFFFF"/>
        </w:rPr>
        <w:t xml:space="preserve"> be</w:t>
      </w:r>
      <w:r w:rsidR="00F97E60" w:rsidRPr="007721FB">
        <w:rPr>
          <w:rStyle w:val="apple-converted-space"/>
          <w:rFonts w:ascii="Times New Roman" w:hAnsi="Times New Roman" w:cs="Times New Roman"/>
          <w:sz w:val="24"/>
          <w:szCs w:val="24"/>
          <w:shd w:val="clear" w:color="auto" w:fill="FFFFFF"/>
        </w:rPr>
        <w:t xml:space="preserve"> emphasized that this study </w:t>
      </w:r>
      <w:r w:rsidR="0012136A" w:rsidRPr="007721FB">
        <w:rPr>
          <w:rStyle w:val="apple-converted-space"/>
          <w:rFonts w:ascii="Times New Roman" w:hAnsi="Times New Roman" w:cs="Times New Roman"/>
          <w:sz w:val="24"/>
          <w:szCs w:val="24"/>
          <w:shd w:val="clear" w:color="auto" w:fill="FFFFFF"/>
        </w:rPr>
        <w:t>involved</w:t>
      </w:r>
      <w:r w:rsidR="00E34071" w:rsidRPr="007721FB">
        <w:rPr>
          <w:rStyle w:val="apple-converted-space"/>
          <w:rFonts w:ascii="Times New Roman" w:hAnsi="Times New Roman" w:cs="Times New Roman"/>
          <w:sz w:val="24"/>
          <w:szCs w:val="24"/>
          <w:shd w:val="clear" w:color="auto" w:fill="FFFFFF"/>
        </w:rPr>
        <w:t xml:space="preserve"> liposome impregnation</w:t>
      </w:r>
      <w:r w:rsidR="00F97E60" w:rsidRPr="007721FB">
        <w:rPr>
          <w:rStyle w:val="apple-converted-space"/>
          <w:rFonts w:ascii="Times New Roman" w:hAnsi="Times New Roman" w:cs="Times New Roman"/>
          <w:sz w:val="24"/>
          <w:szCs w:val="24"/>
          <w:shd w:val="clear" w:color="auto" w:fill="FFFFFF"/>
        </w:rPr>
        <w:t xml:space="preserve"> with</w:t>
      </w:r>
      <w:r w:rsidR="0012136A" w:rsidRPr="007721FB">
        <w:rPr>
          <w:rStyle w:val="apple-converted-space"/>
          <w:rFonts w:ascii="Times New Roman" w:hAnsi="Times New Roman" w:cs="Times New Roman"/>
          <w:sz w:val="24"/>
          <w:szCs w:val="24"/>
          <w:shd w:val="clear" w:color="auto" w:fill="FFFFFF"/>
        </w:rPr>
        <w:t>in</w:t>
      </w:r>
      <w:r w:rsidR="00F97E60" w:rsidRPr="007721FB">
        <w:rPr>
          <w:rStyle w:val="apple-converted-space"/>
          <w:rFonts w:ascii="Times New Roman" w:hAnsi="Times New Roman" w:cs="Times New Roman"/>
          <w:sz w:val="24"/>
          <w:szCs w:val="24"/>
          <w:shd w:val="clear" w:color="auto" w:fill="FFFFFF"/>
        </w:rPr>
        <w:t xml:space="preserve"> a collagen sponge, </w:t>
      </w:r>
      <w:r w:rsidR="00E34071" w:rsidRPr="007721FB">
        <w:rPr>
          <w:rStyle w:val="apple-converted-space"/>
          <w:rFonts w:ascii="Times New Roman" w:hAnsi="Times New Roman" w:cs="Times New Roman"/>
          <w:sz w:val="24"/>
          <w:szCs w:val="24"/>
          <w:shd w:val="clear" w:color="auto" w:fill="FFFFFF"/>
        </w:rPr>
        <w:t>a de</w:t>
      </w:r>
      <w:r w:rsidR="00EF2CA2" w:rsidRPr="007721FB">
        <w:rPr>
          <w:rStyle w:val="apple-converted-space"/>
          <w:rFonts w:ascii="Times New Roman" w:hAnsi="Times New Roman" w:cs="Times New Roman"/>
          <w:sz w:val="24"/>
          <w:szCs w:val="24"/>
          <w:shd w:val="clear" w:color="auto" w:fill="FFFFFF"/>
        </w:rPr>
        <w:t xml:space="preserve">livery route that </w:t>
      </w:r>
      <w:r w:rsidR="005A76AE" w:rsidRPr="007721FB">
        <w:rPr>
          <w:rStyle w:val="apple-converted-space"/>
          <w:rFonts w:ascii="Times New Roman" w:hAnsi="Times New Roman" w:cs="Times New Roman"/>
          <w:sz w:val="24"/>
          <w:szCs w:val="24"/>
          <w:shd w:val="clear" w:color="auto" w:fill="FFFFFF"/>
        </w:rPr>
        <w:t>is</w:t>
      </w:r>
      <w:r w:rsidR="00E34071" w:rsidRPr="007721FB">
        <w:rPr>
          <w:rStyle w:val="apple-converted-space"/>
          <w:rFonts w:ascii="Times New Roman" w:hAnsi="Times New Roman" w:cs="Times New Roman"/>
          <w:sz w:val="24"/>
          <w:szCs w:val="24"/>
          <w:shd w:val="clear" w:color="auto" w:fill="FFFFFF"/>
        </w:rPr>
        <w:t xml:space="preserve"> invasive</w:t>
      </w:r>
      <w:r w:rsidR="00E26788" w:rsidRPr="007721FB">
        <w:rPr>
          <w:rStyle w:val="apple-converted-space"/>
          <w:rFonts w:ascii="Times New Roman" w:hAnsi="Times New Roman" w:cs="Times New Roman"/>
          <w:sz w:val="24"/>
          <w:szCs w:val="24"/>
          <w:shd w:val="clear" w:color="auto" w:fill="FFFFFF"/>
        </w:rPr>
        <w:t xml:space="preserve"> and may entail further surgery</w:t>
      </w:r>
      <w:r w:rsidR="00B0121C" w:rsidRPr="007721FB">
        <w:rPr>
          <w:rStyle w:val="apple-converted-space"/>
          <w:rFonts w:ascii="Times New Roman" w:hAnsi="Times New Roman" w:cs="Times New Roman"/>
          <w:sz w:val="24"/>
          <w:szCs w:val="24"/>
          <w:shd w:val="clear" w:color="auto" w:fill="FFFFFF"/>
        </w:rPr>
        <w:t>-</w:t>
      </w:r>
      <w:r w:rsidR="00E26788" w:rsidRPr="007721FB">
        <w:rPr>
          <w:rStyle w:val="apple-converted-space"/>
          <w:rFonts w:ascii="Times New Roman" w:hAnsi="Times New Roman" w:cs="Times New Roman"/>
          <w:sz w:val="24"/>
          <w:szCs w:val="24"/>
          <w:shd w:val="clear" w:color="auto" w:fill="FFFFFF"/>
        </w:rPr>
        <w:t>associated problems</w:t>
      </w:r>
      <w:r w:rsidR="008979E3" w:rsidRPr="007721FB">
        <w:rPr>
          <w:rStyle w:val="apple-converted-space"/>
          <w:rFonts w:ascii="Times New Roman" w:hAnsi="Times New Roman" w:cs="Times New Roman"/>
          <w:sz w:val="24"/>
          <w:szCs w:val="24"/>
          <w:shd w:val="clear" w:color="auto" w:fill="FFFFFF"/>
        </w:rPr>
        <w:t xml:space="preserve">. </w:t>
      </w:r>
      <w:r w:rsidR="00EF2CA2" w:rsidRPr="007721FB">
        <w:rPr>
          <w:rStyle w:val="apple-converted-space"/>
          <w:rFonts w:ascii="Times New Roman" w:hAnsi="Times New Roman" w:cs="Times New Roman"/>
          <w:sz w:val="24"/>
          <w:szCs w:val="24"/>
          <w:shd w:val="clear" w:color="auto" w:fill="FFFFFF"/>
        </w:rPr>
        <w:t xml:space="preserve">Apart from standard ultrasound </w:t>
      </w:r>
      <w:r w:rsidR="00E26788" w:rsidRPr="007721FB">
        <w:rPr>
          <w:rStyle w:val="apple-converted-space"/>
          <w:rFonts w:ascii="Times New Roman" w:hAnsi="Times New Roman" w:cs="Times New Roman"/>
          <w:sz w:val="24"/>
          <w:szCs w:val="24"/>
          <w:shd w:val="clear" w:color="auto" w:fill="FFFFFF"/>
        </w:rPr>
        <w:t>stimulation</w:t>
      </w:r>
      <w:r w:rsidR="00EF2CA2" w:rsidRPr="007721FB">
        <w:rPr>
          <w:rStyle w:val="apple-converted-space"/>
          <w:rFonts w:ascii="Times New Roman" w:hAnsi="Times New Roman" w:cs="Times New Roman"/>
          <w:sz w:val="24"/>
          <w:szCs w:val="24"/>
          <w:shd w:val="clear" w:color="auto" w:fill="FFFFFF"/>
        </w:rPr>
        <w:t>,</w:t>
      </w:r>
      <w:r w:rsidR="00E26788" w:rsidRPr="007721FB">
        <w:rPr>
          <w:rStyle w:val="apple-converted-space"/>
          <w:rFonts w:ascii="Times New Roman" w:hAnsi="Times New Roman" w:cs="Times New Roman"/>
          <w:sz w:val="24"/>
          <w:szCs w:val="24"/>
          <w:shd w:val="clear" w:color="auto" w:fill="FFFFFF"/>
        </w:rPr>
        <w:t xml:space="preserve"> l</w:t>
      </w:r>
      <w:r w:rsidR="008979E3" w:rsidRPr="007721FB">
        <w:rPr>
          <w:rStyle w:val="apple-converted-space"/>
          <w:rFonts w:ascii="Times New Roman" w:hAnsi="Times New Roman" w:cs="Times New Roman"/>
          <w:sz w:val="24"/>
          <w:szCs w:val="24"/>
          <w:shd w:val="clear" w:color="auto" w:fill="FFFFFF"/>
        </w:rPr>
        <w:t xml:space="preserve">ow intensity pulsed ultrasound stimulation (LIPUS) is </w:t>
      </w:r>
      <w:r w:rsidR="00E26788" w:rsidRPr="007721FB">
        <w:rPr>
          <w:rStyle w:val="apple-converted-space"/>
          <w:rFonts w:ascii="Times New Roman" w:hAnsi="Times New Roman" w:cs="Times New Roman"/>
          <w:sz w:val="24"/>
          <w:szCs w:val="24"/>
          <w:shd w:val="clear" w:color="auto" w:fill="FFFFFF"/>
        </w:rPr>
        <w:t>also</w:t>
      </w:r>
      <w:r w:rsidR="000F1814" w:rsidRPr="007721FB">
        <w:rPr>
          <w:rStyle w:val="apple-converted-space"/>
          <w:rFonts w:ascii="Times New Roman" w:hAnsi="Times New Roman" w:cs="Times New Roman"/>
          <w:sz w:val="24"/>
          <w:szCs w:val="24"/>
          <w:shd w:val="clear" w:color="auto" w:fill="FFFFFF"/>
        </w:rPr>
        <w:t xml:space="preserve"> </w:t>
      </w:r>
      <w:r w:rsidR="008979E3" w:rsidRPr="007721FB">
        <w:rPr>
          <w:rStyle w:val="apple-converted-space"/>
          <w:rFonts w:ascii="Times New Roman" w:hAnsi="Times New Roman" w:cs="Times New Roman"/>
          <w:sz w:val="24"/>
          <w:szCs w:val="24"/>
          <w:shd w:val="clear" w:color="auto" w:fill="FFFFFF"/>
        </w:rPr>
        <w:t>valuable in the scope of bone</w:t>
      </w:r>
      <w:r w:rsidR="00F00F8E" w:rsidRPr="007721FB">
        <w:rPr>
          <w:rStyle w:val="apple-converted-space"/>
          <w:rFonts w:ascii="Times New Roman" w:hAnsi="Times New Roman" w:cs="Times New Roman"/>
          <w:sz w:val="24"/>
          <w:szCs w:val="24"/>
          <w:shd w:val="clear" w:color="auto" w:fill="FFFFFF"/>
        </w:rPr>
        <w:t xml:space="preserve"> </w:t>
      </w:r>
      <w:r w:rsidR="00E26788" w:rsidRPr="007721FB">
        <w:rPr>
          <w:rStyle w:val="apple-converted-space"/>
          <w:rFonts w:ascii="Times New Roman" w:hAnsi="Times New Roman" w:cs="Times New Roman"/>
          <w:sz w:val="24"/>
          <w:szCs w:val="24"/>
          <w:shd w:val="clear" w:color="auto" w:fill="FFFFFF"/>
        </w:rPr>
        <w:t>disorders</w:t>
      </w:r>
      <w:r w:rsidR="008979E3" w:rsidRPr="007721FB">
        <w:rPr>
          <w:rStyle w:val="apple-converted-space"/>
          <w:rFonts w:ascii="Times New Roman" w:hAnsi="Times New Roman" w:cs="Times New Roman"/>
          <w:sz w:val="24"/>
          <w:szCs w:val="24"/>
          <w:shd w:val="clear" w:color="auto" w:fill="FFFFFF"/>
        </w:rPr>
        <w:t xml:space="preserve"> </w:t>
      </w:r>
      <w:r w:rsidR="000F1814" w:rsidRPr="007721FB">
        <w:rPr>
          <w:rStyle w:val="apple-converted-space"/>
          <w:rFonts w:ascii="Times New Roman" w:hAnsi="Times New Roman" w:cs="Times New Roman"/>
          <w:sz w:val="24"/>
          <w:szCs w:val="24"/>
          <w:shd w:val="clear" w:color="auto" w:fill="FFFFFF"/>
        </w:rPr>
        <w:t xml:space="preserve">with </w:t>
      </w:r>
      <w:r w:rsidR="00F00F8E" w:rsidRPr="007721FB">
        <w:rPr>
          <w:rStyle w:val="apple-converted-space"/>
          <w:rFonts w:ascii="Times New Roman" w:hAnsi="Times New Roman" w:cs="Times New Roman"/>
          <w:sz w:val="24"/>
          <w:szCs w:val="24"/>
          <w:shd w:val="clear" w:color="auto" w:fill="FFFFFF"/>
        </w:rPr>
        <w:t>recent reports from different researchers</w:t>
      </w:r>
      <w:r w:rsidR="000F1814" w:rsidRPr="007721FB">
        <w:rPr>
          <w:rStyle w:val="apple-converted-space"/>
          <w:rFonts w:ascii="Times New Roman" w:hAnsi="Times New Roman" w:cs="Times New Roman"/>
          <w:sz w:val="24"/>
          <w:szCs w:val="24"/>
          <w:shd w:val="clear" w:color="auto" w:fill="FFFFFF"/>
        </w:rPr>
        <w:t xml:space="preserve"> emphasizing the ability to enhance</w:t>
      </w:r>
      <w:r w:rsidR="008979E3" w:rsidRPr="007721FB">
        <w:rPr>
          <w:rStyle w:val="apple-converted-space"/>
          <w:rFonts w:ascii="Times New Roman" w:hAnsi="Times New Roman" w:cs="Times New Roman"/>
          <w:sz w:val="24"/>
          <w:szCs w:val="24"/>
          <w:shd w:val="clear" w:color="auto" w:fill="FFFFFF"/>
        </w:rPr>
        <w:t xml:space="preserve"> bone regeneration during fracture healing and callus distraction</w:t>
      </w:r>
      <w:r w:rsidR="005A76AE" w:rsidRPr="007721FB">
        <w:rPr>
          <w:rStyle w:val="apple-converted-space"/>
          <w:rFonts w:ascii="Times New Roman" w:hAnsi="Times New Roman" w:cs="Times New Roman"/>
          <w:sz w:val="24"/>
          <w:szCs w:val="24"/>
          <w:shd w:val="clear" w:color="auto" w:fill="FFFFFF"/>
        </w:rPr>
        <w:t xml:space="preserve"> </w:t>
      </w:r>
      <w:r w:rsidR="00383D68" w:rsidRPr="007721FB">
        <w:rPr>
          <w:rStyle w:val="apple-converted-space"/>
          <w:rFonts w:ascii="Times New Roman" w:hAnsi="Times New Roman" w:cs="Times New Roman"/>
          <w:sz w:val="24"/>
          <w:szCs w:val="24"/>
          <w:shd w:val="clear" w:color="auto" w:fill="FFFFFF"/>
        </w:rPr>
        <w:fldChar w:fldCharType="begin" w:fldLock="1"/>
      </w:r>
      <w:r w:rsidR="00B31E12" w:rsidRPr="007721FB">
        <w:rPr>
          <w:rStyle w:val="apple-converted-space"/>
          <w:rFonts w:ascii="Times New Roman" w:hAnsi="Times New Roman" w:cs="Times New Roman"/>
          <w:sz w:val="24"/>
          <w:szCs w:val="24"/>
          <w:shd w:val="clear" w:color="auto" w:fill="FFFFFF"/>
        </w:rPr>
        <w:instrText>ADDIN CSL_CITATION { "citationItems" : [ { "id" : "ITEM-1", "itemData" : { "DOI" : "http://dx.doi.org/10.1016/B978-0-323-42862-0.00005-5", "ISBN" : "978-0-323-42862-0", "abstract" : "Abstract Nanotechnology is being widely studied in bone repair or regeneration treatments in the form of scaffolds because of improved efficacy and selective targeting in comparison to conventional approaches. Nanoparticle-based drug delivery is a choice in many conditions, such as bone infections, cancer bone metastasis, osteosarcoma, inflammatory diseases, and many other conditions like osteoarthritis and bone regeneration. Nanoencapsulated systems are being studied not only for synthetic molecules but also for protein molecules (gene delivery) for delivery to bone. Functionalized biomaterials, containing bioactive molecules, such as ceramics, polymers, proteins, and metals, are being widely explored for bone-regenerative therapies, including bone grafting, tissue engineering, and implants to stabilize fractures or to replace joints. Although, the research done is still in the developing phase, the last decade has witnessed successful use of single functionalized and/or multifunctionalized nanoparticles for treatment of bone diseases. Research approaches mainly focus on the interactions of nanoparticles with bone cells and tissue, depending on their composition, size, and shape. Detailed analysis of nanoparticle effects in the area of bone scaffold is carried out in this chapter. However, the toxicity outcome for many developed bone scaffold systems affected to some extent along with the use of nanotechnology in raw material formation of scaffolds is briefly discussed. A quick overview on patented technologies, approved and marketed scaffolds, and some of the ongoing clinical trials are discussed at the end of the chapter.", "author" : [ { "dropping-particle" : "", "family" : "Sawant", "given" : "Sampada", "non-dropping-particle" : "", "parse-names" : false, "suffix" : "" }, { "dropping-particle" : "", "family" : "Shegokar", "given" : "Ranjita", "non-dropping-particle" : "", "parse-names" : false, "suffix" : "" } ], "id" : "ITEM-1", "issued" : { "date-parts" : [ [ "2016" ] ] }, "page" : "155-187", "publisher" : "William Andrew Publishing", "title" : "Chapter 5 - Bone scaffolds: What's new in nanoparticle drug delivery research? A2  - Grumezescu, Alexandru Mihai BT  - Nanobiomaterials in Hard Tissue Engineering", "type" : "chapter" }, "uris" : [ "http://www.mendeley.com/documents/?uuid=c0853aa1-37b6-4ed9-b281-7f89d735a28d", "http://www.mendeley.com/documents/?uuid=320844f4-0665-41e7-9746-15277b1a7a96" ] } ], "mendeley" : { "formattedCitation" : "[95]", "plainTextFormattedCitation" : "[95]", "previouslyFormattedCitation" : "[95]" }, "properties" : { "noteIndex" : 0 }, "schema" : "https://github.com/citation-style-language/schema/raw/master/csl-citation.json" }</w:instrText>
      </w:r>
      <w:r w:rsidR="00383D68" w:rsidRPr="007721FB">
        <w:rPr>
          <w:rStyle w:val="apple-converted-space"/>
          <w:rFonts w:ascii="Times New Roman" w:hAnsi="Times New Roman" w:cs="Times New Roman"/>
          <w:sz w:val="24"/>
          <w:szCs w:val="24"/>
          <w:shd w:val="clear" w:color="auto" w:fill="FFFFFF"/>
        </w:rPr>
        <w:fldChar w:fldCharType="separate"/>
      </w:r>
      <w:r w:rsidR="00B31E12" w:rsidRPr="007721FB">
        <w:rPr>
          <w:rStyle w:val="apple-converted-space"/>
          <w:rFonts w:ascii="Times New Roman" w:hAnsi="Times New Roman" w:cs="Times New Roman"/>
          <w:noProof/>
          <w:sz w:val="24"/>
          <w:szCs w:val="24"/>
          <w:shd w:val="clear" w:color="auto" w:fill="FFFFFF"/>
        </w:rPr>
        <w:t>[95]</w:t>
      </w:r>
      <w:r w:rsidR="00383D68" w:rsidRPr="007721FB">
        <w:rPr>
          <w:rStyle w:val="apple-converted-space"/>
          <w:rFonts w:ascii="Times New Roman" w:hAnsi="Times New Roman" w:cs="Times New Roman"/>
          <w:sz w:val="24"/>
          <w:szCs w:val="24"/>
          <w:shd w:val="clear" w:color="auto" w:fill="FFFFFF"/>
        </w:rPr>
        <w:fldChar w:fldCharType="end"/>
      </w:r>
      <w:r w:rsidR="005A76AE" w:rsidRPr="007721FB">
        <w:rPr>
          <w:rStyle w:val="apple-converted-space"/>
          <w:rFonts w:ascii="Times New Roman" w:hAnsi="Times New Roman" w:cs="Times New Roman"/>
          <w:sz w:val="24"/>
          <w:szCs w:val="24"/>
          <w:shd w:val="clear" w:color="auto" w:fill="FFFFFF"/>
        </w:rPr>
        <w:t>.</w:t>
      </w:r>
      <w:r w:rsidR="008979E3" w:rsidRPr="007721FB">
        <w:rPr>
          <w:rStyle w:val="apple-converted-space"/>
          <w:rFonts w:ascii="Times New Roman" w:hAnsi="Times New Roman" w:cs="Times New Roman"/>
          <w:sz w:val="24"/>
          <w:szCs w:val="24"/>
          <w:shd w:val="clear" w:color="auto" w:fill="FFFFFF"/>
        </w:rPr>
        <w:t xml:space="preserve"> </w:t>
      </w:r>
      <w:r w:rsidR="00666560" w:rsidRPr="007721FB">
        <w:rPr>
          <w:rStyle w:val="apple-converted-space"/>
          <w:rFonts w:ascii="Times New Roman" w:hAnsi="Times New Roman" w:cs="Times New Roman"/>
          <w:sz w:val="24"/>
          <w:szCs w:val="24"/>
          <w:shd w:val="clear" w:color="auto" w:fill="FFFFFF"/>
        </w:rPr>
        <w:t xml:space="preserve">In addition to </w:t>
      </w:r>
      <w:r w:rsidR="005A76AE" w:rsidRPr="007721FB">
        <w:rPr>
          <w:rStyle w:val="apple-converted-space"/>
          <w:rFonts w:ascii="Times New Roman" w:hAnsi="Times New Roman" w:cs="Times New Roman"/>
          <w:sz w:val="24"/>
          <w:szCs w:val="24"/>
          <w:shd w:val="clear" w:color="auto" w:fill="FFFFFF"/>
        </w:rPr>
        <w:t>its pro-</w:t>
      </w:r>
      <w:r w:rsidR="00666560" w:rsidRPr="007721FB">
        <w:rPr>
          <w:rStyle w:val="apple-converted-space"/>
          <w:rFonts w:ascii="Times New Roman" w:hAnsi="Times New Roman" w:cs="Times New Roman"/>
          <w:sz w:val="24"/>
          <w:szCs w:val="24"/>
          <w:shd w:val="clear" w:color="auto" w:fill="FFFFFF"/>
        </w:rPr>
        <w:t xml:space="preserve">osteogenic potential, </w:t>
      </w:r>
      <w:r w:rsidR="008979E3" w:rsidRPr="007721FB">
        <w:rPr>
          <w:rStyle w:val="apple-converted-space"/>
          <w:rFonts w:ascii="Times New Roman" w:hAnsi="Times New Roman" w:cs="Times New Roman"/>
          <w:sz w:val="24"/>
          <w:szCs w:val="24"/>
          <w:shd w:val="clear" w:color="auto" w:fill="FFFFFF"/>
        </w:rPr>
        <w:t xml:space="preserve">Nagao </w:t>
      </w:r>
      <w:r w:rsidR="005A76AE" w:rsidRPr="007721FB">
        <w:rPr>
          <w:rStyle w:val="apple-converted-space"/>
          <w:rFonts w:ascii="Times New Roman" w:hAnsi="Times New Roman" w:cs="Times New Roman"/>
          <w:sz w:val="24"/>
          <w:szCs w:val="24"/>
          <w:shd w:val="clear" w:color="auto" w:fill="FFFFFF"/>
        </w:rPr>
        <w:t>and his team</w:t>
      </w:r>
      <w:r w:rsidR="008979E3" w:rsidRPr="007721FB">
        <w:rPr>
          <w:rStyle w:val="apple-converted-space"/>
          <w:rFonts w:ascii="Times New Roman" w:hAnsi="Times New Roman" w:cs="Times New Roman"/>
          <w:sz w:val="24"/>
          <w:szCs w:val="24"/>
          <w:shd w:val="clear" w:color="auto" w:fill="FFFFFF"/>
        </w:rPr>
        <w:t xml:space="preserve"> </w:t>
      </w:r>
      <w:r w:rsidR="00666560" w:rsidRPr="007721FB">
        <w:rPr>
          <w:rStyle w:val="apple-converted-space"/>
          <w:rFonts w:ascii="Times New Roman" w:hAnsi="Times New Roman" w:cs="Times New Roman"/>
          <w:sz w:val="24"/>
          <w:szCs w:val="24"/>
          <w:shd w:val="clear" w:color="auto" w:fill="FFFFFF"/>
        </w:rPr>
        <w:t xml:space="preserve">recently </w:t>
      </w:r>
      <w:r w:rsidR="0012136A" w:rsidRPr="007721FB">
        <w:rPr>
          <w:rStyle w:val="apple-converted-space"/>
          <w:rFonts w:ascii="Times New Roman" w:hAnsi="Times New Roman" w:cs="Times New Roman"/>
          <w:sz w:val="24"/>
          <w:szCs w:val="24"/>
          <w:shd w:val="clear" w:color="auto" w:fill="FFFFFF"/>
        </w:rPr>
        <w:t xml:space="preserve">investigated the anti-inflammatory effects of </w:t>
      </w:r>
      <w:r w:rsidR="008979E3" w:rsidRPr="007721FB">
        <w:rPr>
          <w:rStyle w:val="apple-converted-space"/>
          <w:rFonts w:ascii="Times New Roman" w:hAnsi="Times New Roman" w:cs="Times New Roman"/>
          <w:sz w:val="24"/>
          <w:szCs w:val="24"/>
          <w:shd w:val="clear" w:color="auto" w:fill="FFFFFF"/>
        </w:rPr>
        <w:t xml:space="preserve">LIPUS </w:t>
      </w:r>
      <w:r w:rsidR="0012136A" w:rsidRPr="007721FB">
        <w:rPr>
          <w:rStyle w:val="apple-converted-space"/>
          <w:rFonts w:ascii="Times New Roman" w:hAnsi="Times New Roman" w:cs="Times New Roman"/>
          <w:sz w:val="24"/>
          <w:szCs w:val="24"/>
          <w:shd w:val="clear" w:color="auto" w:fill="FFFFFF"/>
        </w:rPr>
        <w:t>on MC3T3-E1 mouse calvarial cell line, where it was discovered that LIPUS was able to suppress the nuclear translocation of NF-kB activation induced by lipo</w:t>
      </w:r>
      <w:r w:rsidR="00AE7820" w:rsidRPr="007721FB">
        <w:rPr>
          <w:rStyle w:val="apple-converted-space"/>
          <w:rFonts w:ascii="Times New Roman" w:hAnsi="Times New Roman" w:cs="Times New Roman"/>
          <w:sz w:val="24"/>
          <w:szCs w:val="24"/>
          <w:shd w:val="clear" w:color="auto" w:fill="FFFFFF"/>
        </w:rPr>
        <w:t>poly</w:t>
      </w:r>
      <w:r w:rsidR="0012136A" w:rsidRPr="007721FB">
        <w:rPr>
          <w:rStyle w:val="apple-converted-space"/>
          <w:rFonts w:ascii="Times New Roman" w:hAnsi="Times New Roman" w:cs="Times New Roman"/>
          <w:sz w:val="24"/>
          <w:szCs w:val="24"/>
          <w:shd w:val="clear" w:color="auto" w:fill="FFFFFF"/>
        </w:rPr>
        <w:t>sa</w:t>
      </w:r>
      <w:r w:rsidR="00AE7820" w:rsidRPr="007721FB">
        <w:rPr>
          <w:rStyle w:val="apple-converted-space"/>
          <w:rFonts w:ascii="Times New Roman" w:hAnsi="Times New Roman" w:cs="Times New Roman"/>
          <w:sz w:val="24"/>
          <w:szCs w:val="24"/>
          <w:shd w:val="clear" w:color="auto" w:fill="FFFFFF"/>
        </w:rPr>
        <w:t>c</w:t>
      </w:r>
      <w:r w:rsidR="0012136A" w:rsidRPr="007721FB">
        <w:rPr>
          <w:rStyle w:val="apple-converted-space"/>
          <w:rFonts w:ascii="Times New Roman" w:hAnsi="Times New Roman" w:cs="Times New Roman"/>
          <w:sz w:val="24"/>
          <w:szCs w:val="24"/>
          <w:shd w:val="clear" w:color="auto" w:fill="FFFFFF"/>
        </w:rPr>
        <w:t>charide, while also inhibiting the upregulation of toll-like receptor 4 and inflammatory cytokine IL-1</w:t>
      </w:r>
      <w:r w:rsidR="005A76AE" w:rsidRPr="007721FB">
        <w:rPr>
          <w:rStyle w:val="apple-converted-space"/>
          <w:rFonts w:ascii="Times New Roman" w:hAnsi="Times New Roman" w:cs="Times New Roman"/>
          <w:sz w:val="24"/>
          <w:szCs w:val="24"/>
          <w:shd w:val="clear" w:color="auto" w:fill="FFFFFF"/>
        </w:rPr>
        <w:t xml:space="preserve"> </w:t>
      </w:r>
      <w:r w:rsidR="00D401CA" w:rsidRPr="007721FB">
        <w:rPr>
          <w:rStyle w:val="apple-converted-space"/>
          <w:rFonts w:ascii="Times New Roman" w:hAnsi="Times New Roman" w:cs="Times New Roman"/>
          <w:sz w:val="24"/>
          <w:szCs w:val="24"/>
          <w:shd w:val="clear" w:color="auto" w:fill="FFFFFF"/>
        </w:rPr>
        <w:fldChar w:fldCharType="begin" w:fldLock="1"/>
      </w:r>
      <w:r w:rsidR="00B31E12" w:rsidRPr="007721FB">
        <w:rPr>
          <w:rStyle w:val="apple-converted-space"/>
          <w:rFonts w:ascii="Times New Roman" w:hAnsi="Times New Roman" w:cs="Times New Roman"/>
          <w:sz w:val="24"/>
          <w:szCs w:val="24"/>
          <w:shd w:val="clear" w:color="auto" w:fill="FFFFFF"/>
        </w:rPr>
        <w:instrText>ADDIN CSL_CITATION { "citationItems" : [ { "id" : "ITEM-1", "itemData" : { "DOI" : "10.1002/jcp.25777", "ISSN" : "00219541", "author" : [ { "dropping-particle" : "", "family" : "Nagao", "given" : "Mayu", "non-dropping-particle" : "", "parse-names" : false, "suffix" : "" }, { "dropping-particle" : "", "family" : "Tanabe", "given" : "Natsuko", "non-dropping-particle" : "", "parse-names" : false, "suffix" : "" }, { "dropping-particle" : "", "family" : "Manaka", "given" : "Soichiro", "non-dropping-particle" : "", "parse-names" : false, "suffix" : "" }, { "dropping-particle" : "", "family" : "Naito", "given" : "Masako", "non-dropping-particle" : "", "parse-names" : false, "suffix" : "" }, { "dropping-particle" : "", "family" : "Nakai", "given" : "Kumiko", "non-dropping-particle" : "", "parse-names" : false, "suffix" : "" }, { "dropping-particle" : "", "family" : "Takayama", "given" : "Tadahiro", "non-dropping-particle" : "", "parse-names" : false, "suffix" : "" }, { "dropping-particle" : "", "family" : "Kawato", "given" : "Takayuki", "non-dropping-particle" : "", "parse-names" : false, "suffix" : "" }, { "dropping-particle" : "", "family" : "Torigoe", "given" : "Go", "non-dropping-particle" : "", "parse-names" : false, "suffix" : "" }, { "dropping-particle" : "", "family" : "Sekino", "given" : "Jumpei", "non-dropping-particle" : "", "parse-names" : false, "suffix" : "" }, { "dropping-particle" : "", "family" : "Tsukune", "given" : "Naoya", "non-dropping-particle" : "", "parse-names" : false, "suffix" : "" }, { "dropping-particle" : "", "family" : "Maeno", "given" : "Masao", "non-dropping-particle" : "", "parse-names" : false, "suffix" : "" }, { "dropping-particle" : "", "family" : "Suzuki", "given" : "Naoto", "non-dropping-particle" : "", "parse-names" : false, "suffix" : "" }, { "dropping-particle" : "", "family" : "Sato", "given" : "Shuichi", "non-dropping-particle" : "", "parse-names" : false, "suffix" : "" } ], "container-title" : "Journal of Cellular Physiology", "id" : "ITEM-1", "issue" : "December 2016", "issued" : { "date-parts" : [ [ "2017" ] ] }, "title" : "LIPUS suppressed LPS-induced IL-1\u03b1 through the inhibition of NF-\u03baB nuclear translocation via AT1-PLC\u03b2 pathway in MC3T3-E1", "type" : "article-journal" }, "uris" : [ "http://www.mendeley.com/documents/?uuid=6e7e41eb-8c46-4103-a304-8b2e49c1ca3c", "http://www.mendeley.com/documents/?uuid=308ec3b8-fa7f-41f9-a469-9b44ba41ce45" ] } ], "mendeley" : { "formattedCitation" : "[96]", "plainTextFormattedCitation" : "[96]", "previouslyFormattedCitation" : "[96]" }, "properties" : { "noteIndex" : 0 }, "schema" : "https://github.com/citation-style-language/schema/raw/master/csl-citation.json" }</w:instrText>
      </w:r>
      <w:r w:rsidR="00D401CA" w:rsidRPr="007721FB">
        <w:rPr>
          <w:rStyle w:val="apple-converted-space"/>
          <w:rFonts w:ascii="Times New Roman" w:hAnsi="Times New Roman" w:cs="Times New Roman"/>
          <w:sz w:val="24"/>
          <w:szCs w:val="24"/>
          <w:shd w:val="clear" w:color="auto" w:fill="FFFFFF"/>
        </w:rPr>
        <w:fldChar w:fldCharType="separate"/>
      </w:r>
      <w:r w:rsidR="00B31E12" w:rsidRPr="007721FB">
        <w:rPr>
          <w:rStyle w:val="apple-converted-space"/>
          <w:rFonts w:ascii="Times New Roman" w:hAnsi="Times New Roman" w:cs="Times New Roman"/>
          <w:noProof/>
          <w:sz w:val="24"/>
          <w:szCs w:val="24"/>
          <w:shd w:val="clear" w:color="auto" w:fill="FFFFFF"/>
        </w:rPr>
        <w:t>[96]</w:t>
      </w:r>
      <w:r w:rsidR="00D401CA" w:rsidRPr="007721FB">
        <w:rPr>
          <w:rStyle w:val="apple-converted-space"/>
          <w:rFonts w:ascii="Times New Roman" w:hAnsi="Times New Roman" w:cs="Times New Roman"/>
          <w:sz w:val="24"/>
          <w:szCs w:val="24"/>
          <w:shd w:val="clear" w:color="auto" w:fill="FFFFFF"/>
        </w:rPr>
        <w:fldChar w:fldCharType="end"/>
      </w:r>
      <w:r w:rsidR="005A76AE" w:rsidRPr="007721FB">
        <w:rPr>
          <w:rStyle w:val="apple-converted-space"/>
          <w:rFonts w:ascii="Times New Roman" w:hAnsi="Times New Roman" w:cs="Times New Roman"/>
          <w:sz w:val="24"/>
          <w:szCs w:val="24"/>
          <w:shd w:val="clear" w:color="auto" w:fill="FFFFFF"/>
        </w:rPr>
        <w:t>.</w:t>
      </w:r>
      <w:r w:rsidR="0012136A" w:rsidRPr="007721FB">
        <w:rPr>
          <w:rStyle w:val="apple-converted-space"/>
          <w:rFonts w:ascii="Times New Roman" w:hAnsi="Times New Roman" w:cs="Times New Roman"/>
          <w:sz w:val="24"/>
          <w:szCs w:val="24"/>
          <w:shd w:val="clear" w:color="auto" w:fill="FFFFFF"/>
        </w:rPr>
        <w:t xml:space="preserve"> </w:t>
      </w:r>
      <w:r w:rsidR="00666560" w:rsidRPr="007721FB">
        <w:rPr>
          <w:rStyle w:val="apple-converted-space"/>
          <w:rFonts w:ascii="Times New Roman" w:hAnsi="Times New Roman" w:cs="Times New Roman"/>
          <w:sz w:val="24"/>
          <w:szCs w:val="24"/>
          <w:shd w:val="clear" w:color="auto" w:fill="FFFFFF"/>
        </w:rPr>
        <w:t>Moreover, this effect was found to be mediated by an increased expression of mechanosensitive angiotensin receptor type I upon LIPUS application</w:t>
      </w:r>
      <w:r w:rsidR="005A76AE" w:rsidRPr="007721FB">
        <w:rPr>
          <w:rStyle w:val="apple-converted-space"/>
          <w:rFonts w:ascii="Times New Roman" w:hAnsi="Times New Roman" w:cs="Times New Roman"/>
          <w:sz w:val="24"/>
          <w:szCs w:val="24"/>
          <w:shd w:val="clear" w:color="auto" w:fill="FFFFFF"/>
        </w:rPr>
        <w:t>. We thus hypothesize that</w:t>
      </w:r>
      <w:r w:rsidR="00E26788" w:rsidRPr="007721FB">
        <w:rPr>
          <w:rStyle w:val="apple-converted-space"/>
          <w:rFonts w:ascii="Times New Roman" w:hAnsi="Times New Roman" w:cs="Times New Roman"/>
          <w:sz w:val="24"/>
          <w:szCs w:val="24"/>
          <w:shd w:val="clear" w:color="auto" w:fill="FFFFFF"/>
        </w:rPr>
        <w:t xml:space="preserve"> this</w:t>
      </w:r>
      <w:r w:rsidR="00666560" w:rsidRPr="007721FB">
        <w:rPr>
          <w:rStyle w:val="apple-converted-space"/>
          <w:rFonts w:ascii="Times New Roman" w:hAnsi="Times New Roman" w:cs="Times New Roman"/>
          <w:sz w:val="24"/>
          <w:szCs w:val="24"/>
          <w:shd w:val="clear" w:color="auto" w:fill="FFFFFF"/>
        </w:rPr>
        <w:t xml:space="preserve"> stimulus </w:t>
      </w:r>
      <w:r w:rsidR="00E26788" w:rsidRPr="007721FB">
        <w:rPr>
          <w:rStyle w:val="apple-converted-space"/>
          <w:rFonts w:ascii="Times New Roman" w:hAnsi="Times New Roman" w:cs="Times New Roman"/>
          <w:sz w:val="24"/>
          <w:szCs w:val="24"/>
          <w:shd w:val="clear" w:color="auto" w:fill="FFFFFF"/>
        </w:rPr>
        <w:t>c</w:t>
      </w:r>
      <w:r w:rsidR="005A76AE" w:rsidRPr="007721FB">
        <w:rPr>
          <w:rStyle w:val="apple-converted-space"/>
          <w:rFonts w:ascii="Times New Roman" w:hAnsi="Times New Roman" w:cs="Times New Roman"/>
          <w:sz w:val="24"/>
          <w:szCs w:val="24"/>
          <w:shd w:val="clear" w:color="auto" w:fill="FFFFFF"/>
        </w:rPr>
        <w:t>ould potentially</w:t>
      </w:r>
      <w:r w:rsidR="00E26788" w:rsidRPr="007721FB">
        <w:rPr>
          <w:rStyle w:val="apple-converted-space"/>
          <w:rFonts w:ascii="Times New Roman" w:hAnsi="Times New Roman" w:cs="Times New Roman"/>
          <w:sz w:val="24"/>
          <w:szCs w:val="24"/>
          <w:shd w:val="clear" w:color="auto" w:fill="FFFFFF"/>
        </w:rPr>
        <w:t xml:space="preserve"> be used</w:t>
      </w:r>
      <w:r w:rsidR="005A76AE" w:rsidRPr="007721FB">
        <w:rPr>
          <w:rStyle w:val="apple-converted-space"/>
          <w:rFonts w:ascii="Times New Roman" w:hAnsi="Times New Roman" w:cs="Times New Roman"/>
          <w:sz w:val="24"/>
          <w:szCs w:val="24"/>
          <w:shd w:val="clear" w:color="auto" w:fill="FFFFFF"/>
        </w:rPr>
        <w:t xml:space="preserve"> in the future</w:t>
      </w:r>
      <w:r w:rsidR="00E26788" w:rsidRPr="007721FB">
        <w:rPr>
          <w:rStyle w:val="apple-converted-space"/>
          <w:rFonts w:ascii="Times New Roman" w:hAnsi="Times New Roman" w:cs="Times New Roman"/>
          <w:sz w:val="24"/>
          <w:szCs w:val="24"/>
          <w:shd w:val="clear" w:color="auto" w:fill="FFFFFF"/>
        </w:rPr>
        <w:t xml:space="preserve"> as a</w:t>
      </w:r>
      <w:r w:rsidR="00666560" w:rsidRPr="007721FB">
        <w:rPr>
          <w:rStyle w:val="apple-converted-space"/>
          <w:rFonts w:ascii="Times New Roman" w:hAnsi="Times New Roman" w:cs="Times New Roman"/>
          <w:sz w:val="24"/>
          <w:szCs w:val="24"/>
          <w:shd w:val="clear" w:color="auto" w:fill="FFFFFF"/>
        </w:rPr>
        <w:t xml:space="preserve"> tool to treat inflammatory bone diseases such as periodontitis or osteoarthritis. </w:t>
      </w:r>
      <w:r w:rsidR="005A76AE" w:rsidRPr="007721FB">
        <w:rPr>
          <w:rStyle w:val="apple-converted-space"/>
          <w:rFonts w:ascii="Times New Roman" w:hAnsi="Times New Roman" w:cs="Times New Roman"/>
          <w:sz w:val="24"/>
          <w:szCs w:val="24"/>
          <w:shd w:val="clear" w:color="auto" w:fill="FFFFFF"/>
        </w:rPr>
        <w:t>C</w:t>
      </w:r>
      <w:r w:rsidR="00E26788" w:rsidRPr="007721FB">
        <w:rPr>
          <w:rStyle w:val="apple-converted-space"/>
          <w:rFonts w:ascii="Times New Roman" w:hAnsi="Times New Roman" w:cs="Times New Roman"/>
          <w:sz w:val="24"/>
          <w:szCs w:val="24"/>
          <w:shd w:val="clear" w:color="auto" w:fill="FFFFFF"/>
        </w:rPr>
        <w:t>ombining LIP</w:t>
      </w:r>
      <w:r w:rsidR="00EF2CA2" w:rsidRPr="007721FB">
        <w:rPr>
          <w:rStyle w:val="apple-converted-space"/>
          <w:rFonts w:ascii="Times New Roman" w:hAnsi="Times New Roman" w:cs="Times New Roman"/>
          <w:sz w:val="24"/>
          <w:szCs w:val="24"/>
          <w:shd w:val="clear" w:color="auto" w:fill="FFFFFF"/>
        </w:rPr>
        <w:t>U</w:t>
      </w:r>
      <w:r w:rsidR="00E26788" w:rsidRPr="007721FB">
        <w:rPr>
          <w:rStyle w:val="apple-converted-space"/>
          <w:rFonts w:ascii="Times New Roman" w:hAnsi="Times New Roman" w:cs="Times New Roman"/>
          <w:sz w:val="24"/>
          <w:szCs w:val="24"/>
          <w:shd w:val="clear" w:color="auto" w:fill="FFFFFF"/>
        </w:rPr>
        <w:t xml:space="preserve">S with </w:t>
      </w:r>
      <w:r w:rsidR="00666560" w:rsidRPr="007721FB">
        <w:rPr>
          <w:rStyle w:val="apple-converted-space"/>
          <w:rFonts w:ascii="Times New Roman" w:hAnsi="Times New Roman" w:cs="Times New Roman"/>
          <w:sz w:val="24"/>
          <w:szCs w:val="24"/>
          <w:shd w:val="clear" w:color="auto" w:fill="FFFFFF"/>
        </w:rPr>
        <w:t xml:space="preserve">ultrasound-responsive nanocarriers, </w:t>
      </w:r>
      <w:r w:rsidR="00E26788" w:rsidRPr="007721FB">
        <w:rPr>
          <w:rStyle w:val="apple-converted-space"/>
          <w:rFonts w:ascii="Times New Roman" w:hAnsi="Times New Roman" w:cs="Times New Roman"/>
          <w:sz w:val="24"/>
          <w:szCs w:val="24"/>
          <w:shd w:val="clear" w:color="auto" w:fill="FFFFFF"/>
        </w:rPr>
        <w:t>could be a valuable strategy to</w:t>
      </w:r>
      <w:r w:rsidR="00666560" w:rsidRPr="007721FB">
        <w:rPr>
          <w:rStyle w:val="apple-converted-space"/>
          <w:rFonts w:ascii="Times New Roman" w:hAnsi="Times New Roman" w:cs="Times New Roman"/>
          <w:sz w:val="24"/>
          <w:szCs w:val="24"/>
          <w:shd w:val="clear" w:color="auto" w:fill="FFFFFF"/>
        </w:rPr>
        <w:t xml:space="preserve"> design</w:t>
      </w:r>
      <w:r w:rsidR="005A76AE" w:rsidRPr="007721FB">
        <w:rPr>
          <w:rStyle w:val="apple-converted-space"/>
          <w:rFonts w:ascii="Times New Roman" w:hAnsi="Times New Roman" w:cs="Times New Roman"/>
          <w:sz w:val="24"/>
          <w:szCs w:val="24"/>
          <w:shd w:val="clear" w:color="auto" w:fill="FFFFFF"/>
        </w:rPr>
        <w:t xml:space="preserve"> a</w:t>
      </w:r>
      <w:r w:rsidR="00666560" w:rsidRPr="007721FB">
        <w:rPr>
          <w:rStyle w:val="apple-converted-space"/>
          <w:rFonts w:ascii="Times New Roman" w:hAnsi="Times New Roman" w:cs="Times New Roman"/>
          <w:sz w:val="24"/>
          <w:szCs w:val="24"/>
          <w:shd w:val="clear" w:color="auto" w:fill="FFFFFF"/>
        </w:rPr>
        <w:t xml:space="preserve"> stimuli-responsive </w:t>
      </w:r>
      <w:r w:rsidR="00E26788" w:rsidRPr="007721FB">
        <w:rPr>
          <w:rStyle w:val="apple-converted-space"/>
          <w:rFonts w:ascii="Times New Roman" w:hAnsi="Times New Roman" w:cs="Times New Roman"/>
          <w:sz w:val="24"/>
          <w:szCs w:val="24"/>
          <w:shd w:val="clear" w:color="auto" w:fill="FFFFFF"/>
        </w:rPr>
        <w:t>nanomedicine-based therapeutic approach</w:t>
      </w:r>
      <w:r w:rsidR="00666560" w:rsidRPr="007721FB">
        <w:rPr>
          <w:rStyle w:val="apple-converted-space"/>
          <w:rFonts w:ascii="Times New Roman" w:hAnsi="Times New Roman" w:cs="Times New Roman"/>
          <w:sz w:val="24"/>
          <w:szCs w:val="24"/>
          <w:shd w:val="clear" w:color="auto" w:fill="FFFFFF"/>
        </w:rPr>
        <w:t xml:space="preserve"> where not only </w:t>
      </w:r>
      <w:r w:rsidR="00E26788" w:rsidRPr="007721FB">
        <w:rPr>
          <w:rStyle w:val="apple-converted-space"/>
          <w:rFonts w:ascii="Times New Roman" w:hAnsi="Times New Roman" w:cs="Times New Roman"/>
          <w:sz w:val="24"/>
          <w:szCs w:val="24"/>
          <w:shd w:val="clear" w:color="auto" w:fill="FFFFFF"/>
        </w:rPr>
        <w:t>drug release could be spatiote</w:t>
      </w:r>
      <w:r w:rsidR="00EF2CA2" w:rsidRPr="007721FB">
        <w:rPr>
          <w:rStyle w:val="apple-converted-space"/>
          <w:rFonts w:ascii="Times New Roman" w:hAnsi="Times New Roman" w:cs="Times New Roman"/>
          <w:sz w:val="24"/>
          <w:szCs w:val="24"/>
          <w:shd w:val="clear" w:color="auto" w:fill="FFFFFF"/>
        </w:rPr>
        <w:t>mporally controlled</w:t>
      </w:r>
      <w:r w:rsidR="00666560" w:rsidRPr="007721FB">
        <w:rPr>
          <w:rStyle w:val="apple-converted-space"/>
          <w:rFonts w:ascii="Times New Roman" w:hAnsi="Times New Roman" w:cs="Times New Roman"/>
          <w:sz w:val="24"/>
          <w:szCs w:val="24"/>
          <w:shd w:val="clear" w:color="auto" w:fill="FFFFFF"/>
        </w:rPr>
        <w:t>, but also</w:t>
      </w:r>
      <w:r w:rsidR="00E26788" w:rsidRPr="007721FB">
        <w:rPr>
          <w:rStyle w:val="apple-converted-space"/>
          <w:rFonts w:ascii="Times New Roman" w:hAnsi="Times New Roman" w:cs="Times New Roman"/>
          <w:sz w:val="24"/>
          <w:szCs w:val="24"/>
          <w:shd w:val="clear" w:color="auto" w:fill="FFFFFF"/>
        </w:rPr>
        <w:t xml:space="preserve"> where</w:t>
      </w:r>
      <w:r w:rsidR="00666560" w:rsidRPr="007721FB">
        <w:rPr>
          <w:rStyle w:val="apple-converted-space"/>
          <w:rFonts w:ascii="Times New Roman" w:hAnsi="Times New Roman" w:cs="Times New Roman"/>
          <w:sz w:val="24"/>
          <w:szCs w:val="24"/>
          <w:shd w:val="clear" w:color="auto" w:fill="FFFFFF"/>
        </w:rPr>
        <w:t xml:space="preserve"> the triggering stimuli itself has therapeutic</w:t>
      </w:r>
      <w:r w:rsidR="00E26788" w:rsidRPr="007721FB">
        <w:rPr>
          <w:rStyle w:val="apple-converted-space"/>
          <w:rFonts w:ascii="Times New Roman" w:hAnsi="Times New Roman" w:cs="Times New Roman"/>
          <w:sz w:val="24"/>
          <w:szCs w:val="24"/>
          <w:shd w:val="clear" w:color="auto" w:fill="FFFFFF"/>
        </w:rPr>
        <w:t xml:space="preserve"> activity</w:t>
      </w:r>
      <w:r w:rsidR="00666560" w:rsidRPr="007721FB">
        <w:rPr>
          <w:rStyle w:val="apple-converted-space"/>
          <w:rFonts w:ascii="Times New Roman" w:hAnsi="Times New Roman" w:cs="Times New Roman"/>
          <w:sz w:val="24"/>
          <w:szCs w:val="24"/>
          <w:shd w:val="clear" w:color="auto" w:fill="FFFFFF"/>
        </w:rPr>
        <w:t>.</w:t>
      </w:r>
      <w:r w:rsidR="00F7755E" w:rsidRPr="007721FB">
        <w:rPr>
          <w:rStyle w:val="apple-converted-space"/>
          <w:rFonts w:ascii="Times New Roman" w:hAnsi="Times New Roman" w:cs="Times New Roman"/>
          <w:sz w:val="24"/>
          <w:szCs w:val="24"/>
          <w:shd w:val="clear" w:color="auto" w:fill="FFFFFF"/>
        </w:rPr>
        <w:t xml:space="preserve"> </w:t>
      </w:r>
      <w:r w:rsidR="00E26788" w:rsidRPr="007721FB">
        <w:rPr>
          <w:rStyle w:val="apple-converted-space"/>
          <w:rFonts w:ascii="Times New Roman" w:hAnsi="Times New Roman" w:cs="Times New Roman"/>
          <w:sz w:val="24"/>
          <w:szCs w:val="24"/>
          <w:shd w:val="clear" w:color="auto" w:fill="FFFFFF"/>
        </w:rPr>
        <w:t>Despite being a promising approach for the future</w:t>
      </w:r>
      <w:r w:rsidR="00B0121C" w:rsidRPr="007721FB">
        <w:rPr>
          <w:rStyle w:val="apple-converted-space"/>
          <w:rFonts w:ascii="Times New Roman" w:hAnsi="Times New Roman" w:cs="Times New Roman"/>
          <w:sz w:val="24"/>
          <w:szCs w:val="24"/>
          <w:shd w:val="clear" w:color="auto" w:fill="FFFFFF"/>
        </w:rPr>
        <w:t>,</w:t>
      </w:r>
      <w:r w:rsidR="00E26788" w:rsidRPr="007721FB">
        <w:rPr>
          <w:rStyle w:val="apple-converted-space"/>
          <w:rFonts w:ascii="Times New Roman" w:hAnsi="Times New Roman" w:cs="Times New Roman"/>
          <w:sz w:val="24"/>
          <w:szCs w:val="24"/>
          <w:shd w:val="clear" w:color="auto" w:fill="FFFFFF"/>
        </w:rPr>
        <w:t xml:space="preserve"> </w:t>
      </w:r>
      <w:r w:rsidR="00F7755E" w:rsidRPr="007721FB">
        <w:rPr>
          <w:rStyle w:val="apple-converted-space"/>
          <w:rFonts w:ascii="Times New Roman" w:hAnsi="Times New Roman" w:cs="Times New Roman"/>
          <w:sz w:val="24"/>
          <w:szCs w:val="24"/>
          <w:shd w:val="clear" w:color="auto" w:fill="FFFFFF"/>
        </w:rPr>
        <w:t xml:space="preserve">it should be taken into account that LIPUS </w:t>
      </w:r>
      <w:r w:rsidR="00F7755E" w:rsidRPr="007721FB">
        <w:rPr>
          <w:rFonts w:ascii="Times New Roman" w:hAnsi="Times New Roman" w:cs="Times New Roman"/>
          <w:sz w:val="24"/>
          <w:szCs w:val="24"/>
          <w:shd w:val="clear" w:color="auto" w:fill="FFFFFF"/>
        </w:rPr>
        <w:t xml:space="preserve">potential </w:t>
      </w:r>
      <w:r w:rsidR="00E26788" w:rsidRPr="007721FB">
        <w:rPr>
          <w:rFonts w:ascii="Times New Roman" w:hAnsi="Times New Roman" w:cs="Times New Roman"/>
          <w:sz w:val="24"/>
          <w:szCs w:val="24"/>
          <w:shd w:val="clear" w:color="auto" w:fill="FFFFFF"/>
        </w:rPr>
        <w:t>for</w:t>
      </w:r>
      <w:r w:rsidR="00F7755E" w:rsidRPr="007721FB">
        <w:rPr>
          <w:rFonts w:ascii="Times New Roman" w:hAnsi="Times New Roman" w:cs="Times New Roman"/>
          <w:sz w:val="24"/>
          <w:szCs w:val="24"/>
          <w:shd w:val="clear" w:color="auto" w:fill="FFFFFF"/>
        </w:rPr>
        <w:t xml:space="preserve"> bone therap</w:t>
      </w:r>
      <w:r w:rsidR="00E26788" w:rsidRPr="007721FB">
        <w:rPr>
          <w:rFonts w:ascii="Times New Roman" w:hAnsi="Times New Roman" w:cs="Times New Roman"/>
          <w:sz w:val="24"/>
          <w:szCs w:val="24"/>
          <w:shd w:val="clear" w:color="auto" w:fill="FFFFFF"/>
        </w:rPr>
        <w:t>y</w:t>
      </w:r>
      <w:r w:rsidR="00513125" w:rsidRPr="007721FB">
        <w:rPr>
          <w:rFonts w:ascii="Times New Roman" w:hAnsi="Times New Roman" w:cs="Times New Roman"/>
          <w:sz w:val="24"/>
          <w:szCs w:val="24"/>
          <w:shd w:val="clear" w:color="auto" w:fill="FFFFFF"/>
        </w:rPr>
        <w:t xml:space="preserve"> may vary with</w:t>
      </w:r>
      <w:r w:rsidR="00757337" w:rsidRPr="007721FB">
        <w:rPr>
          <w:rFonts w:ascii="Times New Roman" w:hAnsi="Times New Roman" w:cs="Times New Roman"/>
          <w:sz w:val="24"/>
          <w:szCs w:val="24"/>
          <w:shd w:val="clear" w:color="auto" w:fill="FFFFFF"/>
        </w:rPr>
        <w:t xml:space="preserve"> </w:t>
      </w:r>
      <w:r w:rsidR="00F7755E" w:rsidRPr="007721FB">
        <w:rPr>
          <w:rFonts w:ascii="Times New Roman" w:hAnsi="Times New Roman" w:cs="Times New Roman"/>
          <w:sz w:val="24"/>
          <w:szCs w:val="24"/>
          <w:shd w:val="clear" w:color="auto" w:fill="FFFFFF"/>
        </w:rPr>
        <w:t xml:space="preserve">a multitude of factors, ranging from </w:t>
      </w:r>
      <w:r w:rsidR="00757337" w:rsidRPr="007721FB">
        <w:rPr>
          <w:rFonts w:ascii="Times New Roman" w:hAnsi="Times New Roman" w:cs="Times New Roman"/>
          <w:sz w:val="24"/>
          <w:szCs w:val="24"/>
          <w:shd w:val="clear" w:color="auto" w:fill="FFFFFF"/>
        </w:rPr>
        <w:t xml:space="preserve">medical history of previous treatments, site of application, type of fracture or nature of bone loss, treatment </w:t>
      </w:r>
      <w:r w:rsidR="005A76AE" w:rsidRPr="007721FB">
        <w:rPr>
          <w:rFonts w:ascii="Times New Roman" w:hAnsi="Times New Roman" w:cs="Times New Roman"/>
          <w:sz w:val="24"/>
          <w:szCs w:val="24"/>
          <w:shd w:val="clear" w:color="auto" w:fill="FFFFFF"/>
        </w:rPr>
        <w:t xml:space="preserve">regime </w:t>
      </w:r>
      <w:r w:rsidR="00E26788" w:rsidRPr="007721FB">
        <w:rPr>
          <w:rFonts w:ascii="Times New Roman" w:hAnsi="Times New Roman" w:cs="Times New Roman"/>
          <w:sz w:val="24"/>
          <w:szCs w:val="24"/>
          <w:shd w:val="clear" w:color="auto" w:fill="FFFFFF"/>
        </w:rPr>
        <w:t>and</w:t>
      </w:r>
      <w:r w:rsidR="005A76AE" w:rsidRPr="007721FB">
        <w:rPr>
          <w:rFonts w:ascii="Times New Roman" w:hAnsi="Times New Roman" w:cs="Times New Roman"/>
          <w:sz w:val="24"/>
          <w:szCs w:val="24"/>
          <w:shd w:val="clear" w:color="auto" w:fill="FFFFFF"/>
        </w:rPr>
        <w:t xml:space="preserve"> patients</w:t>
      </w:r>
      <w:r w:rsidR="00757337" w:rsidRPr="007721FB">
        <w:rPr>
          <w:rFonts w:ascii="Times New Roman" w:hAnsi="Times New Roman" w:cs="Times New Roman"/>
          <w:sz w:val="24"/>
          <w:szCs w:val="24"/>
          <w:shd w:val="clear" w:color="auto" w:fill="FFFFFF"/>
        </w:rPr>
        <w:t xml:space="preserve"> age</w:t>
      </w:r>
      <w:r w:rsidR="00262500" w:rsidRPr="007721FB">
        <w:rPr>
          <w:rFonts w:ascii="Times New Roman" w:hAnsi="Times New Roman" w:cs="Times New Roman"/>
          <w:sz w:val="24"/>
          <w:szCs w:val="24"/>
          <w:shd w:val="clear" w:color="auto" w:fill="FFFFFF"/>
        </w:rPr>
        <w:t xml:space="preserve"> </w:t>
      </w:r>
      <w:r w:rsidR="00F7755E" w:rsidRPr="007721FB">
        <w:rPr>
          <w:rFonts w:ascii="Times New Roman" w:hAnsi="Times New Roman" w:cs="Times New Roman"/>
          <w:sz w:val="24"/>
          <w:szCs w:val="24"/>
          <w:shd w:val="clear" w:color="auto" w:fill="FFFFFF"/>
        </w:rPr>
        <w:fldChar w:fldCharType="begin" w:fldLock="1"/>
      </w:r>
      <w:r w:rsidR="00B31E12" w:rsidRPr="007721FB">
        <w:rPr>
          <w:rFonts w:ascii="Times New Roman" w:hAnsi="Times New Roman" w:cs="Times New Roman"/>
          <w:sz w:val="24"/>
          <w:szCs w:val="24"/>
          <w:shd w:val="clear" w:color="auto" w:fill="FFFFFF"/>
        </w:rPr>
        <w:instrText>ADDIN CSL_CITATION { "citationItems" : [ { "id" : "ITEM-1", "itemData" : { "DOI" : "10.1016/j.ultrasmedbio.2016.08.012", "ISSN" : "03015629", "author" : [ { "dropping-particle" : "", "family" : "Puts", "given" : "Regina", "non-dropping-particle" : "", "parse-names" : false, "suffix" : "" }, { "dropping-particle" : "", "family" : "Albers", "given" : "Josefine", "non-dropping-particle" : "", "parse-names" : false, "suffix" : "" }, { "dropping-particle" : "", "family" : "Kadow-Romacker", "given" : "Anke", "non-dropping-particle" : "", "parse-names" : false, "suffix" : "" }, { "dropping-particle" : "", "family" : "Geissler", "given" : "Sven", "non-dropping-particle" : "", "parse-names" : false, "suffix" : "" }, { "dropping-particle" : "", "family" : "Raum", "given" : "Kay", "non-dropping-particle" : "", "parse-names" : false, "suffix" : "" } ], "container-title" : "Ultrasound in Medicine &amp; Biology", "id" : "ITEM-1", "issue" : "12", "issued" : { "date-parts" : [ [ "2016" ] ] }, "page" : "2965-2974", "title" : "Influence of Donor Age and Stimulation Intensity on Osteogenic Differentiation of Rat Mesenchymal Stromal Cells in Response to Focused Low-Intensity Pulsed Ultrasound", "type" : "article-journal", "volume" : "42" }, "uris" : [ "http://www.mendeley.com/documents/?uuid=5aac8286-16c6-422b-93db-82e3176ce6b6", "http://www.mendeley.com/documents/?uuid=07fb9f04-8338-4da2-baf9-f5351fdf2217" ] } ], "mendeley" : { "formattedCitation" : "[97]", "plainTextFormattedCitation" : "[97]", "previouslyFormattedCitation" : "[97]" }, "properties" : { "noteIndex" : 0 }, "schema" : "https://github.com/citation-style-language/schema/raw/master/csl-citation.json" }</w:instrText>
      </w:r>
      <w:r w:rsidR="00F7755E" w:rsidRPr="007721FB">
        <w:rPr>
          <w:rFonts w:ascii="Times New Roman" w:hAnsi="Times New Roman" w:cs="Times New Roman"/>
          <w:sz w:val="24"/>
          <w:szCs w:val="24"/>
          <w:shd w:val="clear" w:color="auto" w:fill="FFFFFF"/>
        </w:rPr>
        <w:fldChar w:fldCharType="separate"/>
      </w:r>
      <w:r w:rsidR="00B31E12" w:rsidRPr="007721FB">
        <w:rPr>
          <w:rFonts w:ascii="Times New Roman" w:hAnsi="Times New Roman" w:cs="Times New Roman"/>
          <w:noProof/>
          <w:sz w:val="24"/>
          <w:szCs w:val="24"/>
          <w:shd w:val="clear" w:color="auto" w:fill="FFFFFF"/>
        </w:rPr>
        <w:t>[97]</w:t>
      </w:r>
      <w:r w:rsidR="00F7755E" w:rsidRPr="007721FB">
        <w:rPr>
          <w:rFonts w:ascii="Times New Roman" w:hAnsi="Times New Roman" w:cs="Times New Roman"/>
          <w:sz w:val="24"/>
          <w:szCs w:val="24"/>
          <w:shd w:val="clear" w:color="auto" w:fill="FFFFFF"/>
        </w:rPr>
        <w:fldChar w:fldCharType="end"/>
      </w:r>
      <w:r w:rsidR="00262500" w:rsidRPr="007721FB">
        <w:rPr>
          <w:rFonts w:ascii="Times New Roman" w:hAnsi="Times New Roman" w:cs="Times New Roman"/>
          <w:sz w:val="24"/>
          <w:szCs w:val="24"/>
          <w:shd w:val="clear" w:color="auto" w:fill="FFFFFF"/>
        </w:rPr>
        <w:t>.</w:t>
      </w:r>
    </w:p>
    <w:p w14:paraId="212C8A68" w14:textId="77777777" w:rsidR="00262500" w:rsidRPr="007721FB" w:rsidRDefault="00262500" w:rsidP="00D867DF">
      <w:pPr>
        <w:spacing w:after="0" w:line="240" w:lineRule="auto"/>
        <w:jc w:val="both"/>
        <w:rPr>
          <w:rFonts w:ascii="Times New Roman" w:hAnsi="Times New Roman" w:cs="Times New Roman"/>
          <w:sz w:val="24"/>
          <w:szCs w:val="24"/>
          <w:shd w:val="clear" w:color="auto" w:fill="FFFFFF"/>
        </w:rPr>
      </w:pPr>
    </w:p>
    <w:p w14:paraId="18D8BB05" w14:textId="50A5B6FE" w:rsidR="00491A41" w:rsidRPr="007721FB" w:rsidRDefault="00491A41" w:rsidP="00491A41">
      <w:pPr>
        <w:pStyle w:val="Cabealho2"/>
        <w:spacing w:before="0" w:after="120" w:line="240" w:lineRule="auto"/>
        <w:rPr>
          <w:rFonts w:ascii="Times New Roman" w:hAnsi="Times New Roman" w:cs="Times New Roman"/>
          <w:b/>
          <w:color w:val="auto"/>
          <w:sz w:val="24"/>
          <w:szCs w:val="24"/>
        </w:rPr>
      </w:pPr>
      <w:r w:rsidRPr="007721FB">
        <w:rPr>
          <w:rFonts w:ascii="Times New Roman" w:hAnsi="Times New Roman" w:cs="Times New Roman"/>
          <w:b/>
          <w:color w:val="auto"/>
          <w:sz w:val="24"/>
          <w:szCs w:val="24"/>
        </w:rPr>
        <w:t>3.4. Magnetic</w:t>
      </w:r>
      <w:r w:rsidR="005C35EB" w:rsidRPr="007721FB">
        <w:rPr>
          <w:rFonts w:ascii="Times New Roman" w:hAnsi="Times New Roman" w:cs="Times New Roman"/>
          <w:b/>
          <w:color w:val="auto"/>
          <w:sz w:val="24"/>
          <w:szCs w:val="24"/>
        </w:rPr>
        <w:t>-</w:t>
      </w:r>
      <w:r w:rsidRPr="007721FB">
        <w:rPr>
          <w:rFonts w:ascii="Times New Roman" w:hAnsi="Times New Roman" w:cs="Times New Roman"/>
          <w:b/>
          <w:color w:val="auto"/>
          <w:sz w:val="24"/>
          <w:szCs w:val="24"/>
        </w:rPr>
        <w:t>responsive nanocarriers</w:t>
      </w:r>
    </w:p>
    <w:p w14:paraId="34A124B7" w14:textId="1CF27F4F" w:rsidR="00465E99" w:rsidRPr="007721FB" w:rsidRDefault="00491A41" w:rsidP="00491A41">
      <w:pPr>
        <w:spacing w:after="0" w:line="240" w:lineRule="auto"/>
        <w:jc w:val="both"/>
        <w:rPr>
          <w:rFonts w:ascii="Times New Roman" w:hAnsi="Times New Roman" w:cs="Times New Roman"/>
          <w:sz w:val="24"/>
          <w:szCs w:val="24"/>
        </w:rPr>
      </w:pPr>
      <w:r w:rsidRPr="007721FB">
        <w:rPr>
          <w:rFonts w:ascii="Times New Roman" w:hAnsi="Times New Roman" w:cs="Times New Roman"/>
          <w:sz w:val="24"/>
          <w:szCs w:val="24"/>
        </w:rPr>
        <w:t xml:space="preserve">   Magnetic-responsive nanoparticles </w:t>
      </w:r>
      <w:r w:rsidR="001D28EC" w:rsidRPr="007721FB">
        <w:rPr>
          <w:rFonts w:ascii="Times New Roman" w:hAnsi="Times New Roman" w:cs="Times New Roman"/>
          <w:sz w:val="24"/>
          <w:szCs w:val="24"/>
        </w:rPr>
        <w:t>respond to magnetic fields and find application in various areas including</w:t>
      </w:r>
      <w:r w:rsidR="00D1130A" w:rsidRPr="007721FB">
        <w:rPr>
          <w:rFonts w:ascii="Times New Roman" w:hAnsi="Times New Roman" w:cs="Times New Roman"/>
          <w:sz w:val="24"/>
          <w:szCs w:val="24"/>
        </w:rPr>
        <w:t xml:space="preserve"> </w:t>
      </w:r>
      <w:r w:rsidR="00973316" w:rsidRPr="007721FB">
        <w:rPr>
          <w:rFonts w:ascii="Times New Roman" w:hAnsi="Times New Roman" w:cs="Times New Roman"/>
          <w:sz w:val="24"/>
          <w:szCs w:val="24"/>
        </w:rPr>
        <w:t>b</w:t>
      </w:r>
      <w:r w:rsidR="000B3212" w:rsidRPr="007721FB">
        <w:rPr>
          <w:rFonts w:ascii="Times New Roman" w:hAnsi="Times New Roman" w:cs="Times New Roman"/>
          <w:sz w:val="24"/>
          <w:szCs w:val="24"/>
        </w:rPr>
        <w:t>ioimaging</w:t>
      </w:r>
      <w:r w:rsidR="00D1130A" w:rsidRPr="007721FB">
        <w:rPr>
          <w:rFonts w:ascii="Times New Roman" w:hAnsi="Times New Roman" w:cs="Times New Roman"/>
          <w:sz w:val="24"/>
          <w:szCs w:val="24"/>
        </w:rPr>
        <w:t xml:space="preserve"> </w:t>
      </w:r>
      <w:r w:rsidR="00973316" w:rsidRPr="007721FB">
        <w:rPr>
          <w:rFonts w:ascii="Times New Roman" w:hAnsi="Times New Roman" w:cs="Times New Roman"/>
          <w:sz w:val="24"/>
          <w:szCs w:val="24"/>
        </w:rPr>
        <w:t xml:space="preserve">namely through magnetic </w:t>
      </w:r>
      <w:r w:rsidRPr="007721FB">
        <w:rPr>
          <w:rFonts w:ascii="Times New Roman" w:hAnsi="Times New Roman" w:cs="Times New Roman"/>
          <w:sz w:val="24"/>
          <w:szCs w:val="24"/>
        </w:rPr>
        <w:t>resonance imaging</w:t>
      </w:r>
      <w:r w:rsidR="002216E9" w:rsidRPr="007721FB">
        <w:rPr>
          <w:rFonts w:ascii="Times New Roman" w:hAnsi="Times New Roman" w:cs="Times New Roman"/>
          <w:sz w:val="24"/>
          <w:szCs w:val="24"/>
        </w:rPr>
        <w:t xml:space="preserve"> (MRI) and </w:t>
      </w:r>
      <w:r w:rsidR="00973316" w:rsidRPr="007721FB">
        <w:rPr>
          <w:rFonts w:ascii="Times New Roman" w:hAnsi="Times New Roman" w:cs="Times New Roman"/>
          <w:sz w:val="24"/>
          <w:szCs w:val="24"/>
        </w:rPr>
        <w:t>as guidance systems that allow ce</w:t>
      </w:r>
      <w:r w:rsidR="00D1130A" w:rsidRPr="007721FB">
        <w:rPr>
          <w:rFonts w:ascii="Times New Roman" w:hAnsi="Times New Roman" w:cs="Times New Roman"/>
          <w:sz w:val="24"/>
          <w:szCs w:val="24"/>
        </w:rPr>
        <w:t xml:space="preserve">ll or </w:t>
      </w:r>
      <w:r w:rsidR="000B3212" w:rsidRPr="007721FB">
        <w:rPr>
          <w:rFonts w:ascii="Times New Roman" w:hAnsi="Times New Roman" w:cs="Times New Roman"/>
          <w:sz w:val="24"/>
          <w:szCs w:val="24"/>
        </w:rPr>
        <w:t xml:space="preserve">particle </w:t>
      </w:r>
      <w:r w:rsidR="00D1130A" w:rsidRPr="007721FB">
        <w:rPr>
          <w:rFonts w:ascii="Times New Roman" w:hAnsi="Times New Roman" w:cs="Times New Roman"/>
          <w:sz w:val="24"/>
          <w:szCs w:val="24"/>
        </w:rPr>
        <w:t>magnetic guidance</w:t>
      </w:r>
      <w:r w:rsidR="00973316" w:rsidRPr="007721FB">
        <w:rPr>
          <w:rFonts w:ascii="Times New Roman" w:hAnsi="Times New Roman" w:cs="Times New Roman"/>
          <w:sz w:val="24"/>
          <w:szCs w:val="24"/>
        </w:rPr>
        <w:t>.</w:t>
      </w:r>
      <w:r w:rsidRPr="007721FB">
        <w:rPr>
          <w:rFonts w:ascii="Times New Roman" w:hAnsi="Times New Roman" w:cs="Times New Roman"/>
          <w:sz w:val="24"/>
          <w:szCs w:val="24"/>
        </w:rPr>
        <w:t xml:space="preserve"> </w:t>
      </w:r>
      <w:r w:rsidR="00973316" w:rsidRPr="007721FB">
        <w:rPr>
          <w:rFonts w:ascii="Times New Roman" w:hAnsi="Times New Roman" w:cs="Times New Roman"/>
          <w:sz w:val="24"/>
          <w:szCs w:val="24"/>
        </w:rPr>
        <w:t xml:space="preserve">In this approach, magnetic forces are used to move nanocarriers towards the intended anatomical sites </w:t>
      </w:r>
      <w:r w:rsidR="00973316" w:rsidRPr="007721FB">
        <w:rPr>
          <w:rFonts w:ascii="Times New Roman" w:hAnsi="Times New Roman" w:cs="Times New Roman"/>
          <w:sz w:val="24"/>
          <w:szCs w:val="24"/>
        </w:rPr>
        <w:fldChar w:fldCharType="begin" w:fldLock="1"/>
      </w:r>
      <w:r w:rsidR="00973316" w:rsidRPr="007721FB">
        <w:rPr>
          <w:rFonts w:ascii="Times New Roman" w:hAnsi="Times New Roman" w:cs="Times New Roman"/>
          <w:sz w:val="24"/>
          <w:szCs w:val="24"/>
        </w:rPr>
        <w:instrText>ADDIN CSL_CITATION { "citationItems" : [ { "id" : "ITEM-1", "itemData" : { "DOI" : "10.1038/NMAT3776", "ISBN" : "1476-1122 (Print)\\r1476-1122 (Linking)", "ISSN" : "1476-1122", "PMID" : "24150417", "abstract" : "Spurred by recent progress in materials chemistry and drug delivery, stimuli-responsive devices that deliver a drug in spatial-, temporal-and dosage-controlled fashions have become possible. Implementation of such devices requires the use of biocompatible materials that are susceptible to a specific physical incitement or that, in response to a specific stimulus, undergo a protonation, a hydrolytic cleavage or a (supra) molecular conformational change. In this Review, we discuss recent advances in the design of nanoscale stimuli-responsive systems that are able to control drug biodistribution in response to specific stimuli, either exogenous (variations in temperature, magnetic field, ultrasound intensity, light or electric pulses) or endogenous (changes in pH, enzyme concentration or redox gradients).", "author" : [ { "dropping-particle" : "", "family" : "Mura", "given" : "Simona", "non-dropping-particle" : "", "parse-names" : false, "suffix" : "" }, { "dropping-particle" : "", "family" : "Nicolas", "given" : "Julien", "non-dropping-particle" : "", "parse-names" : false, "suffix" : "" }, { "dropping-particle" : "", "family" : "Couvreur", "given" : "Patrick", "non-dropping-particle" : "", "parse-names" : false, "suffix" : "" } ], "container-title" : "Nature Materials", "id" : "ITEM-1", "issue" : "11", "issued" : { "date-parts" : [ [ "2013" ] ] }, "page" : "991-1003", "publisher" : "Nature Publishing Group", "title" : "Stimuli-responsive nanocarriers for drug delivery", "type" : "article-journal", "volume" : "12" }, "uris" : [ "http://www.mendeley.com/documents/?uuid=ed9334db-2ea4-434c-a81e-73d3c218823f", "http://www.mendeley.com/documents/?uuid=89a4a394-f260-4f82-b443-d41d8cdf09ef" ] } ], "mendeley" : { "formattedCitation" : "[20]", "plainTextFormattedCitation" : "[20]", "previouslyFormattedCitation" : "[20]" }, "properties" : { "noteIndex" : 0 }, "schema" : "https://github.com/citation-style-language/schema/raw/master/csl-citation.json" }</w:instrText>
      </w:r>
      <w:r w:rsidR="00973316" w:rsidRPr="007721FB">
        <w:rPr>
          <w:rFonts w:ascii="Times New Roman" w:hAnsi="Times New Roman" w:cs="Times New Roman"/>
          <w:sz w:val="24"/>
          <w:szCs w:val="24"/>
        </w:rPr>
        <w:fldChar w:fldCharType="separate"/>
      </w:r>
      <w:r w:rsidR="00973316" w:rsidRPr="007721FB">
        <w:rPr>
          <w:rFonts w:ascii="Times New Roman" w:hAnsi="Times New Roman" w:cs="Times New Roman"/>
          <w:noProof/>
          <w:sz w:val="24"/>
          <w:szCs w:val="24"/>
        </w:rPr>
        <w:t>[20]</w:t>
      </w:r>
      <w:r w:rsidR="00973316" w:rsidRPr="007721FB">
        <w:rPr>
          <w:rFonts w:ascii="Times New Roman" w:hAnsi="Times New Roman" w:cs="Times New Roman"/>
          <w:sz w:val="24"/>
          <w:szCs w:val="24"/>
        </w:rPr>
        <w:fldChar w:fldCharType="end"/>
      </w:r>
      <w:r w:rsidR="002216E9" w:rsidRPr="007721FB">
        <w:rPr>
          <w:rFonts w:ascii="Times New Roman" w:hAnsi="Times New Roman" w:cs="Times New Roman"/>
          <w:sz w:val="24"/>
          <w:szCs w:val="24"/>
        </w:rPr>
        <w:t>.</w:t>
      </w:r>
      <w:r w:rsidR="00973316" w:rsidRPr="007721FB">
        <w:rPr>
          <w:rFonts w:ascii="Times New Roman" w:hAnsi="Times New Roman" w:cs="Times New Roman"/>
          <w:sz w:val="24"/>
          <w:szCs w:val="24"/>
        </w:rPr>
        <w:t xml:space="preserve"> </w:t>
      </w:r>
      <w:r w:rsidRPr="007721FB">
        <w:rPr>
          <w:rFonts w:ascii="Times New Roman" w:hAnsi="Times New Roman" w:cs="Times New Roman"/>
          <w:sz w:val="24"/>
          <w:szCs w:val="24"/>
        </w:rPr>
        <w:t>Then, the locally increased drug concentration due to nanocarrier retention is expected to translate into sustained dose</w:t>
      </w:r>
      <w:r w:rsidR="002216E9" w:rsidRPr="007721FB">
        <w:rPr>
          <w:rFonts w:ascii="Times New Roman" w:hAnsi="Times New Roman" w:cs="Times New Roman"/>
          <w:sz w:val="24"/>
          <w:szCs w:val="24"/>
        </w:rPr>
        <w:t>s</w:t>
      </w:r>
      <w:r w:rsidRPr="007721FB">
        <w:rPr>
          <w:rFonts w:ascii="Times New Roman" w:hAnsi="Times New Roman" w:cs="Times New Roman"/>
          <w:sz w:val="24"/>
          <w:szCs w:val="24"/>
        </w:rPr>
        <w:t xml:space="preserve"> </w:t>
      </w:r>
      <w:r w:rsidR="002216E9" w:rsidRPr="007721FB">
        <w:rPr>
          <w:rFonts w:ascii="Times New Roman" w:hAnsi="Times New Roman" w:cs="Times New Roman"/>
          <w:sz w:val="24"/>
          <w:szCs w:val="24"/>
        </w:rPr>
        <w:t xml:space="preserve">released </w:t>
      </w:r>
      <w:r w:rsidRPr="007721FB">
        <w:rPr>
          <w:rFonts w:ascii="Times New Roman" w:hAnsi="Times New Roman" w:cs="Times New Roman"/>
          <w:sz w:val="24"/>
          <w:szCs w:val="24"/>
        </w:rPr>
        <w:t>within the therapeutic window. However,</w:t>
      </w:r>
      <w:r w:rsidR="002216E9" w:rsidRPr="007721FB">
        <w:rPr>
          <w:rFonts w:ascii="Times New Roman" w:hAnsi="Times New Roman" w:cs="Times New Roman"/>
          <w:sz w:val="24"/>
          <w:szCs w:val="24"/>
        </w:rPr>
        <w:t xml:space="preserve"> this strategy is always dependent on the passive release of therapeutics from carriers. Moreover, </w:t>
      </w:r>
      <w:r w:rsidRPr="007721FB">
        <w:rPr>
          <w:rFonts w:ascii="Times New Roman" w:hAnsi="Times New Roman" w:cs="Times New Roman"/>
          <w:sz w:val="24"/>
          <w:szCs w:val="24"/>
        </w:rPr>
        <w:t>because this guidance requires a localized</w:t>
      </w:r>
      <w:r w:rsidR="00874297" w:rsidRPr="007721FB">
        <w:rPr>
          <w:rFonts w:ascii="Times New Roman" w:hAnsi="Times New Roman" w:cs="Times New Roman"/>
          <w:sz w:val="24"/>
          <w:szCs w:val="24"/>
        </w:rPr>
        <w:t xml:space="preserve"> magnetic force</w:t>
      </w:r>
      <w:r w:rsidRPr="007721FB">
        <w:rPr>
          <w:rFonts w:ascii="Times New Roman" w:hAnsi="Times New Roman" w:cs="Times New Roman"/>
          <w:sz w:val="24"/>
          <w:szCs w:val="24"/>
        </w:rPr>
        <w:t xml:space="preserve">, this approach is not very promising for the treatment of systemic bone disorders such as osteoporosis, that logically require a widespread delivery to bone tissues. Nevertheless, </w:t>
      </w:r>
      <w:r w:rsidR="00035A78" w:rsidRPr="007721FB">
        <w:rPr>
          <w:rFonts w:ascii="Times New Roman" w:hAnsi="Times New Roman" w:cs="Times New Roman"/>
          <w:sz w:val="24"/>
          <w:szCs w:val="24"/>
        </w:rPr>
        <w:t>magnetic delivery systems</w:t>
      </w:r>
      <w:r w:rsidRPr="007721FB">
        <w:rPr>
          <w:rFonts w:ascii="Times New Roman" w:hAnsi="Times New Roman" w:cs="Times New Roman"/>
          <w:sz w:val="24"/>
          <w:szCs w:val="24"/>
        </w:rPr>
        <w:t xml:space="preserve"> may be valuable to direct </w:t>
      </w:r>
      <w:r w:rsidR="00035A78" w:rsidRPr="007721FB">
        <w:rPr>
          <w:rFonts w:ascii="Times New Roman" w:hAnsi="Times New Roman" w:cs="Times New Roman"/>
          <w:sz w:val="24"/>
          <w:szCs w:val="24"/>
        </w:rPr>
        <w:t>chemotherapeutics</w:t>
      </w:r>
      <w:r w:rsidRPr="007721FB">
        <w:rPr>
          <w:rFonts w:ascii="Times New Roman" w:hAnsi="Times New Roman" w:cs="Times New Roman"/>
          <w:sz w:val="24"/>
          <w:szCs w:val="24"/>
        </w:rPr>
        <w:t xml:space="preserve"> toward target </w:t>
      </w:r>
      <w:r w:rsidR="00874297" w:rsidRPr="007721FB">
        <w:rPr>
          <w:rFonts w:ascii="Times New Roman" w:hAnsi="Times New Roman" w:cs="Times New Roman"/>
          <w:sz w:val="24"/>
          <w:szCs w:val="24"/>
        </w:rPr>
        <w:t>osteosarcoma tumor hotspots</w:t>
      </w:r>
      <w:r w:rsidRPr="007721FB">
        <w:rPr>
          <w:rFonts w:ascii="Times New Roman" w:hAnsi="Times New Roman" w:cs="Times New Roman"/>
          <w:sz w:val="24"/>
          <w:szCs w:val="24"/>
        </w:rPr>
        <w:t xml:space="preserve"> and achieve localized malignant cells ablation </w:t>
      </w:r>
      <w:r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"DOI" : "10.1089/cbr.2007.352", "ISBN" : "1084-9785 (Print)\\r1084-9785 (Linking)", "ISSN" : "1084-9785", "PMID" : "18158768", "abstract" : "The present study was to investigate the therapeutic efficacy of the magnetic arsenic trioxide (ATO) nanoparticles against osteosarcoma in vivo tumor models. ATO was incorporated in the magnetic nanoparticles and encapsulated by poly lactic acid. Human MG-63 osteosarcoma cells were injected subcutaneously into the nude mice. After 15 days, the mice were randomly assigned to the four groups (n=6 mice): group 1: control, saline only (10 mL kg(-1) day(-1), intravenously (i.v.)); group 2: ATO alone (5 mg kg(-1) day(-1), i.v.); group 3: magnetic ATO nanoparticles at a dose equivalent to 50% of the ATO alone, with an external magnetic field on the tumor; group 4: CDDP, cisplatin (5 mg kg(-1) day(-1), i.v.). The mice were sacrificed after 21 days. In vitro release profiles showed that ATO was released rapidly from the nanoparticles. The magnetic ATO evaluation indicated that the magnetic nanoparticles might localize under the magnet in vivo. The tumor volume examination showed that the treatment with magnetic ATO nanoparticles achieved the similar inhibition effect on osteosarcoma as that of CDDP or ATO alone. Electron microscopic features typical of apoptosis were identified in the tumor tissue with the three-drug treatment. This \"magnetic ATO targeting\" offers an opportunity to treat osteosarcoma with a lower dose.", "author" : [ { "dropping-particle" : "", "family" : "Li", "given" : "Xue-Song", "non-dropping-particle" : "", "parse-names" : false, "suffix" : "" }, { "dropping-particle" : "", "family" : "Li", "given" : "Wei-Qing", "non-dropping-particle" : "", "parse-names" : false, "suffix" : "" }, { "dropping-particle" : "", "family" : "Wang", "given" : "Wen-Bo", "non-dropping-particle" : "", "parse-names" : false, "suffix" : "" } ], "container-title" : "Cancer biotherapy &amp; radiopharmaceuticals", "id" : "ITEM-1", "issue" : "6", "issued" : { "date-parts" : [ [ "2007" ] ] }, "page" : "772-8", "title" : "Using targeted magnetic arsenic trioxide nanoparticles for osteosarcoma treatment.", "type" : "article-journal", "volume" : "22" }, "uris" : [ "http://www.mendeley.com/documents/?uuid=7a433fb5-eafd-4f14-8a5f-06bae1746e0d", "http://www.mendeley.com/documents/?uuid=55ff7def-d12b-45ca-af73-5ec0e15c10c6" ] } ], "mendeley" : { "formattedCitation" : "[98]", "plainTextFormattedCitation" : "[98]", "previouslyFormattedCitation" : "[98]" }, "properties" : { "noteIndex" : 0 }, "schema" : "https://github.com/citation-style-language/schema/raw/master/csl-citation.json" }</w:instrText>
      </w:r>
      <w:r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[98]</w:t>
      </w:r>
      <w:r w:rsidRPr="007721FB">
        <w:rPr>
          <w:rFonts w:ascii="Times New Roman" w:hAnsi="Times New Roman" w:cs="Times New Roman"/>
          <w:sz w:val="24"/>
          <w:szCs w:val="24"/>
        </w:rPr>
        <w:fldChar w:fldCharType="end"/>
      </w:r>
      <w:r w:rsidR="00874297" w:rsidRPr="007721FB">
        <w:rPr>
          <w:rFonts w:ascii="Times New Roman" w:hAnsi="Times New Roman" w:cs="Times New Roman"/>
          <w:sz w:val="24"/>
          <w:szCs w:val="24"/>
        </w:rPr>
        <w:t>. In the context of bone regeneration</w:t>
      </w:r>
      <w:r w:rsidR="00B0121C" w:rsidRPr="007721FB">
        <w:rPr>
          <w:rFonts w:ascii="Times New Roman" w:hAnsi="Times New Roman" w:cs="Times New Roman"/>
          <w:sz w:val="24"/>
          <w:szCs w:val="24"/>
        </w:rPr>
        <w:t>,</w:t>
      </w:r>
      <w:r w:rsidR="00035A78" w:rsidRPr="007721FB">
        <w:rPr>
          <w:rFonts w:ascii="Times New Roman" w:hAnsi="Times New Roman" w:cs="Times New Roman"/>
          <w:sz w:val="24"/>
          <w:szCs w:val="24"/>
        </w:rPr>
        <w:t xml:space="preserve"> </w:t>
      </w:r>
      <w:r w:rsidR="00874297" w:rsidRPr="007721FB">
        <w:rPr>
          <w:rFonts w:ascii="Times New Roman" w:hAnsi="Times New Roman" w:cs="Times New Roman"/>
          <w:sz w:val="24"/>
          <w:szCs w:val="24"/>
        </w:rPr>
        <w:t>particles can be directed to</w:t>
      </w:r>
      <w:r w:rsidRPr="007721FB">
        <w:rPr>
          <w:rFonts w:ascii="Times New Roman" w:hAnsi="Times New Roman" w:cs="Times New Roman"/>
          <w:sz w:val="24"/>
          <w:szCs w:val="24"/>
        </w:rPr>
        <w:t xml:space="preserve"> localized defects</w:t>
      </w:r>
      <w:r w:rsidR="00874297" w:rsidRPr="007721FB">
        <w:rPr>
          <w:rFonts w:ascii="Times New Roman" w:hAnsi="Times New Roman" w:cs="Times New Roman"/>
          <w:sz w:val="24"/>
          <w:szCs w:val="24"/>
        </w:rPr>
        <w:t xml:space="preserve"> such as fractures and be used to deliver bioactive molecules that prompt regeneration and the development of fully functional tissue</w:t>
      </w:r>
      <w:r w:rsidRPr="007721FB">
        <w:rPr>
          <w:rFonts w:ascii="Times New Roman" w:hAnsi="Times New Roman" w:cs="Times New Roman"/>
          <w:sz w:val="24"/>
          <w:szCs w:val="24"/>
        </w:rPr>
        <w:t xml:space="preserve"> </w:t>
      </w:r>
      <w:r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"DOI" : "10.1002/jbm.a.10002", "ISBN" : "1549-3296 (Print)\\r1549-3296 (Linking)", "ISSN" : "1549-3296", "PMID" : "12926025", "abstract" : "Small-sized magnetic liposomes with incorporated recombinant human bone morphogenetic protein-2 (rhBMP-2) were prepared, and the efficiency for bone formation after topical injection was evaluated in a rat bone-defect model. A critical-sized segmental bone defect was created in the mid-part of the femoral shaft, and a permanent magnet was attached. Topical injection onto the defects was performed with different liposomal preparations (nonmagnetic and magnetic liposomes) using different treatment modalities (different doses and different treatment timing of rhBMP-2). Weekly evaluations were made radiographically and microcomputed tomographically, histologically, and/or by mechanical testing at 9 weeks after surgery. A single topical application of magnetic liposomes with an appropriate amount of rhBMP-2 (approximately 3 microg) incorporated under magnetic induction immediately after surgery was effective for new bone formation. The combined treatment of topical magnetic rhBMP-2 liposomes and magnetic implantation at the injury site was effective for the treatment of bone defects. This injectable carrier for BMP is expected to have many advantages over solid carriers because it can be prepared easily and can be less invasively applied to the injured site at any time after surgery.", "author" : [ { "dropping-particle" : "", "family" : "Matsuo", "given" : "Toshihiro", "non-dropping-particle" : "", "parse-names" : false, "suffix" : "" }, { "dropping-particle" : "", "family" : "Sugita", "given" : "Takashi", "non-dropping-particle" : "", "parse-names" : false, "suffix" : "" }, { "dropping-particle" : "", "family" : "Kubo", "given" : "Tadahiko", "non-dropping-particle" : "", "parse-names" : false, "suffix" : "" }, { "dropping-particle" : "", "family" : "Yasunaga", "given" : "Yuji", "non-dropping-particle" : "", "parse-names" : false, "suffix" : "" }, { "dropping-particle" : "", "family" : "Ochi", "given" : "Mitsuo", "non-dropping-particle" : "", "parse-names" : false, "suffix" : "" }, { "dropping-particle" : "", "family" : "Murakami", "given" : "Teruo", "non-dropping-particle" : "", "parse-names" : false, "suffix" : "" } ], "container-title" : "Journal of biomedical materials research. Part A", "id" : "ITEM-1", "issue" : "4", "issued" : { "date-parts" : [ [ "2003" ] ] }, "page" : "747-54", "title" : "Injectable magnetic liposomes as a novel carrier of recombinant human BMP-2 for bone formation in a rat bone-defect model.", "type" : "article-journal", "volume" : "66" }, "uris" : [ "http://www.mendeley.com/documents/?uuid=93f8ea15-f5c8-44ee-a6e8-c38b14b5b991", "http://www.mendeley.com/documents/?uuid=a8191da7-d922-4b63-8a35-81402808bfd1" ] } ], "mendeley" : { "formattedCitation" : "[99]", "plainTextFormattedCitation" : "[99]", "previouslyFormattedCitation" : "[99]" }, "properties" : { "noteIndex" : 0 }, "schema" : "https://github.com/citation-style-language/schema/raw/master/csl-citation.json" }</w:instrText>
      </w:r>
      <w:r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[99]</w:t>
      </w:r>
      <w:r w:rsidRPr="007721FB">
        <w:rPr>
          <w:rFonts w:ascii="Times New Roman" w:hAnsi="Times New Roman" w:cs="Times New Roman"/>
          <w:sz w:val="24"/>
          <w:szCs w:val="24"/>
        </w:rPr>
        <w:fldChar w:fldCharType="end"/>
      </w:r>
      <w:r w:rsidRPr="007721FB">
        <w:rPr>
          <w:rFonts w:ascii="Times New Roman" w:hAnsi="Times New Roman" w:cs="Times New Roman"/>
          <w:sz w:val="24"/>
          <w:szCs w:val="24"/>
        </w:rPr>
        <w:t>.</w:t>
      </w:r>
      <w:r w:rsidR="00035A78" w:rsidRPr="007721FB">
        <w:rPr>
          <w:rFonts w:ascii="Times New Roman" w:hAnsi="Times New Roman" w:cs="Times New Roman"/>
          <w:color w:val="000000"/>
          <w:sz w:val="24"/>
          <w:szCs w:val="24"/>
          <w:shd w:val="clear" w:color="auto" w:fill="FFFFFF"/>
        </w:rPr>
        <w:t xml:space="preserve"> T</w:t>
      </w:r>
      <w:r w:rsidRPr="007721FB">
        <w:rPr>
          <w:rFonts w:ascii="Times New Roman" w:hAnsi="Times New Roman" w:cs="Times New Roman"/>
          <w:color w:val="000000"/>
          <w:sz w:val="24"/>
          <w:szCs w:val="24"/>
          <w:shd w:val="clear" w:color="auto" w:fill="FFFFFF"/>
        </w:rPr>
        <w:t>he design of magnetic-</w:t>
      </w:r>
      <w:r w:rsidR="001448FB" w:rsidRPr="007721FB">
        <w:rPr>
          <w:rFonts w:ascii="Times New Roman" w:hAnsi="Times New Roman" w:cs="Times New Roman"/>
          <w:color w:val="000000"/>
          <w:sz w:val="24"/>
          <w:szCs w:val="24"/>
          <w:shd w:val="clear" w:color="auto" w:fill="FFFFFF"/>
        </w:rPr>
        <w:t xml:space="preserve">responsive </w:t>
      </w:r>
      <w:r w:rsidRPr="007721FB">
        <w:rPr>
          <w:rFonts w:ascii="Times New Roman" w:hAnsi="Times New Roman" w:cs="Times New Roman"/>
          <w:color w:val="000000"/>
          <w:sz w:val="24"/>
          <w:szCs w:val="24"/>
          <w:shd w:val="clear" w:color="auto" w:fill="FFFFFF"/>
        </w:rPr>
        <w:t xml:space="preserve">drug release by nanocarriers is of uttermost importance and highly desirable to control the therapeutic effect overtime. </w:t>
      </w:r>
      <w:r w:rsidRPr="007721FB">
        <w:rPr>
          <w:rFonts w:ascii="Times New Roman" w:hAnsi="Times New Roman" w:cs="Times New Roman"/>
          <w:sz w:val="24"/>
          <w:szCs w:val="24"/>
        </w:rPr>
        <w:t xml:space="preserve">Magnetic-responsive nanocarriers </w:t>
      </w:r>
      <w:r w:rsidR="001448FB" w:rsidRPr="007721FB">
        <w:rPr>
          <w:rFonts w:ascii="Times New Roman" w:hAnsi="Times New Roman" w:cs="Times New Roman"/>
          <w:sz w:val="24"/>
          <w:szCs w:val="24"/>
        </w:rPr>
        <w:t>span</w:t>
      </w:r>
      <w:r w:rsidRPr="007721FB">
        <w:rPr>
          <w:rFonts w:ascii="Times New Roman" w:hAnsi="Times New Roman" w:cs="Times New Roman"/>
          <w:sz w:val="24"/>
          <w:szCs w:val="24"/>
        </w:rPr>
        <w:t xml:space="preserve"> beyond the scope of simply being magnetically guided, </w:t>
      </w:r>
      <w:r w:rsidR="001448FB" w:rsidRPr="007721FB">
        <w:rPr>
          <w:rFonts w:ascii="Times New Roman" w:hAnsi="Times New Roman" w:cs="Times New Roman"/>
          <w:sz w:val="24"/>
          <w:szCs w:val="24"/>
        </w:rPr>
        <w:t>since external alternating magnetic fields (AMFs) can be used to</w:t>
      </w:r>
      <w:r w:rsidRPr="007721FB">
        <w:rPr>
          <w:rFonts w:ascii="Times New Roman" w:hAnsi="Times New Roman" w:cs="Times New Roman"/>
          <w:sz w:val="24"/>
          <w:szCs w:val="24"/>
        </w:rPr>
        <w:t xml:space="preserve"> </w:t>
      </w:r>
      <w:r w:rsidR="001448FB" w:rsidRPr="007721FB">
        <w:rPr>
          <w:rFonts w:ascii="Times New Roman" w:hAnsi="Times New Roman" w:cs="Times New Roman"/>
          <w:sz w:val="24"/>
          <w:szCs w:val="24"/>
        </w:rPr>
        <w:t>disrupt</w:t>
      </w:r>
      <w:r w:rsidRPr="007721FB">
        <w:rPr>
          <w:rFonts w:ascii="Times New Roman" w:hAnsi="Times New Roman" w:cs="Times New Roman"/>
          <w:sz w:val="24"/>
          <w:szCs w:val="24"/>
        </w:rPr>
        <w:t xml:space="preserve"> their colloidal structure, thus providing</w:t>
      </w:r>
      <w:r w:rsidR="001448FB" w:rsidRPr="007721FB">
        <w:rPr>
          <w:rFonts w:ascii="Times New Roman" w:hAnsi="Times New Roman" w:cs="Times New Roman"/>
          <w:sz w:val="24"/>
          <w:szCs w:val="24"/>
        </w:rPr>
        <w:t xml:space="preserve"> the possibility to</w:t>
      </w:r>
      <w:r w:rsidRPr="007721FB">
        <w:rPr>
          <w:rFonts w:ascii="Times New Roman" w:hAnsi="Times New Roman" w:cs="Times New Roman"/>
          <w:sz w:val="24"/>
          <w:szCs w:val="24"/>
        </w:rPr>
        <w:t xml:space="preserve"> spatiotemporal</w:t>
      </w:r>
      <w:r w:rsidR="001448FB" w:rsidRPr="007721FB">
        <w:rPr>
          <w:rFonts w:ascii="Times New Roman" w:hAnsi="Times New Roman" w:cs="Times New Roman"/>
          <w:sz w:val="24"/>
          <w:szCs w:val="24"/>
        </w:rPr>
        <w:t>ly</w:t>
      </w:r>
      <w:r w:rsidRPr="007721FB">
        <w:rPr>
          <w:rFonts w:ascii="Times New Roman" w:hAnsi="Times New Roman" w:cs="Times New Roman"/>
          <w:sz w:val="24"/>
          <w:szCs w:val="24"/>
        </w:rPr>
        <w:t xml:space="preserve"> control drug release</w:t>
      </w:r>
      <w:r w:rsidR="00956E59" w:rsidRPr="007721FB">
        <w:rPr>
          <w:rFonts w:ascii="Times New Roman" w:hAnsi="Times New Roman" w:cs="Times New Roman"/>
          <w:sz w:val="24"/>
          <w:szCs w:val="24"/>
        </w:rPr>
        <w:t xml:space="preserve"> in an on-demand mode</w:t>
      </w:r>
      <w:r w:rsidRPr="007721FB">
        <w:rPr>
          <w:rFonts w:ascii="Times New Roman" w:hAnsi="Times New Roman" w:cs="Times New Roman"/>
          <w:sz w:val="24"/>
          <w:szCs w:val="24"/>
        </w:rPr>
        <w:t xml:space="preserve"> </w:t>
      </w:r>
      <w:r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"DOI" : "10.1021/acs.langmuir.5b03470", "author" : [ { "dropping-particle" : "", "family" : "Guisasola", "given" : "Eduardo", "non-dropping-particle" : "", "parse-names" : false, "suffix" : "" }, { "dropping-particle" : "", "family" : "Baeza", "given" : "Alejandro", "non-dropping-particle" : "", "parse-names" : false, "suffix" : "" }, { "dropping-particle" : "", "family" : "Talelli", "given" : "Marina", "non-dropping-particle" : "", "parse-names" : false, "suffix" : "" }, { "dropping-particle" : "", "family" : "Arcos", "given" : "Daniel", "non-dropping-particle" : "", "parse-names" : false, "suffix" : "" }, { "dropping-particle" : "", "family" : "Moros", "given" : "Mar\u00eda", "non-dropping-particle" : "", "parse-names" : false, "suffix" : "" }, { "dropping-particle" : "La", "family" : "Fuente", "given" : "Jes\u00fas M De", "non-dropping-particle" : "", "parse-names" : false, "suffix" : "" }, { "dropping-particle" : "", "family" : "Vallet-reg\u00ed", "given" : "Mar\u00eda", "non-dropping-particle" : "", "parse-names" : false, "suffix" : "" }, { "dropping-particle" : "", "family" : "Guisasola", "given" : "Eduardo", "non-dropping-particle" : "", "parse-names" : false, "suffix" : "" }, { "dropping-particle" : "", "family" : "Baeza", "given" : "Alejandro", "non-dropping-particle" : "", "parse-names" : false, "suffix" : "" }, { "dropping-particle" : "", "family" : "Talelli", "given" : "Marina", "non-dropping-particle" : "", "parse-names" : false, "suffix" : "" }, { "dropping-particle" : "", "family" : "Arcos", "given" : "Daniel", "non-dropping-particle" : "", "parse-names" : false, "suffix" : "" }, { "dropping-particle" : "", "family" : "Moros", "given" : "Mar\u00eda", "non-dropping-particle" : "", "parse-names" : false, "suffix" : "" }, { "dropping-particle" : "", "family" : "De", "given" : "Jes\u00fas M", "non-dropping-particle" : "", "parse-names" : false, "suffix" : "" } ], "container-title" : "Langmuir", "id" : "ITEM-1", "issue" : "46", "issued" : { "date-parts" : [ [ "2015" ] ] }, "page" : "12777\u201312782", "title" : "Magnetic-responsive Release Controlled by Hot Spot Effect Magnetic-responsive Release Controlled by Hot Spot Effect", "type" : "article-journal", "volume" : "31" }, "uris" : [ "http://www.mendeley.com/documents/?uuid=c2f983c4-cedb-4a45-ae88-7b6f93e72219", "http://www.mendeley.com/documents/?uuid=c45aa622-ee45-4417-a2ce-7c31deb43b47" ] } ], "mendeley" : { "formattedCitation" : "[100]", "plainTextFormattedCitation" : "[100]", "previouslyFormattedCitation" : "[100]" }, "properties" : { "noteIndex" : 0 }, "schema" : "https://github.com/citation-style-language/schema/raw/master/csl-citation.json" }</w:instrText>
      </w:r>
      <w:r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[100]</w:t>
      </w:r>
      <w:r w:rsidRPr="007721FB">
        <w:rPr>
          <w:rFonts w:ascii="Times New Roman" w:hAnsi="Times New Roman" w:cs="Times New Roman"/>
          <w:sz w:val="24"/>
          <w:szCs w:val="24"/>
        </w:rPr>
        <w:fldChar w:fldCharType="end"/>
      </w:r>
      <w:r w:rsidR="001448FB" w:rsidRPr="007721FB">
        <w:rPr>
          <w:rFonts w:ascii="Times New Roman" w:hAnsi="Times New Roman" w:cs="Times New Roman"/>
          <w:sz w:val="24"/>
          <w:szCs w:val="24"/>
        </w:rPr>
        <w:t>.</w:t>
      </w:r>
    </w:p>
    <w:p w14:paraId="5356D54A" w14:textId="1E0ABAAA" w:rsidR="00491A41" w:rsidRPr="007721FB" w:rsidRDefault="00EA6406" w:rsidP="00491A41">
      <w:pPr>
        <w:spacing w:after="0" w:line="240" w:lineRule="auto"/>
        <w:jc w:val="both"/>
        <w:rPr>
          <w:rFonts w:ascii="Times New Roman" w:hAnsi="Times New Roman" w:cs="Times New Roman"/>
          <w:sz w:val="24"/>
          <w:szCs w:val="24"/>
        </w:rPr>
      </w:pPr>
      <w:r w:rsidRPr="007721FB">
        <w:rPr>
          <w:rFonts w:ascii="Times New Roman" w:hAnsi="Times New Roman" w:cs="Times New Roman"/>
          <w:sz w:val="24"/>
          <w:szCs w:val="24"/>
        </w:rPr>
        <w:t xml:space="preserve">   </w:t>
      </w:r>
      <w:r w:rsidR="00465E99" w:rsidRPr="007721FB">
        <w:rPr>
          <w:rFonts w:ascii="Times New Roman" w:hAnsi="Times New Roman" w:cs="Times New Roman"/>
          <w:sz w:val="24"/>
          <w:szCs w:val="24"/>
        </w:rPr>
        <w:t>An extensive literature analysis revealed that so far</w:t>
      </w:r>
      <w:r w:rsidR="00491A41" w:rsidRPr="007721FB">
        <w:rPr>
          <w:rFonts w:ascii="Times New Roman" w:hAnsi="Times New Roman" w:cs="Times New Roman"/>
          <w:sz w:val="24"/>
          <w:szCs w:val="24"/>
        </w:rPr>
        <w:t xml:space="preserve"> only cationic magnetic liposomes were </w:t>
      </w:r>
      <w:r w:rsidR="00465E99" w:rsidRPr="007721FB">
        <w:rPr>
          <w:rFonts w:ascii="Times New Roman" w:hAnsi="Times New Roman" w:cs="Times New Roman"/>
          <w:sz w:val="24"/>
          <w:szCs w:val="24"/>
        </w:rPr>
        <w:t>explored</w:t>
      </w:r>
      <w:r w:rsidR="00491A41" w:rsidRPr="007721FB">
        <w:rPr>
          <w:rFonts w:ascii="Times New Roman" w:hAnsi="Times New Roman" w:cs="Times New Roman"/>
          <w:sz w:val="24"/>
          <w:szCs w:val="24"/>
        </w:rPr>
        <w:t xml:space="preserve"> for</w:t>
      </w:r>
      <w:r w:rsidR="00465E99" w:rsidRPr="007721FB">
        <w:rPr>
          <w:rFonts w:ascii="Times New Roman" w:hAnsi="Times New Roman" w:cs="Times New Roman"/>
          <w:sz w:val="24"/>
          <w:szCs w:val="24"/>
        </w:rPr>
        <w:t xml:space="preserve"> magnetic on-demand drug delivery in bone</w:t>
      </w:r>
      <w:r w:rsidR="00491A41" w:rsidRPr="007721FB">
        <w:rPr>
          <w:rFonts w:ascii="Times New Roman" w:hAnsi="Times New Roman" w:cs="Times New Roman"/>
          <w:sz w:val="24"/>
          <w:szCs w:val="24"/>
        </w:rPr>
        <w:t xml:space="preserve">, namely in mouse and hamster osteosarcoma models, both with successful outcomes </w:t>
      </w:r>
      <w:r w:rsidR="00491A41"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"DOI" : "10.1302/0301-620X.92B4.22814", "ISBN" : "0301-620X (Print)\\r0021-9355 (Linking)", "ISSN" : "0301-620X", "PMID" : "20357339", "abstract" : "We undertook a study of the anti-tumour effects of hyperthermia, delivered via magnetite cationic liposomes (MCLs), on local tumours and lung metastases in a mouse model of osteosarcoma. MCLs were injected into subcutaneous osteosarcomas (LM8) and subjected to an alternating magnetic field which induced a heating effect in MCLs. A control group of mice with tumours received MCLs but were not exposed to an AMF. A further group of mice with tumours were exposed to an AMF but had not been treated with MCLs. The distribution of MCLs and local and lung metastases was evaluated histologically. The weight and volume of local tumours and the number of lung metastases were determined. Expression of heat shock protein 70 was evaluated immunohistologically. Hyperthermia using MCLs effectively heated the targeted tumour to 45 degrees C. The mean weight of the local tumour was significantly suppressed in the hyperthermia group (p = 0.013). The mice subjected to hyperthermia had significantly fewer lung metastases than the control mice (p = 0.005). Heat shock protein 70 was expressed in tumours treated with hyperthermia, but was not found in those tumours not exposed to hyperthermia. The results demonstrate a significant effect of hyperthermia on local tumours and reduces their potential to metastasise to the lung.", "author" : [ { "dropping-particle" : "", "family" : "Shido", "given" : "Y", "non-dropping-particle" : "", "parse-names" : false, "suffix" : "" }, { "dropping-particle" : "", "family" : "Nishida", "given" : "Y", "non-dropping-particle" : "", "parse-names" : false, "suffix" : "" }, { "dropping-particle" : "", "family" : "Suzuki", "given" : "Y", "non-dropping-particle" : "", "parse-names" : false, "suffix" : "" }, { "dropping-particle" : "", "family" : "Kobayashi", "given" : "T", "non-dropping-particle" : "", "parse-names" : false, "suffix" : "" }, { "dropping-particle" : "", "family" : "Ishiguro", "given" : "N", "non-dropping-particle" : "", "parse-names" : false, "suffix" : "" } ], "container-title" : "The Journal of bone and joint surgery. British volume", "id" : "ITEM-1", "issue" : "4", "issued" : { "date-parts" : [ [ "2010" ] ] }, "page" : "580-585", "title" : "Targeted hyperthermia using magnetite cationic liposomes and an alternating magnetic field in a mouse osteosarcoma model.", "type" : "article-journal", "volume" : "92" }, "uris" : [ "http://www.mendeley.com/documents/?uuid=b5f8d9d5-9c08-417b-a764-34f25b9a0ad6", "http://www.mendeley.com/documents/?uuid=b984d4be-f991-4a6b-8911-15b3b5ba1d60" ] }, { "id" : "ITEM-2", "itemData" : { "DOI" : "10.1186/1477-044X-2-3", "ISSN" : "1477-044X", "PMID" : "15040804", "abstract" : "Background: We have developed magnetite cationic liposomes (MCLs) and applied them to local hyperthermia as a mediator. MCLs have a positive charge and generate heat under an alternating magnetic field (AMF) by hysteresis loss. In this study, the effect of hyperthermia using MCLs was examined in an in vivo study of hamster osteosarcoma. Method: MCLs were injected into the osteosarcoma and then subjected to an AMF. Results: The tumor was heated at over 42\u00b0C, but other normal tissues were not heated as much. Complete regression was observed in 100% of the treated group hamsters, whereas no regression was observed in the control group hamsters. At day 12, the average tumor volume of the treated hamsters was about 1/1000 of that of the control hamsters. In the treated hamsters, no regrowth of osteosarcomas was observed over a period of 3 months after the complete regression. Conclusion: These results suggest that this treatment is effective for osteosarcoma.", "author" : [ { "dropping-particle" : "", "family" : "Matsuoka", "given" : "Fumiko", "non-dropping-particle" : "", "parse-names" : false, "suffix" : "" }, { "dropping-particle" : "", "family" : "Shinkai", "given" : "Masashige", "non-dropping-particle" : "", "parse-names" : false, "suffix" : "" }, { "dropping-particle" : "", "family" : "Honda", "given" : "Hiroyuki", "non-dropping-particle" : "", "parse-names" : false, "suffix" : "" }, { "dropping-particle" : "", "family" : "Kubo", "given" : "Tadahiko", "non-dropping-particle" : "", "parse-names" : false, "suffix" : "" }, { "dropping-particle" : "", "family" : "Sugita", "given" : "Takashi", "non-dropping-particle" : "", "parse-names" : false, "suffix" : "" }, { "dropping-particle" : "", "family" : "Kobayashi", "given" : "Takeshi", "non-dropping-particle" : "", "parse-names" : false, "suffix" : "" } ], "container-title" : "Biomagnetic research and technology", "id" : "ITEM-2", "issued" : { "date-parts" : [ [ "2004" ] ] }, "page" : "3", "title" : "Hyperthermia using magnetite cationic liposomes for hamster osteosarcoma", "type" : "article-journal", "volume" : "2" }, "uris" : [ "http://www.mendeley.com/documents/?uuid=7502c833-c50b-4d3c-a8ed-6c27ddb7077d", "http://www.mendeley.com/documents/?uuid=efaf034c-a7dc-4910-ab00-2844d97b78a8" ] } ], "mendeley" : { "formattedCitation" : "[101,102]", "plainTextFormattedCitation" : "[101,102]", "previouslyFormattedCitation" : "[101,102]" }, "properties" : { "noteIndex" : 0 }, "schema" : "https://github.com/citation-style-language/schema/raw/master/csl-citation.json" }</w:instrText>
      </w:r>
      <w:r w:rsidR="00491A41"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[101,102]</w:t>
      </w:r>
      <w:r w:rsidR="00491A41" w:rsidRPr="007721FB">
        <w:rPr>
          <w:rFonts w:ascii="Times New Roman" w:hAnsi="Times New Roman" w:cs="Times New Roman"/>
          <w:sz w:val="24"/>
          <w:szCs w:val="24"/>
        </w:rPr>
        <w:fldChar w:fldCharType="end"/>
      </w:r>
      <w:r w:rsidR="00491A41" w:rsidRPr="007721FB">
        <w:rPr>
          <w:rFonts w:ascii="Times New Roman" w:hAnsi="Times New Roman" w:cs="Times New Roman"/>
          <w:sz w:val="24"/>
          <w:szCs w:val="24"/>
        </w:rPr>
        <w:t>.</w:t>
      </w:r>
      <w:r w:rsidR="00465E99" w:rsidRPr="007721FB">
        <w:rPr>
          <w:rFonts w:ascii="Times New Roman" w:hAnsi="Times New Roman" w:cs="Times New Roman"/>
          <w:sz w:val="24"/>
          <w:szCs w:val="24"/>
        </w:rPr>
        <w:t xml:space="preserve"> These examples </w:t>
      </w:r>
      <w:r w:rsidR="00465E99" w:rsidRPr="007721FB">
        <w:rPr>
          <w:rFonts w:ascii="Times New Roman" w:hAnsi="Times New Roman" w:cs="Times New Roman"/>
          <w:sz w:val="24"/>
          <w:szCs w:val="24"/>
        </w:rPr>
        <w:lastRenderedPageBreak/>
        <w:t>take advantage of</w:t>
      </w:r>
      <w:r w:rsidRPr="007721FB">
        <w:rPr>
          <w:rFonts w:ascii="Times New Roman" w:hAnsi="Times New Roman" w:cs="Times New Roman"/>
          <w:sz w:val="24"/>
          <w:szCs w:val="24"/>
        </w:rPr>
        <w:t xml:space="preserve"> magnetically</w:t>
      </w:r>
      <w:r w:rsidR="00B0121C" w:rsidRPr="007721FB">
        <w:rPr>
          <w:rFonts w:ascii="Times New Roman" w:hAnsi="Times New Roman" w:cs="Times New Roman"/>
          <w:sz w:val="24"/>
          <w:szCs w:val="24"/>
        </w:rPr>
        <w:t>-</w:t>
      </w:r>
      <w:r w:rsidRPr="007721FB">
        <w:rPr>
          <w:rFonts w:ascii="Times New Roman" w:hAnsi="Times New Roman" w:cs="Times New Roman"/>
          <w:sz w:val="24"/>
          <w:szCs w:val="24"/>
        </w:rPr>
        <w:t>induced temperature increase.</w:t>
      </w:r>
      <w:r w:rsidR="00491A41" w:rsidRPr="007721FB">
        <w:rPr>
          <w:rFonts w:ascii="Times New Roman" w:hAnsi="Times New Roman" w:cs="Times New Roman"/>
          <w:sz w:val="24"/>
          <w:szCs w:val="24"/>
        </w:rPr>
        <w:t xml:space="preserve"> Typically,</w:t>
      </w:r>
      <w:r w:rsidR="00D805E5" w:rsidRPr="007721FB">
        <w:rPr>
          <w:rFonts w:ascii="Times New Roman" w:hAnsi="Times New Roman" w:cs="Times New Roman"/>
          <w:sz w:val="24"/>
          <w:szCs w:val="24"/>
        </w:rPr>
        <w:t xml:space="preserve"> the</w:t>
      </w:r>
      <w:r w:rsidR="00491A41" w:rsidRPr="007721FB">
        <w:rPr>
          <w:rFonts w:ascii="Times New Roman" w:hAnsi="Times New Roman" w:cs="Times New Roman"/>
          <w:sz w:val="24"/>
          <w:szCs w:val="24"/>
        </w:rPr>
        <w:t xml:space="preserve"> diffusion of loaded drugs from liposomal</w:t>
      </w:r>
      <w:r w:rsidR="00D805E5" w:rsidRPr="007721FB">
        <w:rPr>
          <w:rFonts w:ascii="Times New Roman" w:hAnsi="Times New Roman" w:cs="Times New Roman"/>
          <w:sz w:val="24"/>
          <w:szCs w:val="24"/>
        </w:rPr>
        <w:t xml:space="preserve"> carriers</w:t>
      </w:r>
      <w:r w:rsidR="00491A41" w:rsidRPr="007721FB">
        <w:rPr>
          <w:rFonts w:ascii="Times New Roman" w:hAnsi="Times New Roman" w:cs="Times New Roman"/>
          <w:sz w:val="24"/>
          <w:szCs w:val="24"/>
        </w:rPr>
        <w:t xml:space="preserve"> core </w:t>
      </w:r>
      <w:r w:rsidR="00F13067" w:rsidRPr="007721FB">
        <w:rPr>
          <w:rFonts w:ascii="Times New Roman" w:hAnsi="Times New Roman" w:cs="Times New Roman"/>
          <w:sz w:val="24"/>
          <w:szCs w:val="24"/>
        </w:rPr>
        <w:t xml:space="preserve">increases with </w:t>
      </w:r>
      <w:r w:rsidR="00491A41" w:rsidRPr="007721FB">
        <w:rPr>
          <w:rFonts w:ascii="Times New Roman" w:hAnsi="Times New Roman" w:cs="Times New Roman"/>
          <w:sz w:val="24"/>
          <w:szCs w:val="24"/>
        </w:rPr>
        <w:t xml:space="preserve">bilayer permeability, which in turn is generally dictated </w:t>
      </w:r>
      <w:r w:rsidR="00F13067" w:rsidRPr="007721FB">
        <w:rPr>
          <w:rFonts w:ascii="Times New Roman" w:hAnsi="Times New Roman" w:cs="Times New Roman"/>
          <w:sz w:val="24"/>
          <w:szCs w:val="24"/>
        </w:rPr>
        <w:t xml:space="preserve">by lipids </w:t>
      </w:r>
      <w:r w:rsidR="00491A41" w:rsidRPr="007721FB">
        <w:rPr>
          <w:rFonts w:ascii="Times New Roman" w:hAnsi="Times New Roman" w:cs="Times New Roman"/>
          <w:sz w:val="24"/>
          <w:szCs w:val="24"/>
        </w:rPr>
        <w:t>melting temperature (T</w:t>
      </w:r>
      <w:r w:rsidR="00491A41" w:rsidRPr="007721FB">
        <w:rPr>
          <w:rFonts w:ascii="Times New Roman" w:hAnsi="Times New Roman" w:cs="Times New Roman"/>
          <w:sz w:val="24"/>
          <w:szCs w:val="24"/>
          <w:vertAlign w:val="subscript"/>
        </w:rPr>
        <w:t>m</w:t>
      </w:r>
      <w:r w:rsidR="00491A41" w:rsidRPr="007721FB">
        <w:rPr>
          <w:rFonts w:ascii="Times New Roman" w:hAnsi="Times New Roman" w:cs="Times New Roman"/>
          <w:sz w:val="24"/>
          <w:szCs w:val="24"/>
        </w:rPr>
        <w:t>). The value of T</w:t>
      </w:r>
      <w:r w:rsidR="00491A41" w:rsidRPr="007721FB">
        <w:rPr>
          <w:rFonts w:ascii="Times New Roman" w:hAnsi="Times New Roman" w:cs="Times New Roman"/>
          <w:sz w:val="24"/>
          <w:szCs w:val="24"/>
          <w:vertAlign w:val="subscript"/>
        </w:rPr>
        <w:t>m</w:t>
      </w:r>
      <w:r w:rsidR="00491A41" w:rsidRPr="007721FB">
        <w:rPr>
          <w:rFonts w:ascii="Times New Roman" w:hAnsi="Times New Roman" w:cs="Times New Roman"/>
          <w:sz w:val="24"/>
          <w:szCs w:val="24"/>
        </w:rPr>
        <w:t xml:space="preserve"> can be tailored depending on the lipid composition, and</w:t>
      </w:r>
      <w:r w:rsidR="00F13067" w:rsidRPr="007721FB">
        <w:rPr>
          <w:rFonts w:ascii="Times New Roman" w:hAnsi="Times New Roman" w:cs="Times New Roman"/>
          <w:sz w:val="24"/>
          <w:szCs w:val="24"/>
        </w:rPr>
        <w:t xml:space="preserve"> by tuning the</w:t>
      </w:r>
      <w:r w:rsidR="00491A41" w:rsidRPr="007721FB">
        <w:rPr>
          <w:rFonts w:ascii="Times New Roman" w:hAnsi="Times New Roman" w:cs="Times New Roman"/>
          <w:sz w:val="24"/>
          <w:szCs w:val="24"/>
        </w:rPr>
        <w:t xml:space="preserve"> high-frequency AMF </w:t>
      </w:r>
      <w:r w:rsidR="00F13067" w:rsidRPr="007721FB">
        <w:rPr>
          <w:rFonts w:ascii="Times New Roman" w:hAnsi="Times New Roman" w:cs="Times New Roman"/>
          <w:sz w:val="24"/>
          <w:szCs w:val="24"/>
        </w:rPr>
        <w:t>pulses</w:t>
      </w:r>
      <w:r w:rsidR="00491A41" w:rsidRPr="007721FB">
        <w:rPr>
          <w:rFonts w:ascii="Times New Roman" w:hAnsi="Times New Roman" w:cs="Times New Roman"/>
          <w:sz w:val="24"/>
          <w:szCs w:val="24"/>
        </w:rPr>
        <w:t>. This promotes lipid bilayer disruption by surpassing the intrinsic T</w:t>
      </w:r>
      <w:r w:rsidR="00491A41" w:rsidRPr="007721FB">
        <w:rPr>
          <w:rFonts w:ascii="Times New Roman" w:hAnsi="Times New Roman" w:cs="Times New Roman"/>
          <w:sz w:val="24"/>
          <w:szCs w:val="24"/>
          <w:vertAlign w:val="subscript"/>
        </w:rPr>
        <w:t>m</w:t>
      </w:r>
      <w:r w:rsidR="00491A41" w:rsidRPr="007721FB">
        <w:rPr>
          <w:rFonts w:ascii="Times New Roman" w:hAnsi="Times New Roman" w:cs="Times New Roman"/>
          <w:sz w:val="24"/>
          <w:szCs w:val="24"/>
        </w:rPr>
        <w:t xml:space="preserve"> and thereby prompts cargo </w:t>
      </w:r>
      <w:r w:rsidRPr="007721FB">
        <w:rPr>
          <w:rFonts w:ascii="Times New Roman" w:hAnsi="Times New Roman" w:cs="Times New Roman"/>
          <w:sz w:val="24"/>
          <w:szCs w:val="24"/>
        </w:rPr>
        <w:t xml:space="preserve">release </w:t>
      </w:r>
      <w:r w:rsidR="00491A41"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"DOI" : "10.1021/nl2001499", "ISBN" : "1530-6984", "ISSN" : "15306984", "PMID" : "21351741", "abstract" : "The ideal nanoscale drug delivery vehicle allows control over the released dose in space and time. We demonstrate that this can be achieved by stealth liposomes comprising self-assembled superparamagnetic iron oxide nanoparticles (NPs) individually stabilized with palmityl-nitroDOPA incorporated in the lipid membrane. Alternating magnetic fields were used to control timing and dose of repeatedly released cargo from such vesicles by locally heating the membrane, which changed its permeability without major effects on the environment.", "author" : [ { "dropping-particle" : "", "family" : "Amstad", "given" : "Esther", "non-dropping-particle" : "", "parse-names" : false, "suffix" : "" }, { "dropping-particle" : "", "family" : "Kohlbrecher", "given" : "Joachim", "non-dropping-particle" : "", "parse-names" : false, "suffix" : "" }, { "dropping-particle" : "", "family" : "M\u00fcller", "given" : "Elisabeth", "non-dropping-particle" : "", "parse-names" : false, "suffix" : "" }, { "dropping-particle" : "", "family" : "Schweizer", "given" : "Thomas", "non-dropping-particle" : "", "parse-names" : false, "suffix" : "" }, { "dropping-particle" : "", "family" : "Textor", "given" : "Marcus", "non-dropping-particle" : "", "parse-names" : false, "suffix" : "" }, { "dropping-particle" : "", "family" : "Reimhult", "given" : "Erik", "non-dropping-particle" : "", "parse-names" : false, "suffix" : "" } ], "container-title" : "Nano Letters", "id" : "ITEM-1", "issue" : "4", "issued" : { "date-parts" : [ [ "2011" ] ] }, "page" : "1664-1670", "title" : "Triggered release from liposomes through magnetic actuation of iron oxide nanoparticle containing membranes", "type" : "article-journal", "volume" : "11" }, "uris" : [ "http://www.mendeley.com/documents/?uuid=8833e0ed-8585-4b42-a399-17cc8b2512bf", "http://www.mendeley.com/documents/?uuid=fce9bdaf-270f-4084-a89a-fe63a3f3e897" ] }, { "id" : "ITEM-2", "itemData" : { "DOI" : "10.1002/jps.23773", "ISBN" : "1520-6017", "ISSN" : "00223549", "PMID" : "24338748", "abstract" : "Liposomes are spherical-enclosed membrane vesicles mainly constructed with lipids. Lipid nanoparticles are loaded with therapeutics and may not contain an enclosed bilayer. The majority of those clinically approved have diameters of 50-300 nm. The growing interest in nanomedicine has fueled lipid-drug and lipid-protein studies, which provide a foundation for developing lipid particles that improve drug potency and reduce off-target effects. Integrating advances in lipid membrane research has enabled therapeutic development. At present, about 600 clinical trials involve lipid particle drug delivery systems. Greater understanding of pharmacokinetics, biodistribution, and disposition of lipid-drug particles facilitated particle surface hydration technology (with polyethylene glycol) to reduce rapid clearance and provide sufficient blood circulation time for drug to reach target tissues and cells. Surface hydration enabled the liposome-encapsulated cancer drug doxorubicin (Doxil) to gain clinical approval in 1995. Fifteen lipidic therapeutics are now clinically approved. Although much research involves attaching lipid particles to ligands selective for occult cells and tissues, preparation procedures are often complex and pose scale-up challenges. With emerging knowledge in drug target and lipid-drug distribution in the body, a systems approach that integrates knowledge to design and scale lipid-drug particles may further advance translation of these systems to improve therapeutic safety and efficacy.", "author" : [ { "dropping-particle" : "", "family" : "Kraft", "given" : "John C.", "non-dropping-particle" : "", "parse-names" : false, "suffix" : "" }, { "dropping-particle" : "", "family" : "Freeling", "given" : "Jennifer P.", "non-dropping-particle" : "", "parse-names" : false, "suffix" : "" }, { "dropping-particle" : "", "family" : "Wang", "given" : "Ziyao", "non-dropping-particle" : "", "parse-names" : false, "suffix" : "" }, { "dropping-particle" : "", "family" : "Ho", "given" : "Rodney J Y", "non-dropping-particle" : "", "parse-names" : false, "suffix" : "" } ], "container-title" : "Journal of Pharmaceutical Sciences", "id" : "ITEM-2", "issue" : "1", "issued" : { "date-parts" : [ [ "2014" ] ] }, "page" : "29-52", "publisher" : "Elsevier Masson SAS", "title" : "Emerging research and clinical development trends of liposome and lipid nanoparticle drug delivery systems", "type" : "article-journal", "volume" : "103" }, "uris" : [ "http://www.mendeley.com/documents/?uuid=47ecce54-98b7-4ed9-9027-e28a6eebe41d", "http://www.mendeley.com/documents/?uuid=c7696ff4-b09c-4eb2-b296-a641c6a35791" ] } ], "mendeley" : { "formattedCitation" : "[103,104]", "plainTextFormattedCitation" : "[103,104]", "previouslyFormattedCitation" : "[103,104]" }, "properties" : { "noteIndex" : 0 }, "schema" : "https://github.com/citation-style-language/schema/raw/master/csl-citation.json" }</w:instrText>
      </w:r>
      <w:r w:rsidR="00491A41"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[103,104]</w:t>
      </w:r>
      <w:r w:rsidR="00491A41" w:rsidRPr="007721FB">
        <w:rPr>
          <w:rFonts w:ascii="Times New Roman" w:hAnsi="Times New Roman" w:cs="Times New Roman"/>
          <w:sz w:val="24"/>
          <w:szCs w:val="24"/>
        </w:rPr>
        <w:fldChar w:fldCharType="end"/>
      </w:r>
      <w:r w:rsidR="00491A41" w:rsidRPr="007721FB">
        <w:rPr>
          <w:rFonts w:ascii="Times New Roman" w:hAnsi="Times New Roman" w:cs="Times New Roman"/>
          <w:sz w:val="24"/>
          <w:szCs w:val="24"/>
        </w:rPr>
        <w:t xml:space="preserve">. </w:t>
      </w:r>
      <w:r w:rsidRPr="007721FB">
        <w:rPr>
          <w:rFonts w:ascii="Times New Roman" w:hAnsi="Times New Roman" w:cs="Times New Roman"/>
          <w:sz w:val="24"/>
          <w:szCs w:val="24"/>
        </w:rPr>
        <w:t>D</w:t>
      </w:r>
      <w:r w:rsidR="00491A41" w:rsidRPr="007721FB">
        <w:rPr>
          <w:rFonts w:ascii="Times New Roman" w:hAnsi="Times New Roman" w:cs="Times New Roman"/>
          <w:sz w:val="24"/>
          <w:szCs w:val="24"/>
        </w:rPr>
        <w:t>espite</w:t>
      </w:r>
      <w:r w:rsidRPr="007721FB">
        <w:rPr>
          <w:rFonts w:ascii="Times New Roman" w:hAnsi="Times New Roman" w:cs="Times New Roman"/>
          <w:sz w:val="24"/>
          <w:szCs w:val="24"/>
        </w:rPr>
        <w:t xml:space="preserve"> being</w:t>
      </w:r>
      <w:r w:rsidR="00491A41" w:rsidRPr="007721FB">
        <w:rPr>
          <w:rFonts w:ascii="Times New Roman" w:hAnsi="Times New Roman" w:cs="Times New Roman"/>
          <w:sz w:val="24"/>
          <w:szCs w:val="24"/>
        </w:rPr>
        <w:t xml:space="preserve"> an attractive design,</w:t>
      </w:r>
      <w:r w:rsidRPr="007721FB">
        <w:rPr>
          <w:rFonts w:ascii="Times New Roman" w:hAnsi="Times New Roman" w:cs="Times New Roman"/>
          <w:sz w:val="24"/>
          <w:szCs w:val="24"/>
        </w:rPr>
        <w:t xml:space="preserve"> the</w:t>
      </w:r>
      <w:r w:rsidR="00491A41" w:rsidRPr="007721FB">
        <w:rPr>
          <w:rFonts w:ascii="Times New Roman" w:hAnsi="Times New Roman" w:cs="Times New Roman"/>
          <w:sz w:val="24"/>
          <w:szCs w:val="24"/>
        </w:rPr>
        <w:t xml:space="preserve"> application of these smart-release systems </w:t>
      </w:r>
      <w:r w:rsidR="00F13067" w:rsidRPr="007721FB">
        <w:rPr>
          <w:rFonts w:ascii="Times New Roman" w:hAnsi="Times New Roman" w:cs="Times New Roman"/>
          <w:sz w:val="24"/>
          <w:szCs w:val="24"/>
        </w:rPr>
        <w:t>in</w:t>
      </w:r>
      <w:r w:rsidR="00491A41" w:rsidRPr="007721FB">
        <w:rPr>
          <w:rFonts w:ascii="Times New Roman" w:hAnsi="Times New Roman" w:cs="Times New Roman"/>
          <w:sz w:val="24"/>
          <w:szCs w:val="24"/>
        </w:rPr>
        <w:t xml:space="preserve"> bone</w:t>
      </w:r>
      <w:r w:rsidRPr="007721FB">
        <w:rPr>
          <w:rFonts w:ascii="Times New Roman" w:hAnsi="Times New Roman" w:cs="Times New Roman"/>
          <w:sz w:val="24"/>
          <w:szCs w:val="24"/>
        </w:rPr>
        <w:t xml:space="preserve"> regeneration or other bone disorders</w:t>
      </w:r>
      <w:r w:rsidR="00491A41" w:rsidRPr="007721FB">
        <w:rPr>
          <w:rFonts w:ascii="Times New Roman" w:hAnsi="Times New Roman" w:cs="Times New Roman"/>
          <w:sz w:val="24"/>
          <w:szCs w:val="24"/>
        </w:rPr>
        <w:t xml:space="preserve"> is still scarce when compared to </w:t>
      </w:r>
      <w:r w:rsidRPr="007721FB">
        <w:rPr>
          <w:rFonts w:ascii="Times New Roman" w:hAnsi="Times New Roman" w:cs="Times New Roman"/>
          <w:sz w:val="24"/>
          <w:szCs w:val="24"/>
        </w:rPr>
        <w:t xml:space="preserve">its use in </w:t>
      </w:r>
      <w:r w:rsidR="00491A41" w:rsidRPr="007721FB">
        <w:rPr>
          <w:rFonts w:ascii="Times New Roman" w:hAnsi="Times New Roman" w:cs="Times New Roman"/>
          <w:sz w:val="24"/>
          <w:szCs w:val="24"/>
        </w:rPr>
        <w:t xml:space="preserve">cancer therapy, where there are numerous studies upholding </w:t>
      </w:r>
      <w:r w:rsidRPr="007721FB">
        <w:rPr>
          <w:rFonts w:ascii="Times New Roman" w:hAnsi="Times New Roman" w:cs="Times New Roman"/>
          <w:sz w:val="24"/>
          <w:szCs w:val="24"/>
        </w:rPr>
        <w:t>its potential</w:t>
      </w:r>
      <w:r w:rsidR="00491A41" w:rsidRPr="007721FB">
        <w:rPr>
          <w:rFonts w:ascii="Times New Roman" w:hAnsi="Times New Roman" w:cs="Times New Roman"/>
          <w:sz w:val="24"/>
          <w:szCs w:val="24"/>
        </w:rPr>
        <w:t>.</w:t>
      </w:r>
      <w:r w:rsidR="007966FA" w:rsidRPr="007721FB">
        <w:rPr>
          <w:rFonts w:ascii="Times New Roman" w:hAnsi="Times New Roman" w:cs="Times New Roman"/>
          <w:sz w:val="24"/>
          <w:szCs w:val="24"/>
        </w:rPr>
        <w:t xml:space="preserve"> </w:t>
      </w:r>
      <w:r w:rsidR="00491A41" w:rsidRPr="007721FB">
        <w:rPr>
          <w:rFonts w:ascii="Times New Roman" w:hAnsi="Times New Roman" w:cs="Times New Roman"/>
          <w:sz w:val="24"/>
          <w:szCs w:val="24"/>
        </w:rPr>
        <w:t>This could be due to bone</w:t>
      </w:r>
      <w:r w:rsidR="00F13067" w:rsidRPr="007721FB">
        <w:rPr>
          <w:rFonts w:ascii="Times New Roman" w:hAnsi="Times New Roman" w:cs="Times New Roman"/>
          <w:sz w:val="24"/>
          <w:szCs w:val="24"/>
        </w:rPr>
        <w:t xml:space="preserve"> characteristic anatomic location since its</w:t>
      </w:r>
      <w:r w:rsidR="00491A41" w:rsidRPr="007721FB">
        <w:rPr>
          <w:rFonts w:ascii="Times New Roman" w:hAnsi="Times New Roman" w:cs="Times New Roman"/>
          <w:sz w:val="24"/>
          <w:szCs w:val="24"/>
        </w:rPr>
        <w:t xml:space="preserve"> localized deep within the bod</w:t>
      </w:r>
      <w:r w:rsidR="00F13067" w:rsidRPr="007721FB">
        <w:rPr>
          <w:rFonts w:ascii="Times New Roman" w:hAnsi="Times New Roman" w:cs="Times New Roman"/>
          <w:sz w:val="24"/>
          <w:szCs w:val="24"/>
        </w:rPr>
        <w:t>y, constituting a major</w:t>
      </w:r>
      <w:r w:rsidR="00491A41" w:rsidRPr="007721FB">
        <w:rPr>
          <w:rFonts w:ascii="Times New Roman" w:hAnsi="Times New Roman" w:cs="Times New Roman"/>
          <w:sz w:val="24"/>
          <w:szCs w:val="24"/>
        </w:rPr>
        <w:t xml:space="preserve"> </w:t>
      </w:r>
      <w:r w:rsidR="00F13067" w:rsidRPr="007721FB">
        <w:rPr>
          <w:rFonts w:ascii="Times New Roman" w:hAnsi="Times New Roman" w:cs="Times New Roman"/>
          <w:sz w:val="24"/>
          <w:szCs w:val="24"/>
        </w:rPr>
        <w:t>bio</w:t>
      </w:r>
      <w:r w:rsidR="00491A41" w:rsidRPr="007721FB">
        <w:rPr>
          <w:rFonts w:ascii="Times New Roman" w:hAnsi="Times New Roman" w:cs="Times New Roman"/>
          <w:sz w:val="24"/>
          <w:szCs w:val="24"/>
        </w:rPr>
        <w:t xml:space="preserve">physical </w:t>
      </w:r>
      <w:r w:rsidR="00F13067" w:rsidRPr="007721FB">
        <w:rPr>
          <w:rFonts w:ascii="Times New Roman" w:hAnsi="Times New Roman" w:cs="Times New Roman"/>
          <w:sz w:val="24"/>
          <w:szCs w:val="24"/>
        </w:rPr>
        <w:t xml:space="preserve">barrier that is responsible for a rapid drop in magnetic field strength with increasing depth. Moreover, the before mentioned intertwining bone vasculature poses a major barrier in nanocarriers guidance </w:t>
      </w:r>
      <w:r w:rsidR="00491A41"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"DOI" : "10.2147/IJN.S1608", "ISBN" : "1176-9114", "ISSN" : "11769114", "PMID" : "18686777", "abstract" : "Investigations of magnetic micro-and nanoparticles for targeted drug delivery began over 30 years ago. Since that time, major progress has been made in particle design and synthesis techniques, however, very few clinical trials have taken place. Here we review advances in magnetic nanoparticle design, in vitro and animal experiments with magnetic nanoparticle-based drug and gene delivery, and clinical trials of drug targeting.", "author" : [ { "dropping-particle" : "", "family" : "McBain", "given" : "Stuart C.", "non-dropping-particle" : "", "parse-names" : false, "suffix" : "" }, { "dropping-particle" : "", "family" : "Yiu", "given" : "H. H P", "non-dropping-particle" : "", "parse-names" : false, "suffix" : "" }, { "dropping-particle" : "", "family" : "Dobson", "given" : "Jon", "non-dropping-particle" : "", "parse-names" : false, "suffix" : "" } ], "container-title" : "International Journal of Nanomedicine", "id" : "ITEM-1", "issue" : "2", "issued" : { "date-parts" : [ [ "2008" ] ] }, "page" : "169-180", "title" : "Magnetic nanoparticles for gene and drug delivery", "type" : "article-journal", "volume" : "3" }, "uris" : [ "http://www.mendeley.com/documents/?uuid=6bd7f839-a64b-4e2d-8086-976011c10390", "http://www.mendeley.com/documents/?uuid=a2ff720a-53f9-4610-8f79-be483b83c8e7" ] } ], "mendeley" : { "formattedCitation" : "[105]", "plainTextFormattedCitation" : "[105]", "previouslyFormattedCitation" : "[105]" }, "properties" : { "noteIndex" : 0 }, "schema" : "https://github.com/citation-style-language/schema/raw/master/csl-citation.json" }</w:instrText>
      </w:r>
      <w:r w:rsidR="00491A41"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[105]</w:t>
      </w:r>
      <w:r w:rsidR="00491A41" w:rsidRPr="007721FB">
        <w:rPr>
          <w:rFonts w:ascii="Times New Roman" w:hAnsi="Times New Roman" w:cs="Times New Roman"/>
          <w:sz w:val="24"/>
          <w:szCs w:val="24"/>
        </w:rPr>
        <w:fldChar w:fldCharType="end"/>
      </w:r>
      <w:r w:rsidR="00491A41" w:rsidRPr="007721FB">
        <w:rPr>
          <w:rFonts w:ascii="Times New Roman" w:hAnsi="Times New Roman" w:cs="Times New Roman"/>
          <w:sz w:val="24"/>
          <w:szCs w:val="24"/>
        </w:rPr>
        <w:t xml:space="preserve">. </w:t>
      </w:r>
      <w:r w:rsidR="00D6530F" w:rsidRPr="007721FB">
        <w:rPr>
          <w:rFonts w:ascii="Times New Roman" w:hAnsi="Times New Roman" w:cs="Times New Roman"/>
          <w:sz w:val="24"/>
          <w:szCs w:val="24"/>
        </w:rPr>
        <w:t xml:space="preserve">To overcome the former barrier, recently, a magnetic spatial localization strategy has been developed in which magnetic field density can be focused at a distance from the pole. This may overcome magnetic attenuation and be used for both magnetic guidance and on-demand magnetic-mediated therapeutics release </w:t>
      </w:r>
      <w:r w:rsidR="00D6530F"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"DOI" : "10.1016/j.biomaterials.2009.11.062", "ISBN" : "1878-5905 (Electronic)\\r0142-9612 (Linking)", "ISSN" : "01429612", "PMID" : "19995668", "abstract" : "Magnetic targeting has recently demonstrated potential in promoting magnetically loaded cell delivery to target lesion, but its application is limited by magnetic attenuation. For deep magnetic capture of cells for spatial targeting therapeutics, we designed a magnetic pole, in which the magnetic field density can be focused at a distance from the pole. As flowing through a tube served as a model of blood vessels, the magnetically loaded mesenchymal stem cells (MagMSCs) were highly enriched at the site distance from the magnetic pole. The cell capture efficiency was positively influenced by the magnetic flux density, and inversely influenced by the flow velocity, and well-fitted with the deductive value by theoretical considerations. It appeared to us that the spatially-focused property of the magnetic apparatus promises a new deep targeting strategy to promote homing and engraftment for cellular therapy. ?? 2009 Elsevier Ltd. All rights reserved.", "author" : [ { "dropping-particle" : "", "family" : "Huang", "given" : "Zheyong", "non-dropping-particle" : "", "parse-names" : false, "suffix" : "" }, { "dropping-particle" : "", "family" : "Pei", "given" : "Ning", "non-dropping-particle" : "", "parse-names" : false, "suffix" : "" }, { "dropping-particle" : "", "family" : "Wang", "given" : "Yanyan", "non-dropping-particle" : "", "parse-names" : false, "suffix" : "" }, { "dropping-particle" : "", "family" : "Xie", "given" : "Xinxing", "non-dropping-particle" : "", "parse-names" : false, "suffix" : "" }, { "dropping-particle" : "", "family" : "Sun", "given" : "Aijun", "non-dropping-particle" : "", "parse-names" : false, "suffix" : "" }, { "dropping-particle" : "", "family" : "Shen", "given" : "Li", "non-dropping-particle" : "", "parse-names" : false, "suffix" : "" }, { "dropping-particle" : "", "family" : "Zhang", "given" : "Shuning", "non-dropping-particle" : "", "parse-names" : false, "suffix" : "" }, { "dropping-particle" : "", "family" : "Liu", "given" : "Xuebo", "non-dropping-particle" : "", "parse-names" : false, "suffix" : "" }, { "dropping-particle" : "", "family" : "Zou", "given" : "Yunzeng", "non-dropping-particle" : "", "parse-names" : false, "suffix" : "" }, { "dropping-particle" : "", "family" : "Qian", "given" : "Juying", "non-dropping-particle" : "", "parse-names" : false, "suffix" : "" }, { "dropping-particle" : "", "family" : "Ge", "given" : "Junbo", "non-dropping-particle" : "", "parse-names" : false, "suffix" : "" } ], "container-title" : "Biomaterials", "id" : "ITEM-1", "issue" : "8", "issued" : { "date-parts" : [ [ "2010" ] ] }, "page" : "2130-2140", "publisher" : "Elsevier Ltd", "title" : "Deep magnetic capture of magnetically loaded cells for spatially targeted therapeutics", "type" : "article-journal", "volume" : "31" }, "uris" : [ "http://www.mendeley.com/documents/?uuid=4c8e416a-73d8-4ab9-b0b7-7714fdec6c2f", "http://www.mendeley.com/documents/?uuid=93778372-4737-487b-97fe-f66298e77c0b" ] } ], "mendeley" : { "formattedCitation" : "[106]", "plainTextFormattedCitation" : "[106]", "previouslyFormattedCitation" : "[106]" }, "properties" : { "noteIndex" : 0 }, "schema" : "https://github.com/citation-style-language/schema/raw/master/csl-citation.json" }</w:instrText>
      </w:r>
      <w:r w:rsidR="00D6530F"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[106]</w:t>
      </w:r>
      <w:r w:rsidR="00D6530F" w:rsidRPr="007721FB">
        <w:rPr>
          <w:rFonts w:ascii="Times New Roman" w:hAnsi="Times New Roman" w:cs="Times New Roman"/>
          <w:sz w:val="24"/>
          <w:szCs w:val="24"/>
        </w:rPr>
        <w:fldChar w:fldCharType="end"/>
      </w:r>
      <w:r w:rsidR="00D6530F" w:rsidRPr="007721FB">
        <w:rPr>
          <w:rFonts w:ascii="Times New Roman" w:hAnsi="Times New Roman" w:cs="Times New Roman"/>
          <w:sz w:val="24"/>
          <w:szCs w:val="24"/>
        </w:rPr>
        <w:t xml:space="preserve">. </w:t>
      </w:r>
    </w:p>
    <w:p w14:paraId="43820FA9" w14:textId="1D4A6C94" w:rsidR="00757337" w:rsidRPr="007721FB" w:rsidRDefault="00757337" w:rsidP="00F42607">
      <w:pPr>
        <w:spacing w:after="0" w:line="240" w:lineRule="auto"/>
        <w:ind w:firstLine="709"/>
        <w:jc w:val="both"/>
        <w:rPr>
          <w:rFonts w:ascii="Times New Roman" w:hAnsi="Times New Roman" w:cs="Times New Roman"/>
          <w:sz w:val="24"/>
          <w:szCs w:val="24"/>
          <w:shd w:val="clear" w:color="auto" w:fill="FFFFFF"/>
        </w:rPr>
      </w:pPr>
    </w:p>
    <w:p w14:paraId="7CC58828" w14:textId="4B0CF961" w:rsidR="009374C5" w:rsidRPr="007721FB" w:rsidRDefault="00461DB2" w:rsidP="00F42607">
      <w:pPr>
        <w:pStyle w:val="Cabealho2"/>
        <w:spacing w:before="0" w:after="120" w:line="240" w:lineRule="auto"/>
        <w:rPr>
          <w:rFonts w:ascii="Times New Roman" w:hAnsi="Times New Roman" w:cs="Times New Roman"/>
          <w:b/>
          <w:color w:val="auto"/>
          <w:sz w:val="24"/>
          <w:szCs w:val="24"/>
        </w:rPr>
      </w:pPr>
      <w:bookmarkStart w:id="15" w:name="_Toc471829474"/>
      <w:r w:rsidRPr="007721FB">
        <w:rPr>
          <w:rFonts w:ascii="Times New Roman" w:hAnsi="Times New Roman" w:cs="Times New Roman"/>
          <w:b/>
          <w:color w:val="auto"/>
          <w:sz w:val="24"/>
          <w:szCs w:val="24"/>
        </w:rPr>
        <w:t>3</w:t>
      </w:r>
      <w:r w:rsidR="009374C5" w:rsidRPr="007721FB">
        <w:rPr>
          <w:rFonts w:ascii="Times New Roman" w:hAnsi="Times New Roman" w:cs="Times New Roman"/>
          <w:b/>
          <w:color w:val="auto"/>
          <w:sz w:val="24"/>
          <w:szCs w:val="24"/>
        </w:rPr>
        <w:t>.5 pH-</w:t>
      </w:r>
      <w:r w:rsidR="00D03C63" w:rsidRPr="007721FB">
        <w:rPr>
          <w:rFonts w:ascii="Times New Roman" w:hAnsi="Times New Roman" w:cs="Times New Roman"/>
          <w:b/>
          <w:color w:val="auto"/>
          <w:sz w:val="24"/>
          <w:szCs w:val="24"/>
        </w:rPr>
        <w:t>responsive</w:t>
      </w:r>
      <w:bookmarkEnd w:id="14"/>
      <w:bookmarkEnd w:id="15"/>
      <w:r w:rsidR="00186724" w:rsidRPr="007721FB">
        <w:rPr>
          <w:rFonts w:ascii="Times New Roman" w:hAnsi="Times New Roman" w:cs="Times New Roman"/>
          <w:b/>
          <w:color w:val="auto"/>
          <w:sz w:val="24"/>
          <w:szCs w:val="24"/>
        </w:rPr>
        <w:t xml:space="preserve"> nanocarriers</w:t>
      </w:r>
    </w:p>
    <w:p w14:paraId="12EE9E0E" w14:textId="268D7D51" w:rsidR="004D3DEA" w:rsidRPr="007721FB" w:rsidRDefault="00DD4640" w:rsidP="00EE0E61">
      <w:pPr>
        <w:spacing w:after="0" w:line="240" w:lineRule="auto"/>
        <w:jc w:val="both"/>
        <w:rPr>
          <w:rFonts w:ascii="Times New Roman" w:hAnsi="Times New Roman" w:cs="Times New Roman"/>
          <w:sz w:val="24"/>
          <w:szCs w:val="24"/>
        </w:rPr>
      </w:pPr>
      <w:r w:rsidRPr="007721FB">
        <w:rPr>
          <w:rFonts w:ascii="Times New Roman" w:hAnsi="Times New Roman" w:cs="Times New Roman"/>
          <w:sz w:val="24"/>
          <w:szCs w:val="24"/>
        </w:rPr>
        <w:t xml:space="preserve">   </w:t>
      </w:r>
      <w:r w:rsidR="00810D6F" w:rsidRPr="007721FB">
        <w:rPr>
          <w:rFonts w:ascii="Times New Roman" w:hAnsi="Times New Roman" w:cs="Times New Roman"/>
          <w:sz w:val="24"/>
          <w:szCs w:val="24"/>
        </w:rPr>
        <w:t>T</w:t>
      </w:r>
      <w:r w:rsidRPr="007721FB">
        <w:rPr>
          <w:rFonts w:ascii="Times New Roman" w:hAnsi="Times New Roman" w:cs="Times New Roman"/>
          <w:sz w:val="24"/>
          <w:szCs w:val="24"/>
        </w:rPr>
        <w:t>herapeutics delivery</w:t>
      </w:r>
      <w:r w:rsidR="00154969" w:rsidRPr="007721FB">
        <w:rPr>
          <w:rFonts w:ascii="Times New Roman" w:hAnsi="Times New Roman" w:cs="Times New Roman"/>
          <w:sz w:val="24"/>
          <w:szCs w:val="24"/>
        </w:rPr>
        <w:t xml:space="preserve"> from nanocarriers</w:t>
      </w:r>
      <w:r w:rsidR="00810D6F" w:rsidRPr="007721FB">
        <w:rPr>
          <w:rFonts w:ascii="Times New Roman" w:hAnsi="Times New Roman" w:cs="Times New Roman"/>
          <w:sz w:val="24"/>
          <w:szCs w:val="24"/>
        </w:rPr>
        <w:t xml:space="preserve"> via pH</w:t>
      </w:r>
      <w:r w:rsidR="00721F8D" w:rsidRPr="007721FB">
        <w:rPr>
          <w:rFonts w:ascii="Times New Roman" w:hAnsi="Times New Roman" w:cs="Times New Roman"/>
          <w:sz w:val="24"/>
          <w:szCs w:val="24"/>
        </w:rPr>
        <w:t xml:space="preserve"> stimuli</w:t>
      </w:r>
      <w:r w:rsidRPr="007721FB">
        <w:rPr>
          <w:rFonts w:ascii="Times New Roman" w:hAnsi="Times New Roman" w:cs="Times New Roman"/>
          <w:sz w:val="24"/>
          <w:szCs w:val="24"/>
        </w:rPr>
        <w:t xml:space="preserve"> </w:t>
      </w:r>
      <w:r w:rsidR="00E03B04" w:rsidRPr="007721FB">
        <w:rPr>
          <w:rFonts w:ascii="Times New Roman" w:hAnsi="Times New Roman" w:cs="Times New Roman"/>
          <w:sz w:val="24"/>
          <w:szCs w:val="24"/>
        </w:rPr>
        <w:t>can</w:t>
      </w:r>
      <w:r w:rsidRPr="007721FB">
        <w:rPr>
          <w:rFonts w:ascii="Times New Roman" w:hAnsi="Times New Roman" w:cs="Times New Roman"/>
          <w:sz w:val="24"/>
          <w:szCs w:val="24"/>
        </w:rPr>
        <w:t xml:space="preserve"> </w:t>
      </w:r>
      <w:r w:rsidR="0035126E" w:rsidRPr="007721FB">
        <w:rPr>
          <w:rFonts w:ascii="Times New Roman" w:hAnsi="Times New Roman" w:cs="Times New Roman"/>
          <w:sz w:val="24"/>
          <w:szCs w:val="24"/>
        </w:rPr>
        <w:t xml:space="preserve">be explored </w:t>
      </w:r>
      <w:r w:rsidR="006D2A27" w:rsidRPr="007721FB">
        <w:rPr>
          <w:rFonts w:ascii="Times New Roman" w:hAnsi="Times New Roman" w:cs="Times New Roman"/>
          <w:sz w:val="24"/>
          <w:szCs w:val="24"/>
        </w:rPr>
        <w:t>mainly</w:t>
      </w:r>
      <w:r w:rsidR="006D2A27" w:rsidRPr="007721FB" w:rsidDel="00DD4640">
        <w:rPr>
          <w:rFonts w:ascii="Times New Roman" w:hAnsi="Times New Roman" w:cs="Times New Roman"/>
          <w:sz w:val="24"/>
          <w:szCs w:val="24"/>
        </w:rPr>
        <w:t xml:space="preserve"> </w:t>
      </w:r>
      <w:r w:rsidR="0035126E" w:rsidRPr="007721FB">
        <w:rPr>
          <w:rFonts w:ascii="Times New Roman" w:hAnsi="Times New Roman" w:cs="Times New Roman"/>
          <w:sz w:val="24"/>
          <w:szCs w:val="24"/>
        </w:rPr>
        <w:t>in two different modes</w:t>
      </w:r>
      <w:r w:rsidR="00E03B04" w:rsidRPr="007721FB">
        <w:rPr>
          <w:rFonts w:ascii="Times New Roman" w:hAnsi="Times New Roman" w:cs="Times New Roman"/>
          <w:sz w:val="24"/>
          <w:szCs w:val="24"/>
        </w:rPr>
        <w:t>. The first one involves the design of nanocarrier</w:t>
      </w:r>
      <w:r w:rsidR="00721F8D" w:rsidRPr="007721FB">
        <w:rPr>
          <w:rFonts w:ascii="Times New Roman" w:hAnsi="Times New Roman" w:cs="Times New Roman"/>
          <w:sz w:val="24"/>
          <w:szCs w:val="24"/>
        </w:rPr>
        <w:t>s</w:t>
      </w:r>
      <w:r w:rsidR="00E03B04" w:rsidRPr="007721FB">
        <w:rPr>
          <w:rFonts w:ascii="Times New Roman" w:hAnsi="Times New Roman" w:cs="Times New Roman"/>
          <w:sz w:val="24"/>
          <w:szCs w:val="24"/>
        </w:rPr>
        <w:t xml:space="preserve"> with a pH-sensitive </w:t>
      </w:r>
      <w:r w:rsidR="00721F8D" w:rsidRPr="007721FB">
        <w:rPr>
          <w:rFonts w:ascii="Times New Roman" w:hAnsi="Times New Roman" w:cs="Times New Roman"/>
          <w:sz w:val="24"/>
          <w:szCs w:val="24"/>
        </w:rPr>
        <w:t>release profile</w:t>
      </w:r>
      <w:r w:rsidR="00B23EE6" w:rsidRPr="007721FB">
        <w:rPr>
          <w:rFonts w:ascii="Times New Roman" w:hAnsi="Times New Roman" w:cs="Times New Roman"/>
          <w:sz w:val="24"/>
          <w:szCs w:val="24"/>
        </w:rPr>
        <w:t xml:space="preserve"> resulting from existence of carboxylic acids or amines (including tertiary amines)</w:t>
      </w:r>
      <w:r w:rsidR="00E03B04" w:rsidRPr="007721FB">
        <w:rPr>
          <w:rFonts w:ascii="Times New Roman" w:hAnsi="Times New Roman" w:cs="Times New Roman"/>
          <w:sz w:val="24"/>
          <w:szCs w:val="24"/>
        </w:rPr>
        <w:t xml:space="preserve"> </w:t>
      </w:r>
      <w:r w:rsidR="004D3DEA" w:rsidRPr="007721FB">
        <w:rPr>
          <w:rFonts w:ascii="Times New Roman" w:hAnsi="Times New Roman" w:cs="Times New Roman"/>
          <w:sz w:val="24"/>
          <w:szCs w:val="24"/>
        </w:rPr>
        <w:t>within the nanocarrier backbone/structure</w:t>
      </w:r>
      <w:r w:rsidRPr="007721FB">
        <w:rPr>
          <w:rFonts w:ascii="Times New Roman" w:hAnsi="Times New Roman" w:cs="Times New Roman"/>
          <w:sz w:val="24"/>
          <w:szCs w:val="24"/>
        </w:rPr>
        <w:t xml:space="preserve"> </w:t>
      </w:r>
      <w:r w:rsidR="003D736B" w:rsidRPr="007721FB">
        <w:rPr>
          <w:rFonts w:ascii="Times New Roman" w:hAnsi="Times New Roman" w:cs="Times New Roman"/>
          <w:sz w:val="24"/>
          <w:szCs w:val="24"/>
        </w:rPr>
        <w:fldChar w:fldCharType="begin" w:fldLock="1"/>
      </w:r>
      <w:r w:rsidR="00F1599C" w:rsidRPr="007721FB">
        <w:rPr>
          <w:rFonts w:ascii="Times New Roman" w:hAnsi="Times New Roman" w:cs="Times New Roman"/>
          <w:sz w:val="24"/>
          <w:szCs w:val="24"/>
        </w:rPr>
        <w:instrText>ADDIN CSL_CITATION { "citationItems" : [ { "id" : "ITEM-1", "itemData" : { "DOI" : "10.22203/eCM.v031a23", "ISSN" : "14732262", "author" : [ { "dropping-particle" : "", "family" : "Alencastre", "given" : "I. S.", "non-dropping-particle" : "", "parse-names" : false, "suffix" : "" }, { "dropping-particle" : "", "family" : "Sousa", "given" : "D. M.", "non-dropping-particle" : "", "parse-names" : false, "suffix" : "" }, { "dropping-particle" : "", "family" : "Alves", "given" : "C. J.", "non-dropping-particle" : "", "parse-names" : false, "suffix" : "" }, { "dropping-particle" : "", "family" : "Leit\u00e3o", "given" : "L.", "non-dropping-particle" : "", "parse-names" : false, "suffix" : "" }, { "dropping-particle" : "", "family" : "Neto", "given" : "E.", "non-dropping-particle" : "", "parse-names" : false, "suffix" : "" }, { "dropping-particle" : "", "family" : "Aguiar", "given" : "P.", "non-dropping-particle" : "", "parse-names" : false, "suffix" : "" }, { "dropping-particle" : "", "family" : "Lamghari", "given" : "Meriem", "non-dropping-particle" : "", "parse-names" : false, "suffix" : "" } ], "container-title" : "European Cells and Materials", "id" : "ITEM-1", "issued" : { "date-parts" : [ [ "2016" ] ] }, "page" : "355-381", "title" : "Delivery of pharmaceutics to bone: Nanotechnologies, high-throughput processing and in silico mathematical models", "type" : "article-journal", "volume" : "31" }, "uris" : [ "http://www.mendeley.com/documents/?uuid=aab045be-86a8-4cab-8b84-a83e297ee4a3", "http://www.mendeley.com/documents/?uuid=2a4122c7-da52-4c62-9b0b-487e5b6fe31a" ] }, { "id" : "ITEM-2", "itemData" : { "ISSN" : "0142-9612", "author" : [ { "dropping-particle" : "", "family" : "Kanamala", "given" : "Manju", "non-dropping-particle" : "", "parse-names" : false, "suffix" : "" }, { "dropping-particle" : "", "family" : "Wilson", "given" : "William R", "non-dropping-particle" : "", "parse-names" : false, "suffix" : "" }, { "dropping-particle" : "", "family" : "Yang", "given" : "Mimi", "non-dropping-particle" : "", "parse-names" : false, "suffix" : "" }, { "dropping-particle" : "", "family" : "Palmer", "given" : "Brian D", "non-dropping-particle" : "", "parse-names" : false, "suffix" : "" }, { "dropping-particle" : "", "family" : "Wu", "given" : "Zimei", "non-dropping-particle" : "", "parse-names" : false, "suffix" : "" } ], "container-title" : "Biomaterials", "id" : "ITEM-2", "issued" : { "date-parts" : [ [ "2016" ] ] }, "page" : "152-167", "publisher" : "Elsevier", "title" : "Mechanisms and biomaterials in pH-responsive tumour targeted drug delivery: a review", "type" : "article-journal", "volume" : "85" }, "uris" : [ "http://www.mendeley.com/documents/?uuid=9c3550f1-d7f8-4be1-9f47-dd7d6566a85f" ] } ], "mendeley" : { "formattedCitation" : "[14,107]", "plainTextFormattedCitation" : "[14,107]", "previouslyFormattedCitation" : "[14,107]" }, "properties" : { "noteIndex" : 0 }, "schema" : "https://github.com/citation-style-language/schema/raw/master/csl-citation.json" }</w:instrText>
      </w:r>
      <w:r w:rsidR="003D736B" w:rsidRPr="007721FB">
        <w:rPr>
          <w:rFonts w:ascii="Times New Roman" w:hAnsi="Times New Roman" w:cs="Times New Roman"/>
          <w:sz w:val="24"/>
          <w:szCs w:val="24"/>
        </w:rPr>
        <w:fldChar w:fldCharType="separate"/>
      </w:r>
      <w:r w:rsidR="00F1599C" w:rsidRPr="007721FB">
        <w:rPr>
          <w:rFonts w:ascii="Times New Roman" w:hAnsi="Times New Roman" w:cs="Times New Roman"/>
          <w:noProof/>
          <w:sz w:val="24"/>
          <w:szCs w:val="24"/>
        </w:rPr>
        <w:t>[14,107]</w:t>
      </w:r>
      <w:r w:rsidR="003D736B" w:rsidRPr="007721FB">
        <w:rPr>
          <w:rFonts w:ascii="Times New Roman" w:hAnsi="Times New Roman" w:cs="Times New Roman"/>
          <w:sz w:val="24"/>
          <w:szCs w:val="24"/>
        </w:rPr>
        <w:fldChar w:fldCharType="end"/>
      </w:r>
      <w:r w:rsidRPr="007721FB">
        <w:rPr>
          <w:rFonts w:ascii="Times New Roman" w:hAnsi="Times New Roman" w:cs="Times New Roman"/>
          <w:sz w:val="24"/>
          <w:szCs w:val="24"/>
        </w:rPr>
        <w:t>.</w:t>
      </w:r>
      <w:r w:rsidR="004D3DEA" w:rsidRPr="007721FB">
        <w:rPr>
          <w:rFonts w:ascii="Times New Roman" w:hAnsi="Times New Roman" w:cs="Times New Roman"/>
          <w:sz w:val="24"/>
          <w:szCs w:val="24"/>
        </w:rPr>
        <w:t xml:space="preserve"> Changes in the medium pH</w:t>
      </w:r>
      <w:r w:rsidR="00973389" w:rsidRPr="007721FB">
        <w:rPr>
          <w:rFonts w:ascii="Times New Roman" w:hAnsi="Times New Roman" w:cs="Times New Roman"/>
          <w:sz w:val="24"/>
          <w:szCs w:val="24"/>
        </w:rPr>
        <w:t xml:space="preserve"> then</w:t>
      </w:r>
      <w:r w:rsidR="004B1E12" w:rsidRPr="007721FB">
        <w:rPr>
          <w:rFonts w:ascii="Times New Roman" w:hAnsi="Times New Roman" w:cs="Times New Roman"/>
          <w:sz w:val="24"/>
          <w:szCs w:val="24"/>
        </w:rPr>
        <w:t xml:space="preserve"> result</w:t>
      </w:r>
      <w:r w:rsidR="00973389" w:rsidRPr="007721FB">
        <w:rPr>
          <w:rFonts w:ascii="Times New Roman" w:hAnsi="Times New Roman" w:cs="Times New Roman"/>
          <w:sz w:val="24"/>
          <w:szCs w:val="24"/>
        </w:rPr>
        <w:t>s</w:t>
      </w:r>
      <w:r w:rsidR="004B1E12" w:rsidRPr="007721FB">
        <w:rPr>
          <w:rFonts w:ascii="Times New Roman" w:hAnsi="Times New Roman" w:cs="Times New Roman"/>
          <w:sz w:val="24"/>
          <w:szCs w:val="24"/>
        </w:rPr>
        <w:t xml:space="preserve"> in</w:t>
      </w:r>
      <w:r w:rsidR="004D3DEA" w:rsidRPr="007721FB">
        <w:rPr>
          <w:rFonts w:ascii="Times New Roman" w:hAnsi="Times New Roman" w:cs="Times New Roman"/>
          <w:sz w:val="24"/>
          <w:szCs w:val="24"/>
        </w:rPr>
        <w:t xml:space="preserve"> </w:t>
      </w:r>
      <w:r w:rsidR="00632C93" w:rsidRPr="007721FB">
        <w:rPr>
          <w:rFonts w:ascii="Times New Roman" w:hAnsi="Times New Roman" w:cs="Times New Roman"/>
          <w:sz w:val="24"/>
          <w:szCs w:val="24"/>
        </w:rPr>
        <w:t xml:space="preserve">different </w:t>
      </w:r>
      <w:r w:rsidR="004D3DEA" w:rsidRPr="007721FB">
        <w:rPr>
          <w:rFonts w:ascii="Times New Roman" w:hAnsi="Times New Roman" w:cs="Times New Roman"/>
          <w:sz w:val="24"/>
          <w:szCs w:val="24"/>
        </w:rPr>
        <w:t xml:space="preserve">protonation/deprotonation </w:t>
      </w:r>
      <w:r w:rsidR="00632C93" w:rsidRPr="007721FB">
        <w:rPr>
          <w:rFonts w:ascii="Times New Roman" w:hAnsi="Times New Roman" w:cs="Times New Roman"/>
          <w:sz w:val="24"/>
          <w:szCs w:val="24"/>
        </w:rPr>
        <w:t xml:space="preserve">states of these </w:t>
      </w:r>
      <w:r w:rsidR="004B1E12" w:rsidRPr="007721FB">
        <w:rPr>
          <w:rFonts w:ascii="Times New Roman" w:hAnsi="Times New Roman" w:cs="Times New Roman"/>
          <w:sz w:val="24"/>
          <w:szCs w:val="24"/>
        </w:rPr>
        <w:t xml:space="preserve">ionizable </w:t>
      </w:r>
      <w:r w:rsidR="00632C93" w:rsidRPr="007721FB">
        <w:rPr>
          <w:rFonts w:ascii="Times New Roman" w:hAnsi="Times New Roman" w:cs="Times New Roman"/>
          <w:sz w:val="24"/>
          <w:szCs w:val="24"/>
        </w:rPr>
        <w:t>groups</w:t>
      </w:r>
      <w:r w:rsidR="00F1599C" w:rsidRPr="007721FB">
        <w:rPr>
          <w:rFonts w:ascii="Times New Roman" w:hAnsi="Times New Roman" w:cs="Times New Roman"/>
          <w:sz w:val="24"/>
          <w:szCs w:val="24"/>
        </w:rPr>
        <w:t xml:space="preserve"> and to a shift in nanocarriers properties</w:t>
      </w:r>
      <w:r w:rsidR="00632C93" w:rsidRPr="007721FB">
        <w:rPr>
          <w:rFonts w:ascii="Times New Roman" w:hAnsi="Times New Roman" w:cs="Times New Roman"/>
          <w:sz w:val="24"/>
          <w:szCs w:val="24"/>
        </w:rPr>
        <w:t xml:space="preserve">. This </w:t>
      </w:r>
      <w:r w:rsidR="00790D3A" w:rsidRPr="007721FB">
        <w:rPr>
          <w:rFonts w:ascii="Times New Roman" w:hAnsi="Times New Roman" w:cs="Times New Roman"/>
          <w:sz w:val="24"/>
          <w:szCs w:val="24"/>
        </w:rPr>
        <w:t>behavio</w:t>
      </w:r>
      <w:r w:rsidR="00632C93" w:rsidRPr="007721FB">
        <w:rPr>
          <w:rFonts w:ascii="Times New Roman" w:hAnsi="Times New Roman" w:cs="Times New Roman"/>
          <w:sz w:val="24"/>
          <w:szCs w:val="24"/>
        </w:rPr>
        <w:t>r can</w:t>
      </w:r>
      <w:r w:rsidR="005C35EB" w:rsidRPr="007721FB">
        <w:rPr>
          <w:rFonts w:ascii="Times New Roman" w:hAnsi="Times New Roman" w:cs="Times New Roman"/>
          <w:sz w:val="24"/>
          <w:szCs w:val="24"/>
        </w:rPr>
        <w:t xml:space="preserve"> thus</w:t>
      </w:r>
      <w:r w:rsidR="00871845" w:rsidRPr="007721FB">
        <w:rPr>
          <w:rFonts w:ascii="Times New Roman" w:hAnsi="Times New Roman" w:cs="Times New Roman"/>
          <w:sz w:val="24"/>
          <w:szCs w:val="24"/>
        </w:rPr>
        <w:t xml:space="preserve"> </w:t>
      </w:r>
      <w:r w:rsidR="00632C93" w:rsidRPr="007721FB">
        <w:rPr>
          <w:rFonts w:ascii="Times New Roman" w:hAnsi="Times New Roman" w:cs="Times New Roman"/>
          <w:sz w:val="24"/>
          <w:szCs w:val="24"/>
        </w:rPr>
        <w:t xml:space="preserve">be explored for </w:t>
      </w:r>
      <w:r w:rsidR="00721F8D" w:rsidRPr="007721FB">
        <w:rPr>
          <w:rFonts w:ascii="Times New Roman" w:hAnsi="Times New Roman" w:cs="Times New Roman"/>
          <w:sz w:val="24"/>
          <w:szCs w:val="24"/>
        </w:rPr>
        <w:t xml:space="preserve">spatiotemporally controlled </w:t>
      </w:r>
      <w:r w:rsidR="00632C93" w:rsidRPr="007721FB">
        <w:rPr>
          <w:rFonts w:ascii="Times New Roman" w:hAnsi="Times New Roman" w:cs="Times New Roman"/>
          <w:sz w:val="24"/>
          <w:szCs w:val="24"/>
        </w:rPr>
        <w:t>delivery of entrapped drugs within polymeric nanocarriers</w:t>
      </w:r>
      <w:r w:rsidR="00871845" w:rsidRPr="007721FB">
        <w:rPr>
          <w:rFonts w:ascii="Times New Roman" w:hAnsi="Times New Roman" w:cs="Times New Roman"/>
          <w:sz w:val="24"/>
          <w:szCs w:val="24"/>
        </w:rPr>
        <w:t xml:space="preserve"> in specific microenvironments</w:t>
      </w:r>
      <w:r w:rsidR="00632C93" w:rsidRPr="007721FB">
        <w:rPr>
          <w:rFonts w:ascii="Times New Roman" w:hAnsi="Times New Roman" w:cs="Times New Roman"/>
          <w:sz w:val="24"/>
          <w:szCs w:val="24"/>
        </w:rPr>
        <w:t xml:space="preserve">. </w:t>
      </w:r>
      <w:r w:rsidR="00871845" w:rsidRPr="007721FB">
        <w:rPr>
          <w:rFonts w:ascii="Times New Roman" w:hAnsi="Times New Roman" w:cs="Times New Roman"/>
          <w:sz w:val="24"/>
          <w:szCs w:val="24"/>
        </w:rPr>
        <w:t xml:space="preserve">The </w:t>
      </w:r>
      <w:r w:rsidR="00632C93" w:rsidRPr="007721FB">
        <w:rPr>
          <w:rFonts w:ascii="Times New Roman" w:hAnsi="Times New Roman" w:cs="Times New Roman"/>
          <w:sz w:val="24"/>
          <w:szCs w:val="24"/>
        </w:rPr>
        <w:t>s</w:t>
      </w:r>
      <w:r w:rsidR="00BD5206" w:rsidRPr="007721FB">
        <w:rPr>
          <w:rFonts w:ascii="Times New Roman" w:hAnsi="Times New Roman" w:cs="Times New Roman"/>
          <w:sz w:val="24"/>
          <w:szCs w:val="24"/>
        </w:rPr>
        <w:t>econd alternative involves drug attachment to</w:t>
      </w:r>
      <w:r w:rsidR="00632C93" w:rsidRPr="007721FB">
        <w:rPr>
          <w:rFonts w:ascii="Times New Roman" w:hAnsi="Times New Roman" w:cs="Times New Roman"/>
          <w:sz w:val="24"/>
          <w:szCs w:val="24"/>
        </w:rPr>
        <w:t xml:space="preserve"> pH-sensitive </w:t>
      </w:r>
      <w:r w:rsidR="008715EB" w:rsidRPr="007721FB">
        <w:rPr>
          <w:rFonts w:ascii="Times New Roman" w:hAnsi="Times New Roman" w:cs="Times New Roman"/>
          <w:sz w:val="24"/>
          <w:szCs w:val="24"/>
        </w:rPr>
        <w:t xml:space="preserve">moieties </w:t>
      </w:r>
      <w:r w:rsidR="00632C93" w:rsidRPr="007721FB">
        <w:rPr>
          <w:rFonts w:ascii="Times New Roman" w:hAnsi="Times New Roman" w:cs="Times New Roman"/>
          <w:sz w:val="24"/>
          <w:szCs w:val="24"/>
        </w:rPr>
        <w:t>such as polyketals, acetals</w:t>
      </w:r>
      <w:r w:rsidR="00721F8D" w:rsidRPr="007721FB">
        <w:rPr>
          <w:rFonts w:ascii="Times New Roman" w:hAnsi="Times New Roman" w:cs="Times New Roman"/>
          <w:sz w:val="24"/>
          <w:szCs w:val="24"/>
        </w:rPr>
        <w:t xml:space="preserve"> or </w:t>
      </w:r>
      <w:r w:rsidR="00632C93" w:rsidRPr="007721FB">
        <w:rPr>
          <w:rFonts w:ascii="Times New Roman" w:hAnsi="Times New Roman" w:cs="Times New Roman"/>
          <w:sz w:val="24"/>
          <w:szCs w:val="24"/>
        </w:rPr>
        <w:t>hydrazide</w:t>
      </w:r>
      <w:r w:rsidR="008715EB" w:rsidRPr="007721FB">
        <w:rPr>
          <w:rFonts w:ascii="Times New Roman" w:hAnsi="Times New Roman" w:cs="Times New Roman"/>
          <w:sz w:val="24"/>
          <w:szCs w:val="24"/>
        </w:rPr>
        <w:t xml:space="preserve"> l</w:t>
      </w:r>
      <w:r w:rsidR="00721F8D" w:rsidRPr="007721FB">
        <w:rPr>
          <w:rFonts w:ascii="Times New Roman" w:hAnsi="Times New Roman" w:cs="Times New Roman"/>
          <w:sz w:val="24"/>
          <w:szCs w:val="24"/>
        </w:rPr>
        <w:t>inkers</w:t>
      </w:r>
      <w:r w:rsidR="00632C93" w:rsidRPr="007721FB">
        <w:rPr>
          <w:rFonts w:ascii="Times New Roman" w:hAnsi="Times New Roman" w:cs="Times New Roman"/>
          <w:sz w:val="24"/>
          <w:szCs w:val="24"/>
        </w:rPr>
        <w:t xml:space="preserve"> </w:t>
      </w:r>
      <w:r w:rsidR="005C35EB" w:rsidRPr="007721FB">
        <w:rPr>
          <w:rFonts w:ascii="Times New Roman" w:hAnsi="Times New Roman" w:cs="Times New Roman"/>
          <w:sz w:val="24"/>
          <w:szCs w:val="24"/>
        </w:rPr>
        <w:t>that act as anchoring spots</w:t>
      </w:r>
      <w:r w:rsidR="00721F8D" w:rsidRPr="007721FB">
        <w:rPr>
          <w:rFonts w:ascii="Times New Roman" w:hAnsi="Times New Roman" w:cs="Times New Roman"/>
          <w:sz w:val="24"/>
          <w:szCs w:val="24"/>
        </w:rPr>
        <w:t xml:space="preserve"> </w:t>
      </w:r>
      <w:r w:rsidR="00632C93" w:rsidRPr="007721FB">
        <w:rPr>
          <w:rFonts w:ascii="Times New Roman" w:hAnsi="Times New Roman" w:cs="Times New Roman"/>
          <w:sz w:val="24"/>
          <w:szCs w:val="24"/>
        </w:rPr>
        <w:t xml:space="preserve">for </w:t>
      </w:r>
      <w:r w:rsidR="0008039A" w:rsidRPr="007721FB">
        <w:rPr>
          <w:rFonts w:ascii="Times New Roman" w:hAnsi="Times New Roman" w:cs="Times New Roman"/>
          <w:sz w:val="24"/>
          <w:szCs w:val="24"/>
        </w:rPr>
        <w:t>binding th</w:t>
      </w:r>
      <w:r w:rsidR="00632C93" w:rsidRPr="007721FB">
        <w:rPr>
          <w:rFonts w:ascii="Times New Roman" w:hAnsi="Times New Roman" w:cs="Times New Roman"/>
          <w:sz w:val="24"/>
          <w:szCs w:val="24"/>
        </w:rPr>
        <w:t xml:space="preserve">e drug </w:t>
      </w:r>
      <w:r w:rsidR="0008039A" w:rsidRPr="007721FB">
        <w:rPr>
          <w:rFonts w:ascii="Times New Roman" w:hAnsi="Times New Roman" w:cs="Times New Roman"/>
          <w:sz w:val="24"/>
          <w:szCs w:val="24"/>
        </w:rPr>
        <w:t>to</w:t>
      </w:r>
      <w:r w:rsidR="00632C93" w:rsidRPr="007721FB">
        <w:rPr>
          <w:rFonts w:ascii="Times New Roman" w:hAnsi="Times New Roman" w:cs="Times New Roman"/>
          <w:sz w:val="24"/>
          <w:szCs w:val="24"/>
        </w:rPr>
        <w:t xml:space="preserve"> the nanocarrier until pH-</w:t>
      </w:r>
      <w:r w:rsidR="00E5466E" w:rsidRPr="007721FB">
        <w:rPr>
          <w:rFonts w:ascii="Times New Roman" w:hAnsi="Times New Roman" w:cs="Times New Roman"/>
          <w:sz w:val="24"/>
          <w:szCs w:val="24"/>
        </w:rPr>
        <w:t xml:space="preserve">mediated </w:t>
      </w:r>
      <w:r w:rsidR="00632C93" w:rsidRPr="007721FB">
        <w:rPr>
          <w:rFonts w:ascii="Times New Roman" w:hAnsi="Times New Roman" w:cs="Times New Roman"/>
          <w:sz w:val="24"/>
          <w:szCs w:val="24"/>
        </w:rPr>
        <w:t>hydrolysis occurs</w:t>
      </w:r>
      <w:r w:rsidRPr="007721FB">
        <w:rPr>
          <w:rFonts w:ascii="Times New Roman" w:hAnsi="Times New Roman" w:cs="Times New Roman"/>
          <w:sz w:val="24"/>
          <w:szCs w:val="24"/>
        </w:rPr>
        <w:t xml:space="preserve"> </w:t>
      </w:r>
      <w:r w:rsidR="003D736B" w:rsidRPr="007721FB">
        <w:rPr>
          <w:rFonts w:ascii="Times New Roman" w:hAnsi="Times New Roman" w:cs="Times New Roman"/>
          <w:sz w:val="24"/>
          <w:szCs w:val="24"/>
        </w:rPr>
        <w:fldChar w:fldCharType="begin" w:fldLock="1"/>
      </w:r>
      <w:r w:rsidR="00F1599C" w:rsidRPr="007721FB">
        <w:rPr>
          <w:rFonts w:ascii="Times New Roman" w:hAnsi="Times New Roman" w:cs="Times New Roman"/>
          <w:sz w:val="24"/>
          <w:szCs w:val="24"/>
        </w:rPr>
        <w:instrText>ADDIN CSL_CITATION { "citationItems" : [ { "id" : "ITEM-1", "itemData" : { "DOI" : "10.1016/j.copbio.2016.02.029", "ISSN" : "0958-1669", "PMID" : "27064433", "author" : [ { "dropping-particle" : "", "family" : "Newman", "given" : "Maureen R", "non-dropping-particle" : "", "parse-names" : false, "suffix" : "" }, { "dropping-particle" : "", "family" : "Benoit", "given" : "Danielle S W", "non-dropping-particle" : "", "parse-names" : false, "suffix" : "" } ], "container-title" : "Current Opinion in Biotechnology", "id" : "ITEM-1", "issued" : { "date-parts" : [ [ "2016" ] ] }, "page" : "125-132", "publisher" : "Elsevier Ltd", "title" : "Local and targeted drug delivery for bone regeneration", "type" : "article-journal", "volume" : "40" }, "uris" : [ "http://www.mendeley.com/documents/?uuid=9c10c4b0-4456-493a-8aff-618a0ef947ce", "http://www.mendeley.com/documents/?uuid=7811f736-38f6-401f-b346-0082b62fc6b6" ] }, { "id" : "ITEM-2", "itemData" : { "DOI" : "10.1016/j.addr.2012.01.020", "ISBN" : "0169-409X", "ISSN" : "0169409X", "PMID" : "22349241", "abstract" : "The use of polymeric nanocarriers to transport active compounds like small-molecular drugs, peptides, or genes found an increased attention throughout the different fields of natural sciences. Not only that these nanocarriers enhance the properties of already existing drugs in terms of solubility, bioavailability, and prolonged circulation times, furthermore they can be tailor-made in such a manner that they selectively release their cargo at the desired site of action. For the triggered release, these so-called smart drug delivery systems are designed to react on certain stimuli like pH, temperature, redox potential, enzymes, light, and ultrasound. Some of these stimuli are naturally occurring in vivo, for example the difference in pH in different cellular compartments while others are caused by the disease, which is to be treated, like differences in pH and temperature in some tumor tissues. Other external applied stimuli, like light and ultrasound, allow the temporal and spatial control of the release, since they are not triggered by any biological event. This review gives a brief overview about some types of stimuli-responsive nanocarriers with the main focus on organic polymer-based systems. Furthermore, the different stimuli and the design of corresponding responsive nanocarriers will be discussed with the help of selected examples from the literature. \u00a9 2012 Elsevier B.V.", "author" : [ { "dropping-particle" : "", "family" : "Fleige", "given" : "Emanuel", "non-dropping-particle" : "", "parse-names" : false, "suffix" : "" }, { "dropping-particle" : "", "family" : "Quadir", "given" : "Mohiuddin A.", "non-dropping-particle" : "", "parse-names" : false, "suffix" : "" }, { "dropping-particle" : "", "family" : "Haag", "given" : "Rainer", "non-dropping-particle" : "", "parse-names" : false, "suffix" : "" } ], "container-title" : "Advanced Drug Delivery Reviews", "id" : "ITEM-2", "issue" : "9", "issued" : { "date-parts" : [ [ "2012" ] ] }, "page" : "866-884", "publisher" : "Elsevier B.V.", "title" : "Stimuli-responsive polymeric nanocarriers for the controlled transport of active compounds: Concepts and applications", "type" : "article-journal", "volume" : "64" }, "uris" : [ "http://www.mendeley.com/documents/?uuid=22b69028-3c91-46a7-8067-ac6b1d2a84db", "http://www.mendeley.com/documents/?uuid=e7802d55-ca29-48ca-924b-8462c33add9d" ] }, { "id" : "ITEM-3", "itemData" : { "ISSN" : "0168-3659", "author" : [ { "dropping-particle" : "", "family" : "Pang", "given" : "Xin", "non-dropping-particle" : "", "parse-names" : false, "suffix" : "" }, { "dropping-particle" : "", "family" : "Jiang", "given" : "Yue", "non-dropping-particle" : "", "parse-names" : false, "suffix" : "" }, { "dropping-particle" : "", "family" : "Xiao", "given" : "Qicai", "non-dropping-particle" : "", "parse-names" : false, "suffix" : "" }, { "dropping-particle" : "", "family" : "Leung", "given" : "Albert Wingnang", "non-dropping-particle" : "", "parse-names" : false, "suffix" : "" }, { "dropping-particle" : "", "family" : "Hua", "given" : "Heyu", "non-dropping-particle" : "", "parse-names" : false, "suffix" : "" }, { "dropping-particle" : "", "family" : "Xu", "given" : "Chuanshan", "non-dropping-particle" : "", "parse-names" : false, "suffix" : "" } ], "container-title" : "Journal of Controlled Release", "id" : "ITEM-3", "issued" : { "date-parts" : [ [ "2016" ] ] }, "page" : "116-129", "publisher" : "Elsevier", "title" : "pH-responsive polymer\u2013drug conjugates: design and progress", "type" : "article-journal", "volume" : "222" }, "uris" : [ "http://www.mendeley.com/documents/?uuid=b4bfe3a2-44f5-4e16-ac5a-33683486cf16" ] } ], "mendeley" : { "formattedCitation" : "[10,90,108]", "plainTextFormattedCitation" : "[10,90,108]", "previouslyFormattedCitation" : "[10,90,108]" }, "properties" : { "noteIndex" : 0 }, "schema" : "https://github.com/citation-style-language/schema/raw/master/csl-citation.json" }</w:instrText>
      </w:r>
      <w:r w:rsidR="003D736B" w:rsidRPr="007721FB">
        <w:rPr>
          <w:rFonts w:ascii="Times New Roman" w:hAnsi="Times New Roman" w:cs="Times New Roman"/>
          <w:sz w:val="24"/>
          <w:szCs w:val="24"/>
        </w:rPr>
        <w:fldChar w:fldCharType="separate"/>
      </w:r>
      <w:r w:rsidR="00F1599C" w:rsidRPr="007721FB">
        <w:rPr>
          <w:rFonts w:ascii="Times New Roman" w:hAnsi="Times New Roman" w:cs="Times New Roman"/>
          <w:noProof/>
          <w:sz w:val="24"/>
          <w:szCs w:val="24"/>
        </w:rPr>
        <w:t>[10,90,108]</w:t>
      </w:r>
      <w:r w:rsidR="003D736B" w:rsidRPr="007721FB">
        <w:rPr>
          <w:rFonts w:ascii="Times New Roman" w:hAnsi="Times New Roman" w:cs="Times New Roman"/>
          <w:sz w:val="24"/>
          <w:szCs w:val="24"/>
        </w:rPr>
        <w:fldChar w:fldCharType="end"/>
      </w:r>
      <w:r w:rsidRPr="007721FB">
        <w:rPr>
          <w:rFonts w:ascii="Times New Roman" w:hAnsi="Times New Roman" w:cs="Times New Roman"/>
          <w:sz w:val="24"/>
          <w:szCs w:val="24"/>
        </w:rPr>
        <w:t>.</w:t>
      </w:r>
    </w:p>
    <w:p w14:paraId="32FB33F0" w14:textId="15364F1F" w:rsidR="00EF72FF" w:rsidRPr="007721FB" w:rsidRDefault="008C3A8C" w:rsidP="00492250">
      <w:pPr>
        <w:spacing w:after="0" w:line="240" w:lineRule="auto"/>
        <w:jc w:val="both"/>
        <w:rPr>
          <w:rFonts w:ascii="Times New Roman" w:hAnsi="Times New Roman" w:cs="Times New Roman"/>
          <w:sz w:val="24"/>
          <w:szCs w:val="24"/>
        </w:rPr>
      </w:pPr>
      <w:r w:rsidRPr="007721FB">
        <w:rPr>
          <w:rFonts w:ascii="Times New Roman" w:hAnsi="Times New Roman" w:cs="Times New Roman"/>
          <w:sz w:val="24"/>
          <w:szCs w:val="24"/>
        </w:rPr>
        <w:t xml:space="preserve">   To date nanocarriers pH-sensitivity has been mainly explored for cancer therapy due to </w:t>
      </w:r>
      <w:r w:rsidR="00EF72FF" w:rsidRPr="007721FB">
        <w:rPr>
          <w:rFonts w:ascii="Times New Roman" w:hAnsi="Times New Roman" w:cs="Times New Roman"/>
          <w:sz w:val="24"/>
          <w:szCs w:val="24"/>
        </w:rPr>
        <w:t xml:space="preserve">the </w:t>
      </w:r>
      <w:r w:rsidRPr="007721FB">
        <w:rPr>
          <w:rFonts w:ascii="Times New Roman" w:hAnsi="Times New Roman" w:cs="Times New Roman"/>
          <w:sz w:val="24"/>
          <w:szCs w:val="24"/>
        </w:rPr>
        <w:t>characteristic acidic</w:t>
      </w:r>
      <w:r w:rsidR="00EF72FF" w:rsidRPr="007721FB">
        <w:rPr>
          <w:rFonts w:ascii="Times New Roman" w:hAnsi="Times New Roman" w:cs="Times New Roman"/>
          <w:sz w:val="24"/>
          <w:szCs w:val="24"/>
        </w:rPr>
        <w:t xml:space="preserve"> pH in</w:t>
      </w:r>
      <w:r w:rsidRPr="007721FB">
        <w:rPr>
          <w:rFonts w:ascii="Times New Roman" w:hAnsi="Times New Roman" w:cs="Times New Roman"/>
          <w:sz w:val="24"/>
          <w:szCs w:val="24"/>
        </w:rPr>
        <w:t xml:space="preserve"> tumor</w:t>
      </w:r>
      <w:r w:rsidR="00EF72FF" w:rsidRPr="007721FB">
        <w:rPr>
          <w:rFonts w:ascii="Times New Roman" w:hAnsi="Times New Roman" w:cs="Times New Roman"/>
          <w:sz w:val="24"/>
          <w:szCs w:val="24"/>
        </w:rPr>
        <w:t>s</w:t>
      </w:r>
      <w:r w:rsidRPr="007721FB">
        <w:rPr>
          <w:rFonts w:ascii="Times New Roman" w:hAnsi="Times New Roman" w:cs="Times New Roman"/>
          <w:sz w:val="24"/>
          <w:szCs w:val="24"/>
        </w:rPr>
        <w:t xml:space="preserve"> microenvironment (pH 6.5-7.2)</w:t>
      </w:r>
      <w:r w:rsidR="00EF72FF" w:rsidRPr="007721FB">
        <w:rPr>
          <w:rFonts w:ascii="Times New Roman" w:hAnsi="Times New Roman" w:cs="Times New Roman"/>
          <w:sz w:val="24"/>
          <w:szCs w:val="24"/>
        </w:rPr>
        <w:t xml:space="preserve"> </w:t>
      </w:r>
      <w:r w:rsidRPr="007721FB">
        <w:rPr>
          <w:rFonts w:ascii="Times New Roman" w:hAnsi="Times New Roman" w:cs="Times New Roman"/>
          <w:sz w:val="24"/>
          <w:szCs w:val="24"/>
        </w:rPr>
        <w:fldChar w:fldCharType="begin" w:fldLock="1"/>
      </w:r>
      <w:r w:rsidR="00F1599C" w:rsidRPr="007721FB">
        <w:rPr>
          <w:rFonts w:ascii="Times New Roman" w:hAnsi="Times New Roman" w:cs="Times New Roman"/>
          <w:sz w:val="24"/>
          <w:szCs w:val="24"/>
        </w:rPr>
        <w:instrText>ADDIN CSL_CITATION { "citationItems" : [ { "id" : "ITEM-1", "itemData" : { "DOI" : "10.1016/j.addr.2006.09.020", "author" : [ { "dropping-particle" : "", "family" : "Schmaljohann", "given" : "Dirk", "non-dropping-particle" : "", "parse-names" : false, "suffix" : "" } ], "container-title" : "Advanced Drug Delivery Reviews", "id" : "ITEM-1", "issued" : { "date-parts" : [ [ "2006" ] ] }, "page" : "1655-1670", "title" : "Thermo- and pH-responsive polymers in drug delivery", "type" : "article-journal", "volume" : "58" }, "uris" : [ "http://www.mendeley.com/documents/?uuid=d6adad31-30c3-4fad-a142-3d8acfc16221", "http://www.mendeley.com/documents/?uuid=6038ce19-b74e-4f25-bde6-bc5f7c1e6278" ] }, { "id" : "ITEM-2", "itemData" : { "DOI" : "10.1016/j.addr.2010.03.011", "ISSN" : "0169-409X", "author" : [ { "dropping-particle" : "", "family" : "Torchilin", "given" : "Vladimir", "non-dropping-particle" : "", "parse-names" : false, "suffix" : "" } ], "container-title" : "Advanced Drug Delivery Reviews", "id" : "ITEM-2", "issue" : "3", "issued" : { "date-parts" : [ [ "2011" ] ] }, "page" : "131-135", "publisher" : "Elsevier B.V.", "title" : "Tumor delivery of macromolecular drugs based on the EPR effect", "type" : "article-journal", "volume" : "63" }, "uris" : [ "http://www.mendeley.com/documents/?uuid=f326e33c-445f-4dda-bf48-b2bdd0613865", "http://www.mendeley.com/documents/?uuid=daffe46d-7368-4e05-a1fb-8454b757e945" ] } ], "mendeley" : { "formattedCitation" : "[109,110]", "plainTextFormattedCitation" : "[109,110]", "previouslyFormattedCitation" : "[109,110]" }, "properties" : { "noteIndex" : 0 }, "schema" : "https://github.com/citation-style-language/schema/raw/master/csl-citation.json" }</w:instrText>
      </w:r>
      <w:r w:rsidRPr="007721FB">
        <w:rPr>
          <w:rFonts w:ascii="Times New Roman" w:hAnsi="Times New Roman" w:cs="Times New Roman"/>
          <w:sz w:val="24"/>
          <w:szCs w:val="24"/>
        </w:rPr>
        <w:fldChar w:fldCharType="separate"/>
      </w:r>
      <w:r w:rsidR="00F1599C" w:rsidRPr="007721FB">
        <w:rPr>
          <w:rFonts w:ascii="Times New Roman" w:hAnsi="Times New Roman" w:cs="Times New Roman"/>
          <w:noProof/>
          <w:sz w:val="24"/>
          <w:szCs w:val="24"/>
        </w:rPr>
        <w:t>[109,110]</w:t>
      </w:r>
      <w:r w:rsidRPr="007721FB">
        <w:rPr>
          <w:rFonts w:ascii="Times New Roman" w:hAnsi="Times New Roman" w:cs="Times New Roman"/>
          <w:sz w:val="24"/>
          <w:szCs w:val="24"/>
        </w:rPr>
        <w:fldChar w:fldCharType="end"/>
      </w:r>
      <w:r w:rsidRPr="007721FB">
        <w:rPr>
          <w:rFonts w:ascii="Times New Roman" w:hAnsi="Times New Roman" w:cs="Times New Roman"/>
          <w:sz w:val="24"/>
          <w:szCs w:val="24"/>
        </w:rPr>
        <w:t>.</w:t>
      </w:r>
      <w:r w:rsidR="003E5E1E" w:rsidRPr="007721FB">
        <w:rPr>
          <w:rFonts w:ascii="Times New Roman" w:hAnsi="Times New Roman" w:cs="Times New Roman"/>
          <w:sz w:val="24"/>
          <w:szCs w:val="24"/>
        </w:rPr>
        <w:t xml:space="preserve"> </w:t>
      </w:r>
      <w:r w:rsidR="00306588" w:rsidRPr="007721FB">
        <w:rPr>
          <w:rFonts w:ascii="Times New Roman" w:hAnsi="Times New Roman" w:cs="Times New Roman"/>
          <w:sz w:val="24"/>
          <w:szCs w:val="24"/>
        </w:rPr>
        <w:t>Th</w:t>
      </w:r>
      <w:r w:rsidR="00B0121C" w:rsidRPr="007721FB">
        <w:rPr>
          <w:rFonts w:ascii="Times New Roman" w:hAnsi="Times New Roman" w:cs="Times New Roman"/>
          <w:sz w:val="24"/>
          <w:szCs w:val="24"/>
        </w:rPr>
        <w:t>is</w:t>
      </w:r>
      <w:r w:rsidR="00306588" w:rsidRPr="007721FB">
        <w:rPr>
          <w:rFonts w:ascii="Times New Roman" w:hAnsi="Times New Roman" w:cs="Times New Roman"/>
          <w:sz w:val="24"/>
          <w:szCs w:val="24"/>
        </w:rPr>
        <w:t xml:space="preserve"> characteristic acidi</w:t>
      </w:r>
      <w:r w:rsidR="00B0121C" w:rsidRPr="007721FB">
        <w:rPr>
          <w:rFonts w:ascii="Times New Roman" w:hAnsi="Times New Roman" w:cs="Times New Roman"/>
          <w:sz w:val="24"/>
          <w:szCs w:val="24"/>
        </w:rPr>
        <w:t>ty</w:t>
      </w:r>
      <w:r w:rsidR="00306588" w:rsidRPr="007721FB">
        <w:rPr>
          <w:rFonts w:ascii="Times New Roman" w:hAnsi="Times New Roman" w:cs="Times New Roman"/>
          <w:sz w:val="24"/>
          <w:szCs w:val="24"/>
        </w:rPr>
        <w:t xml:space="preserve"> is further </w:t>
      </w:r>
      <w:r w:rsidR="001476CC" w:rsidRPr="007721FB">
        <w:rPr>
          <w:rFonts w:ascii="Times New Roman" w:hAnsi="Times New Roman" w:cs="Times New Roman"/>
          <w:sz w:val="24"/>
          <w:szCs w:val="24"/>
        </w:rPr>
        <w:t>accentuated</w:t>
      </w:r>
      <w:r w:rsidR="00306588" w:rsidRPr="007721FB">
        <w:rPr>
          <w:rFonts w:ascii="Times New Roman" w:hAnsi="Times New Roman" w:cs="Times New Roman"/>
          <w:sz w:val="24"/>
          <w:szCs w:val="24"/>
        </w:rPr>
        <w:t xml:space="preserve"> in o</w:t>
      </w:r>
      <w:r w:rsidR="00E65A4E" w:rsidRPr="007721FB">
        <w:rPr>
          <w:rFonts w:ascii="Times New Roman" w:hAnsi="Times New Roman" w:cs="Times New Roman"/>
          <w:sz w:val="24"/>
          <w:szCs w:val="24"/>
        </w:rPr>
        <w:t>steolytic cancers</w:t>
      </w:r>
      <w:r w:rsidR="00306588" w:rsidRPr="007721FB">
        <w:rPr>
          <w:rFonts w:ascii="Times New Roman" w:hAnsi="Times New Roman" w:cs="Times New Roman"/>
          <w:sz w:val="24"/>
          <w:szCs w:val="24"/>
        </w:rPr>
        <w:t xml:space="preserve"> (e.g., bone Ewing’s sarcoma)</w:t>
      </w:r>
      <w:r w:rsidR="00B0121C" w:rsidRPr="007721FB">
        <w:rPr>
          <w:rFonts w:ascii="Times New Roman" w:hAnsi="Times New Roman" w:cs="Times New Roman"/>
          <w:sz w:val="24"/>
          <w:szCs w:val="24"/>
        </w:rPr>
        <w:t>,</w:t>
      </w:r>
      <w:r w:rsidR="00E65A4E" w:rsidRPr="007721FB">
        <w:rPr>
          <w:rFonts w:ascii="Times New Roman" w:hAnsi="Times New Roman" w:cs="Times New Roman"/>
          <w:sz w:val="24"/>
          <w:szCs w:val="24"/>
        </w:rPr>
        <w:t xml:space="preserve"> </w:t>
      </w:r>
      <w:r w:rsidR="00306588" w:rsidRPr="007721FB">
        <w:rPr>
          <w:rFonts w:ascii="Times New Roman" w:hAnsi="Times New Roman" w:cs="Times New Roman"/>
          <w:sz w:val="24"/>
          <w:szCs w:val="24"/>
        </w:rPr>
        <w:t>due to an</w:t>
      </w:r>
      <w:r w:rsidR="00E65A4E" w:rsidRPr="007721FB">
        <w:rPr>
          <w:rFonts w:ascii="Times New Roman" w:hAnsi="Times New Roman" w:cs="Times New Roman"/>
          <w:sz w:val="24"/>
          <w:szCs w:val="24"/>
        </w:rPr>
        <w:t xml:space="preserve"> excessive osteoclastic activity </w:t>
      </w:r>
      <w:r w:rsidR="00306588" w:rsidRPr="007721FB">
        <w:rPr>
          <w:rFonts w:ascii="Times New Roman" w:hAnsi="Times New Roman" w:cs="Times New Roman"/>
          <w:sz w:val="24"/>
          <w:szCs w:val="24"/>
        </w:rPr>
        <w:t xml:space="preserve">that </w:t>
      </w:r>
      <w:r w:rsidR="00336A04" w:rsidRPr="007721FB">
        <w:rPr>
          <w:rFonts w:ascii="Times New Roman" w:hAnsi="Times New Roman" w:cs="Times New Roman"/>
          <w:sz w:val="24"/>
          <w:szCs w:val="24"/>
        </w:rPr>
        <w:t>act</w:t>
      </w:r>
      <w:r w:rsidR="00306588" w:rsidRPr="007721FB">
        <w:rPr>
          <w:rFonts w:ascii="Times New Roman" w:hAnsi="Times New Roman" w:cs="Times New Roman"/>
          <w:sz w:val="24"/>
          <w:szCs w:val="24"/>
        </w:rPr>
        <w:t>s</w:t>
      </w:r>
      <w:r w:rsidR="00336A04" w:rsidRPr="007721FB">
        <w:rPr>
          <w:rFonts w:ascii="Times New Roman" w:hAnsi="Times New Roman" w:cs="Times New Roman"/>
          <w:sz w:val="24"/>
          <w:szCs w:val="24"/>
        </w:rPr>
        <w:t xml:space="preserve"> in concert with cancer cells to further contribute</w:t>
      </w:r>
      <w:r w:rsidR="00E65A4E" w:rsidRPr="007721FB">
        <w:rPr>
          <w:rFonts w:ascii="Times New Roman" w:hAnsi="Times New Roman" w:cs="Times New Roman"/>
          <w:sz w:val="24"/>
          <w:szCs w:val="24"/>
        </w:rPr>
        <w:t xml:space="preserve"> to </w:t>
      </w:r>
      <w:r w:rsidR="00EF72FF" w:rsidRPr="007721FB">
        <w:rPr>
          <w:rFonts w:ascii="Times New Roman" w:hAnsi="Times New Roman" w:cs="Times New Roman"/>
          <w:sz w:val="24"/>
          <w:szCs w:val="24"/>
        </w:rPr>
        <w:t xml:space="preserve">bone tumors acidity </w:t>
      </w:r>
      <w:r w:rsidR="00271217"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"DOI" : "10.1038/bonekey.2015.58", "ISBN" : "2047-6396 (Electronic)\\r2047-6396 (Linking)", "ISSN" : "2047-6396", "PMID" : "25987988", "abstract" : "Solid cancers and hematologic cancers frequently colonize bone and induce skeletal-related complications. Bone pain is one of the most common complications associated with cancer colonization in bone and a major cause of increased morbidity and diminished quality of life, leading to poor survival in cancer patients. Although the mechanisms responsible for cancer-associated bone pain (CABP) are poorly understood, it is likely that complex interactions among cancer cells, bone cells and peripheral nerve cells contribute to the pathophysiology of CABP. Clinical observations that specific inhibitors of osteoclasts reduce CABP indicate a critical role of osteoclasts. Osteoclasts are proton-secreting cells and acidify extracellular bone microenvironment. Cancer cell-colonized bone also releases proton/lactate to avoid intracellular acidification resulting from increased aerobic glycolysis known as the Warburg effect. Thus, extracellular microenvironment of cancer-colonized bone is acidic. Acidosis is algogenic for nociceptive sensory neurons. The bone is densely innervated by the sensory neurons that express acid-sensing nociceptors. Collectively, CABP is evoked by the activation of these nociceptors on the sensory neurons innervating bone by the acidic extracellular microenvironment created by bone-resorbing osteoclasts and bone-colonizing cancer cells. As current treatments do not satisfactorily control CABP and can elicit serious side effects, new therapeutic interventions are needed to manage CABP. Understanding of the cellular and molecular mechanism by which the acidic extracellular microenvironment is created in cancer-colonized bone and by which the expression and function of the acid-sensing nociceptors on the sensory neurons are regulated would facilitate to develop novel therapeutic approaches for the management of CABP.", "author" : [ { "dropping-particle" : "", "family" : "Yoneda", "given" : "Toshiyuki", "non-dropping-particle" : "", "parse-names" : false, "suffix" : "" }, { "dropping-particle" : "", "family" : "Hiasa", "given" : "Masahiro", "non-dropping-particle" : "", "parse-names" : false, "suffix" : "" }, { "dropping-particle" : "", "family" : "Nagata", "given" : "Yuki", "non-dropping-particle" : "", "parse-names" : false, "suffix" : "" }, { "dropping-particle" : "", "family" : "Okui", "given" : "Tatsuo", "non-dropping-particle" : "", "parse-names" : false, "suffix" : "" }, { "dropping-particle" : "", "family" : "White", "given" : "Fletcher A", "non-dropping-particle" : "", "parse-names" : false, "suffix" : "" } ], "container-title" : "BoneKEy reports", "id" : "ITEM-1", "issue" : "MAY", "issued" : { "date-parts" : [ [ "2015" ] ] }, "page" : "690", "publisher" : "Nature Publishing Group", "title" : "Acidic microenvironment and bone pain in cancer-colonized bone.", "type" : "article-journal", "volume" : "4" }, "uris" : [ "http://www.mendeley.com/documents/?uuid=6ac27ab0-8e15-4613-9cdd-17d556022578", "http://www.mendeley.com/documents/?uuid=8c8e20e7-9fea-4543-b004-4e4e9090598f" ] } ], "mendeley" : { "formattedCitation" : "[66]", "plainTextFormattedCitation" : "[66]", "previouslyFormattedCitation" : "[66]" }, "properties" : { "noteIndex" : 0 }, "schema" : "https://github.com/citation-style-language/schema/raw/master/csl-citation.json" }</w:instrText>
      </w:r>
      <w:r w:rsidR="00271217"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[66]</w:t>
      </w:r>
      <w:r w:rsidR="00271217" w:rsidRPr="007721FB">
        <w:rPr>
          <w:rFonts w:ascii="Times New Roman" w:hAnsi="Times New Roman" w:cs="Times New Roman"/>
          <w:sz w:val="24"/>
          <w:szCs w:val="24"/>
        </w:rPr>
        <w:fldChar w:fldCharType="end"/>
      </w:r>
      <w:r w:rsidR="00A775C0" w:rsidRPr="007721FB">
        <w:rPr>
          <w:rFonts w:ascii="Times New Roman" w:hAnsi="Times New Roman" w:cs="Times New Roman"/>
          <w:sz w:val="24"/>
          <w:szCs w:val="24"/>
        </w:rPr>
        <w:t>.</w:t>
      </w:r>
      <w:r w:rsidR="00E65A4E" w:rsidRPr="007721FB">
        <w:rPr>
          <w:rFonts w:ascii="Times New Roman" w:hAnsi="Times New Roman" w:cs="Times New Roman"/>
          <w:sz w:val="24"/>
          <w:szCs w:val="24"/>
        </w:rPr>
        <w:t xml:space="preserve"> </w:t>
      </w:r>
      <w:r w:rsidR="00EF72FF" w:rsidRPr="007721FB">
        <w:rPr>
          <w:rFonts w:ascii="Times New Roman" w:hAnsi="Times New Roman" w:cs="Times New Roman"/>
          <w:sz w:val="24"/>
          <w:szCs w:val="24"/>
        </w:rPr>
        <w:t xml:space="preserve">Owing to these exploitable </w:t>
      </w:r>
      <w:r w:rsidR="00B0121C" w:rsidRPr="007721FB">
        <w:rPr>
          <w:rFonts w:ascii="Times New Roman" w:hAnsi="Times New Roman" w:cs="Times New Roman"/>
          <w:sz w:val="24"/>
          <w:szCs w:val="24"/>
        </w:rPr>
        <w:t xml:space="preserve">features </w:t>
      </w:r>
      <w:r w:rsidR="00EF72FF" w:rsidRPr="007721FB">
        <w:rPr>
          <w:rFonts w:ascii="Times New Roman" w:hAnsi="Times New Roman" w:cs="Times New Roman"/>
          <w:sz w:val="24"/>
          <w:szCs w:val="24"/>
        </w:rPr>
        <w:t xml:space="preserve">it becomes clear why a significant body of literature </w:t>
      </w:r>
      <w:r w:rsidR="00E65A4E" w:rsidRPr="007721FB">
        <w:rPr>
          <w:rFonts w:ascii="Times New Roman" w:hAnsi="Times New Roman" w:cs="Times New Roman"/>
          <w:sz w:val="24"/>
          <w:szCs w:val="24"/>
        </w:rPr>
        <w:t>involv</w:t>
      </w:r>
      <w:r w:rsidR="00EF72FF" w:rsidRPr="007721FB">
        <w:rPr>
          <w:rFonts w:ascii="Times New Roman" w:hAnsi="Times New Roman" w:cs="Times New Roman"/>
          <w:sz w:val="24"/>
          <w:szCs w:val="24"/>
        </w:rPr>
        <w:t>es the development of</w:t>
      </w:r>
      <w:r w:rsidR="00E65A4E" w:rsidRPr="007721FB">
        <w:rPr>
          <w:rFonts w:ascii="Times New Roman" w:hAnsi="Times New Roman" w:cs="Times New Roman"/>
          <w:sz w:val="24"/>
          <w:szCs w:val="24"/>
        </w:rPr>
        <w:t xml:space="preserve"> pH-responsive carriers </w:t>
      </w:r>
      <w:r w:rsidR="00EF72FF" w:rsidRPr="007721FB">
        <w:rPr>
          <w:rFonts w:ascii="Times New Roman" w:hAnsi="Times New Roman" w:cs="Times New Roman"/>
          <w:sz w:val="24"/>
          <w:szCs w:val="24"/>
        </w:rPr>
        <w:t>for cancer therapy. On this topic</w:t>
      </w:r>
      <w:r w:rsidR="00B0121C" w:rsidRPr="007721FB">
        <w:rPr>
          <w:rFonts w:ascii="Times New Roman" w:hAnsi="Times New Roman" w:cs="Times New Roman"/>
          <w:sz w:val="24"/>
          <w:szCs w:val="24"/>
        </w:rPr>
        <w:t>,</w:t>
      </w:r>
      <w:r w:rsidR="00EF72FF" w:rsidRPr="007721FB">
        <w:rPr>
          <w:rFonts w:ascii="Times New Roman" w:hAnsi="Times New Roman" w:cs="Times New Roman"/>
          <w:sz w:val="24"/>
          <w:szCs w:val="24"/>
        </w:rPr>
        <w:t xml:space="preserve"> some interesting multifunctional pH-responsive delivery systems have been recently developed. </w:t>
      </w:r>
      <w:r w:rsidR="00AA0822" w:rsidRPr="007721FB">
        <w:rPr>
          <w:rFonts w:ascii="Times New Roman" w:hAnsi="Times New Roman" w:cs="Times New Roman"/>
          <w:sz w:val="24"/>
          <w:szCs w:val="24"/>
        </w:rPr>
        <w:t xml:space="preserve">Ferreira </w:t>
      </w:r>
      <w:r w:rsidR="00DD4640" w:rsidRPr="007721FB">
        <w:rPr>
          <w:rFonts w:ascii="Times New Roman" w:hAnsi="Times New Roman" w:cs="Times New Roman"/>
          <w:sz w:val="24"/>
          <w:szCs w:val="24"/>
        </w:rPr>
        <w:t>and colleagues</w:t>
      </w:r>
      <w:r w:rsidR="00AA0822" w:rsidRPr="007721FB">
        <w:rPr>
          <w:rFonts w:ascii="Times New Roman" w:hAnsi="Times New Roman" w:cs="Times New Roman"/>
          <w:sz w:val="24"/>
          <w:szCs w:val="24"/>
        </w:rPr>
        <w:t xml:space="preserve"> prepared</w:t>
      </w:r>
      <w:r w:rsidR="00087625" w:rsidRPr="007721FB">
        <w:rPr>
          <w:rFonts w:ascii="Times New Roman" w:hAnsi="Times New Roman" w:cs="Times New Roman"/>
          <w:sz w:val="24"/>
          <w:szCs w:val="24"/>
        </w:rPr>
        <w:t xml:space="preserve"> alendronate (AL)</w:t>
      </w:r>
      <w:r w:rsidR="00AA0822" w:rsidRPr="007721FB">
        <w:rPr>
          <w:rFonts w:ascii="Times New Roman" w:hAnsi="Times New Roman" w:cs="Times New Roman"/>
          <w:sz w:val="24"/>
          <w:szCs w:val="24"/>
        </w:rPr>
        <w:t>-coated liposomes for pH-responsive release of DOX in female nude BALB/c mice bearing bone metastases</w:t>
      </w:r>
      <w:r w:rsidR="00EF72FF" w:rsidRPr="007721FB">
        <w:rPr>
          <w:rFonts w:ascii="Times New Roman" w:hAnsi="Times New Roman" w:cs="Times New Roman"/>
          <w:sz w:val="24"/>
          <w:szCs w:val="24"/>
        </w:rPr>
        <w:t xml:space="preserve"> established</w:t>
      </w:r>
      <w:r w:rsidR="00AA0822" w:rsidRPr="007721FB">
        <w:rPr>
          <w:rFonts w:ascii="Times New Roman" w:hAnsi="Times New Roman" w:cs="Times New Roman"/>
          <w:sz w:val="24"/>
          <w:szCs w:val="24"/>
        </w:rPr>
        <w:t xml:space="preserve"> through injection of MDA-MB-231</w:t>
      </w:r>
      <w:r w:rsidR="00EF72FF" w:rsidRPr="007721FB">
        <w:rPr>
          <w:rFonts w:ascii="Times New Roman" w:hAnsi="Times New Roman" w:cs="Times New Roman"/>
          <w:sz w:val="24"/>
          <w:szCs w:val="24"/>
        </w:rPr>
        <w:t xml:space="preserve"> breast cancer</w:t>
      </w:r>
      <w:r w:rsidR="00AA0822" w:rsidRPr="007721FB">
        <w:rPr>
          <w:rFonts w:ascii="Times New Roman" w:hAnsi="Times New Roman" w:cs="Times New Roman"/>
          <w:sz w:val="24"/>
          <w:szCs w:val="24"/>
        </w:rPr>
        <w:t xml:space="preserve"> cells on mice tibia</w:t>
      </w:r>
      <w:r w:rsidR="00DD4640" w:rsidRPr="007721FB">
        <w:rPr>
          <w:rFonts w:ascii="Times New Roman" w:hAnsi="Times New Roman" w:cs="Times New Roman"/>
          <w:sz w:val="24"/>
          <w:szCs w:val="24"/>
        </w:rPr>
        <w:t xml:space="preserve"> </w:t>
      </w:r>
      <w:r w:rsidR="00AA0822" w:rsidRPr="007721FB">
        <w:rPr>
          <w:rFonts w:ascii="Times New Roman" w:hAnsi="Times New Roman" w:cs="Times New Roman"/>
          <w:sz w:val="24"/>
          <w:szCs w:val="24"/>
        </w:rPr>
        <w:fldChar w:fldCharType="begin" w:fldLock="1"/>
      </w:r>
      <w:r w:rsidR="00F1599C" w:rsidRPr="007721FB">
        <w:rPr>
          <w:rFonts w:ascii="Times New Roman" w:hAnsi="Times New Roman" w:cs="Times New Roman"/>
          <w:sz w:val="24"/>
          <w:szCs w:val="24"/>
        </w:rPr>
        <w:instrText>ADDIN CSL_CITATION { "citationItems" : [ { "id" : "ITEM-1", "itemData" : { "DOI" : "10.2147/IJN.S109966", "ISSN" : "11782013", "author" : [ { "dropping-particle" : "", "family" : "Ferreira", "given" : "Di\u00eago dos Santos", "non-dropping-particle" : "", "parse-names" : false, "suffix" : "" }, { "dropping-particle" : "", "family" : "Faria", "given" : "Samilla Dornelas", "non-dropping-particle" : "", "parse-names" : false, "suffix" : "" }, { "dropping-particle" : "", "family" : "Lopes", "given" : "S\u00e1via Caldeira de Ara\u00fajo", "non-dropping-particle" : "", "parse-names" : false, "suffix" : "" }, { "dropping-particle" : "", "family" : "Teixeira", "given" : "Cl\u00e1udia Salviano", "non-dropping-particle" : "", "parse-names" : false, "suffix" : "" }, { "dropping-particle" : "", "family" : "Malachias", "given" : "Angelo", "non-dropping-particle" : "", "parse-names" : false, "suffix" : "" }, { "dropping-particle" : "", "family" : "Magalh\u00e3es-Paniago", "given" : "Rog\u00e9rio", "non-dropping-particle" : "", "parse-names" : false, "suffix" : "" }, { "dropping-particle" : "", "family" : "Souza Filho", "given" : "Jos\u00e9 Dias", "non-dropping-particle" : "de", "parse-names" : false, "suffix" : "" }, { "dropping-particle" : "", "family" : "Oliveira de Jesus Pinto", "given" : "Bruno Luis", "non-dropping-particle" : "", "parse-names" : false, "suffix" : "" }, { "dropping-particle" : "", "family" : "Guimar\u00e3es", "given" : "Alexander Ramos", "non-dropping-particle" : "", "parse-names" : false, "suffix" : "" }, { "dropping-particle" : "", "family" : "Caravan", "given" : "Peter", "non-dropping-particle" : "", "parse-names" : false, "suffix" : "" }, { "dropping-particle" : "", "family" : "Ferreira", "given" : "Lucas Ant\u00f4nio Miranda", "non-dropping-particle" : "", "parse-names" : false, "suffix" : "" }, { "dropping-particle" : "", "family" : "Alves", "given" : "Ricardo Jos\u00e9", "non-dropping-particle" : "", "parse-names" : false, "suffix" : "" }, { "dropping-particle" : "", "family" : "Oliveira", "given" : "M\u00f4nica Cristina", "non-dropping-particle" : "", "parse-names" : false, "suffix" : "" } ], "container-title" : "International Journal of Nanomedicine", "id" : "ITEM-1", "issue" : "October", "issued" : { "date-parts" : [ [ "2016" ] ] }, "page" : "3737-3751", "title" : "Development of a bone-targeted pH-sensitive liposomal formulation containing doxorubicin: Physicochemical characterization, cytotoxicity, and biodistribution evaluation in a mouse model of bone metastasis", "type" : "article-journal", "volume" : "11" }, "uris" : [ "http://www.mendeley.com/documents/?uuid=afc71623-5e38-41ed-88d7-c71f15ae0235", "http://www.mendeley.com/documents/?uuid=ae78b158-6017-4e4a-a543-63b4dfa1833b" ] } ], "mendeley" : { "formattedCitation" : "[111]", "plainTextFormattedCitation" : "[111]", "previouslyFormattedCitation" : "[111]" }, "properties" : { "noteIndex" : 0 }, "schema" : "https://github.com/citation-style-language/schema/raw/master/csl-citation.json" }</w:instrText>
      </w:r>
      <w:r w:rsidR="00AA0822" w:rsidRPr="007721FB">
        <w:rPr>
          <w:rFonts w:ascii="Times New Roman" w:hAnsi="Times New Roman" w:cs="Times New Roman"/>
          <w:sz w:val="24"/>
          <w:szCs w:val="24"/>
        </w:rPr>
        <w:fldChar w:fldCharType="separate"/>
      </w:r>
      <w:r w:rsidR="00F1599C" w:rsidRPr="007721FB">
        <w:rPr>
          <w:rFonts w:ascii="Times New Roman" w:hAnsi="Times New Roman" w:cs="Times New Roman"/>
          <w:noProof/>
          <w:sz w:val="24"/>
          <w:szCs w:val="24"/>
        </w:rPr>
        <w:t>[111]</w:t>
      </w:r>
      <w:r w:rsidR="00AA0822" w:rsidRPr="007721FB">
        <w:rPr>
          <w:rFonts w:ascii="Times New Roman" w:hAnsi="Times New Roman" w:cs="Times New Roman"/>
          <w:sz w:val="24"/>
          <w:szCs w:val="24"/>
        </w:rPr>
        <w:fldChar w:fldCharType="end"/>
      </w:r>
      <w:r w:rsidR="00DD4640" w:rsidRPr="007721FB">
        <w:rPr>
          <w:rFonts w:ascii="Times New Roman" w:hAnsi="Times New Roman" w:cs="Times New Roman"/>
          <w:sz w:val="24"/>
          <w:szCs w:val="24"/>
        </w:rPr>
        <w:t>.</w:t>
      </w:r>
      <w:r w:rsidR="00AA0822" w:rsidRPr="007721FB">
        <w:rPr>
          <w:rFonts w:ascii="Times New Roman" w:hAnsi="Times New Roman" w:cs="Times New Roman"/>
          <w:sz w:val="24"/>
          <w:szCs w:val="24"/>
        </w:rPr>
        <w:t xml:space="preserve"> The presence of 1,2-dioleoylglycero-3-phosphatidylethanolamine (DOPE) and cholesteryl hemisuccinate (CHEMS) lipids endowed the liposome with pH sensitivity, whereas AL</w:t>
      </w:r>
      <w:r w:rsidR="009C76CB" w:rsidRPr="007721FB">
        <w:rPr>
          <w:rFonts w:ascii="Times New Roman" w:hAnsi="Times New Roman" w:cs="Times New Roman"/>
          <w:sz w:val="24"/>
          <w:szCs w:val="24"/>
        </w:rPr>
        <w:t>-</w:t>
      </w:r>
      <w:r w:rsidR="00AA0822" w:rsidRPr="007721FB">
        <w:rPr>
          <w:rFonts w:ascii="Times New Roman" w:hAnsi="Times New Roman" w:cs="Times New Roman"/>
          <w:sz w:val="24"/>
          <w:szCs w:val="24"/>
        </w:rPr>
        <w:t xml:space="preserve">targeting moiety was responsible for nanocarriers active binding to </w:t>
      </w:r>
      <w:r w:rsidR="00EF72FF" w:rsidRPr="007721FB">
        <w:rPr>
          <w:rFonts w:ascii="Times New Roman" w:hAnsi="Times New Roman" w:cs="Times New Roman"/>
          <w:sz w:val="24"/>
          <w:szCs w:val="24"/>
        </w:rPr>
        <w:t>hydroxyapatite</w:t>
      </w:r>
      <w:r w:rsidR="00AA0822" w:rsidRPr="007721FB">
        <w:rPr>
          <w:rFonts w:ascii="Times New Roman" w:hAnsi="Times New Roman" w:cs="Times New Roman"/>
          <w:sz w:val="24"/>
          <w:szCs w:val="24"/>
        </w:rPr>
        <w:t>. The liposome sizes ranged from 150 to</w:t>
      </w:r>
      <w:r w:rsidR="00131198" w:rsidRPr="007721FB">
        <w:rPr>
          <w:rFonts w:ascii="Times New Roman" w:hAnsi="Times New Roman" w:cs="Times New Roman"/>
          <w:sz w:val="24"/>
          <w:szCs w:val="24"/>
        </w:rPr>
        <w:t xml:space="preserve"> 185 nm and exhibited a sharp DOX</w:t>
      </w:r>
      <w:r w:rsidR="00AA0822" w:rsidRPr="007721FB">
        <w:rPr>
          <w:rFonts w:ascii="Times New Roman" w:hAnsi="Times New Roman" w:cs="Times New Roman"/>
          <w:sz w:val="24"/>
          <w:szCs w:val="24"/>
        </w:rPr>
        <w:t xml:space="preserve"> release at pH=5 when compared to pH=7.4, highlighting the pH-responsiveness of the formulation. Furthermore, encapsulated D</w:t>
      </w:r>
      <w:r w:rsidR="00131198" w:rsidRPr="007721FB">
        <w:rPr>
          <w:rFonts w:ascii="Times New Roman" w:hAnsi="Times New Roman" w:cs="Times New Roman"/>
          <w:sz w:val="24"/>
          <w:szCs w:val="24"/>
        </w:rPr>
        <w:t>OX</w:t>
      </w:r>
      <w:r w:rsidR="00AA0822" w:rsidRPr="007721FB">
        <w:rPr>
          <w:rFonts w:ascii="Times New Roman" w:hAnsi="Times New Roman" w:cs="Times New Roman"/>
          <w:sz w:val="24"/>
          <w:szCs w:val="24"/>
        </w:rPr>
        <w:t xml:space="preserve"> maintained its cytotoxicity with a significant dose-dependent effect against the MDA-MB-231 cell line, while also markedly reducing drug cardiac uptake. </w:t>
      </w:r>
      <w:r w:rsidR="001476CC" w:rsidRPr="007721FB">
        <w:rPr>
          <w:rFonts w:ascii="Times New Roman" w:hAnsi="Times New Roman" w:cs="Times New Roman"/>
          <w:sz w:val="24"/>
          <w:szCs w:val="24"/>
        </w:rPr>
        <w:t>Biodistribution studies indicated</w:t>
      </w:r>
      <w:r w:rsidR="00AA0822" w:rsidRPr="007721FB">
        <w:rPr>
          <w:rFonts w:ascii="Times New Roman" w:hAnsi="Times New Roman" w:cs="Times New Roman"/>
          <w:sz w:val="24"/>
          <w:szCs w:val="24"/>
        </w:rPr>
        <w:t xml:space="preserve"> a 4-fold increase in chemotherapeutics</w:t>
      </w:r>
      <w:r w:rsidR="001476CC" w:rsidRPr="007721FB">
        <w:rPr>
          <w:rFonts w:ascii="Times New Roman" w:hAnsi="Times New Roman" w:cs="Times New Roman"/>
          <w:sz w:val="24"/>
          <w:szCs w:val="24"/>
        </w:rPr>
        <w:t xml:space="preserve"> </w:t>
      </w:r>
      <w:r w:rsidR="00AA0822" w:rsidRPr="007721FB">
        <w:rPr>
          <w:rFonts w:ascii="Times New Roman" w:hAnsi="Times New Roman" w:cs="Times New Roman"/>
          <w:sz w:val="24"/>
          <w:szCs w:val="24"/>
        </w:rPr>
        <w:t>accumulation</w:t>
      </w:r>
      <w:r w:rsidR="001476CC" w:rsidRPr="007721FB">
        <w:rPr>
          <w:rFonts w:ascii="Times New Roman" w:hAnsi="Times New Roman" w:cs="Times New Roman"/>
          <w:sz w:val="24"/>
          <w:szCs w:val="24"/>
        </w:rPr>
        <w:t xml:space="preserve"> in tumor tissues</w:t>
      </w:r>
      <w:r w:rsidR="00AA0822" w:rsidRPr="007721FB">
        <w:rPr>
          <w:rFonts w:ascii="Times New Roman" w:hAnsi="Times New Roman" w:cs="Times New Roman"/>
          <w:sz w:val="24"/>
          <w:szCs w:val="24"/>
        </w:rPr>
        <w:t xml:space="preserve"> when compared to</w:t>
      </w:r>
      <w:r w:rsidR="001476CC" w:rsidRPr="007721FB">
        <w:rPr>
          <w:rFonts w:ascii="Times New Roman" w:hAnsi="Times New Roman" w:cs="Times New Roman"/>
          <w:sz w:val="24"/>
          <w:szCs w:val="24"/>
        </w:rPr>
        <w:t xml:space="preserve"> that of the</w:t>
      </w:r>
      <w:r w:rsidR="00AA0822" w:rsidRPr="007721FB">
        <w:rPr>
          <w:rFonts w:ascii="Times New Roman" w:hAnsi="Times New Roman" w:cs="Times New Roman"/>
          <w:sz w:val="24"/>
          <w:szCs w:val="24"/>
        </w:rPr>
        <w:t xml:space="preserve"> free drug.</w:t>
      </w:r>
    </w:p>
    <w:p w14:paraId="43AD4DC5" w14:textId="26641D00" w:rsidR="00492250" w:rsidRPr="007721FB" w:rsidRDefault="00EF72FF" w:rsidP="00492250">
      <w:pPr>
        <w:spacing w:after="0" w:line="240" w:lineRule="auto"/>
        <w:jc w:val="both"/>
        <w:rPr>
          <w:rFonts w:ascii="Times New Roman" w:hAnsi="Times New Roman" w:cs="Times New Roman"/>
          <w:sz w:val="24"/>
          <w:szCs w:val="24"/>
        </w:rPr>
      </w:pPr>
      <w:r w:rsidRPr="007721FB">
        <w:rPr>
          <w:rFonts w:ascii="Times New Roman" w:hAnsi="Times New Roman" w:cs="Times New Roman"/>
          <w:sz w:val="24"/>
          <w:szCs w:val="24"/>
        </w:rPr>
        <w:t xml:space="preserve">  </w:t>
      </w:r>
      <w:r w:rsidR="00AA0822" w:rsidRPr="007721FB">
        <w:rPr>
          <w:rFonts w:ascii="Times New Roman" w:hAnsi="Times New Roman" w:cs="Times New Roman"/>
          <w:sz w:val="24"/>
          <w:szCs w:val="24"/>
        </w:rPr>
        <w:t xml:space="preserve"> In a different approach, </w:t>
      </w:r>
      <w:r w:rsidR="00F44E69" w:rsidRPr="007721FB">
        <w:rPr>
          <w:rFonts w:ascii="Times New Roman" w:hAnsi="Times New Roman" w:cs="Times New Roman"/>
          <w:sz w:val="24"/>
          <w:szCs w:val="24"/>
        </w:rPr>
        <w:t xml:space="preserve">Wang </w:t>
      </w:r>
      <w:r w:rsidR="00DD4640" w:rsidRPr="007721FB">
        <w:rPr>
          <w:rFonts w:ascii="Times New Roman" w:hAnsi="Times New Roman" w:cs="Times New Roman"/>
          <w:sz w:val="24"/>
          <w:szCs w:val="24"/>
        </w:rPr>
        <w:t>and his team</w:t>
      </w:r>
      <w:r w:rsidR="00F44E69" w:rsidRPr="007721FB">
        <w:rPr>
          <w:rFonts w:ascii="Times New Roman" w:hAnsi="Times New Roman" w:cs="Times New Roman"/>
          <w:sz w:val="24"/>
          <w:szCs w:val="24"/>
        </w:rPr>
        <w:t xml:space="preserve"> </w:t>
      </w:r>
      <w:r w:rsidR="00E42DD7" w:rsidRPr="007721FB">
        <w:rPr>
          <w:rFonts w:ascii="Times New Roman" w:hAnsi="Times New Roman" w:cs="Times New Roman"/>
          <w:sz w:val="24"/>
          <w:szCs w:val="24"/>
        </w:rPr>
        <w:t xml:space="preserve">developed </w:t>
      </w:r>
      <w:r w:rsidR="00F44E69" w:rsidRPr="007721FB">
        <w:rPr>
          <w:rFonts w:ascii="Times New Roman" w:hAnsi="Times New Roman" w:cs="Times New Roman"/>
          <w:sz w:val="24"/>
          <w:szCs w:val="24"/>
        </w:rPr>
        <w:t>biodegradable and pH-responsive selenium-doped hydroxyapatite nanoparticles (Se-HANs)</w:t>
      </w:r>
      <w:r w:rsidR="00D71F7D" w:rsidRPr="007721FB">
        <w:rPr>
          <w:rFonts w:ascii="Times New Roman" w:hAnsi="Times New Roman" w:cs="Times New Roman"/>
          <w:sz w:val="24"/>
          <w:szCs w:val="24"/>
        </w:rPr>
        <w:t xml:space="preserve"> for the treatment of </w:t>
      </w:r>
      <w:r w:rsidR="00D71F7D" w:rsidRPr="007721FB">
        <w:rPr>
          <w:rFonts w:ascii="Times New Roman" w:hAnsi="Times New Roman" w:cs="Times New Roman"/>
          <w:sz w:val="24"/>
          <w:szCs w:val="24"/>
        </w:rPr>
        <w:lastRenderedPageBreak/>
        <w:t>osteosarcoma</w:t>
      </w:r>
      <w:r w:rsidR="007966FA" w:rsidRPr="007721FB">
        <w:rPr>
          <w:rFonts w:ascii="Times New Roman" w:hAnsi="Times New Roman" w:cs="Times New Roman"/>
          <w:sz w:val="24"/>
          <w:szCs w:val="24"/>
        </w:rPr>
        <w:t xml:space="preserve"> (Figure 7</w:t>
      </w:r>
      <w:r w:rsidRPr="007721FB">
        <w:rPr>
          <w:rFonts w:ascii="Times New Roman" w:hAnsi="Times New Roman" w:cs="Times New Roman"/>
          <w:sz w:val="24"/>
          <w:szCs w:val="24"/>
        </w:rPr>
        <w:t xml:space="preserve"> A)</w:t>
      </w:r>
      <w:r w:rsidR="00DD4640" w:rsidRPr="007721FB">
        <w:rPr>
          <w:rFonts w:ascii="Times New Roman" w:hAnsi="Times New Roman" w:cs="Times New Roman"/>
          <w:sz w:val="24"/>
          <w:szCs w:val="24"/>
        </w:rPr>
        <w:t xml:space="preserve"> </w:t>
      </w:r>
      <w:r w:rsidR="001C5F16" w:rsidRPr="007721FB">
        <w:rPr>
          <w:rFonts w:ascii="Times New Roman" w:hAnsi="Times New Roman" w:cs="Times New Roman"/>
          <w:sz w:val="24"/>
          <w:szCs w:val="24"/>
        </w:rPr>
        <w:fldChar w:fldCharType="begin" w:fldLock="1"/>
      </w:r>
      <w:r w:rsidR="00F1599C" w:rsidRPr="007721FB">
        <w:rPr>
          <w:rFonts w:ascii="Times New Roman" w:hAnsi="Times New Roman" w:cs="Times New Roman"/>
          <w:sz w:val="24"/>
          <w:szCs w:val="24"/>
        </w:rPr>
        <w:instrText>ADDIN CSL_CITATION { "citationItems" : [ { "id" : "ITEM-1", "itemData" : { "DOI" : "10.1021/acsnano.6b03835", "ISSN" : "1936-0851", "author" : [ { "dropping-particle" : "", "family" : "Wang", "given" : "Yifan", "non-dropping-particle" : "", "parse-names" : false, "suffix" : "" }, { "dropping-particle" : "", "family" : "Wang", "given" : "Jianglin", "non-dropping-particle" : "", "parse-names" : false, "suffix" : "" }, { "dropping-particle" : "", "family" : "Hao", "given" : "Hang", "non-dropping-particle" : "", "parse-names" : false, "suffix" : "" }, { "dropping-particle" : "", "family" : "Cai", "given" : "Mingle", "non-dropping-particle" : "", "parse-names" : false, "suffix" : "" }, { "dropping-particle" : "", "family" : "Wang", "given" : "Shiyao", "non-dropping-particle" : "", "parse-names" : false, "suffix" : "" }, { "dropping-particle" : "", "family" : "Ma", "given" : "Jun", "non-dropping-particle" : "", "parse-names" : false, "suffix" : "" }, { "dropping-particle" : "", "family" : "Li", "given" : "Yan", "non-dropping-particle" : "", "parse-names" : false, "suffix" : "" }, { "dropping-particle" : "", "family" : "Mao", "given" : "Chuanbin", "non-dropping-particle" : "", "parse-names" : false, "suffix" : "" }, { "dropping-particle" : "", "family" : "Zhang", "given" : "Shengmin", "non-dropping-particle" : "", "parse-names" : false, "suffix" : "" } ], "container-title" : "ACS Nano", "id" : "ITEM-1", "issue" : "11", "issued" : { "date-parts" : [ [ "2016", "11" ] ] }, "page" : "9927-9937", "title" : "In Vitro and in Vivo Mechanism of Bone Tumor Inhibition by Selenium-Doped Bone Mineral Nanoparticles", "type" : "article-journal", "volume" : "10" }, "uris" : [ "http://www.mendeley.com/documents/?uuid=aae67b4f-1494-4994-ab79-bc89aa14ff48", "http://www.mendeley.com/documents/?uuid=cd5d6713-6882-431e-b471-b3a0b5adf290" ] } ], "mendeley" : { "formattedCitation" : "[112]", "plainTextFormattedCitation" : "[112]", "previouslyFormattedCitation" : "[112]" }, "properties" : { "noteIndex" : 0 }, "schema" : "https://github.com/citation-style-language/schema/raw/master/csl-citation.json" }</w:instrText>
      </w:r>
      <w:r w:rsidR="001C5F16" w:rsidRPr="007721FB">
        <w:rPr>
          <w:rFonts w:ascii="Times New Roman" w:hAnsi="Times New Roman" w:cs="Times New Roman"/>
          <w:sz w:val="24"/>
          <w:szCs w:val="24"/>
        </w:rPr>
        <w:fldChar w:fldCharType="separate"/>
      </w:r>
      <w:r w:rsidR="00F1599C" w:rsidRPr="007721FB">
        <w:rPr>
          <w:rFonts w:ascii="Times New Roman" w:hAnsi="Times New Roman" w:cs="Times New Roman"/>
          <w:noProof/>
          <w:sz w:val="24"/>
          <w:szCs w:val="24"/>
        </w:rPr>
        <w:t>[112]</w:t>
      </w:r>
      <w:r w:rsidR="001C5F16" w:rsidRPr="007721FB">
        <w:rPr>
          <w:rFonts w:ascii="Times New Roman" w:hAnsi="Times New Roman" w:cs="Times New Roman"/>
          <w:sz w:val="24"/>
          <w:szCs w:val="24"/>
        </w:rPr>
        <w:fldChar w:fldCharType="end"/>
      </w:r>
      <w:r w:rsidR="00DD4640" w:rsidRPr="007721FB">
        <w:rPr>
          <w:rFonts w:ascii="Times New Roman" w:hAnsi="Times New Roman" w:cs="Times New Roman"/>
          <w:sz w:val="24"/>
          <w:szCs w:val="24"/>
        </w:rPr>
        <w:t>.</w:t>
      </w:r>
      <w:r w:rsidR="00F44E69" w:rsidRPr="007721FB">
        <w:rPr>
          <w:rFonts w:ascii="Times New Roman" w:hAnsi="Times New Roman" w:cs="Times New Roman"/>
          <w:sz w:val="24"/>
          <w:szCs w:val="24"/>
        </w:rPr>
        <w:t xml:space="preserve"> These </w:t>
      </w:r>
      <w:r w:rsidRPr="007721FB">
        <w:rPr>
          <w:rFonts w:ascii="Times New Roman" w:hAnsi="Times New Roman" w:cs="Times New Roman"/>
          <w:sz w:val="24"/>
          <w:szCs w:val="24"/>
        </w:rPr>
        <w:t>rod-shaped</w:t>
      </w:r>
      <w:r w:rsidR="00F44E69" w:rsidRPr="007721FB">
        <w:rPr>
          <w:rFonts w:ascii="Times New Roman" w:hAnsi="Times New Roman" w:cs="Times New Roman"/>
          <w:sz w:val="24"/>
          <w:szCs w:val="24"/>
        </w:rPr>
        <w:t xml:space="preserve"> HANs </w:t>
      </w:r>
      <w:r w:rsidR="00E42DD7" w:rsidRPr="007721FB">
        <w:rPr>
          <w:rFonts w:ascii="Times New Roman" w:hAnsi="Times New Roman" w:cs="Times New Roman"/>
          <w:sz w:val="24"/>
          <w:szCs w:val="24"/>
        </w:rPr>
        <w:t>(</w:t>
      </w:r>
      <w:r w:rsidR="00934421" w:rsidRPr="007721FB">
        <w:rPr>
          <w:rFonts w:ascii="Times New Roman" w:hAnsi="Times New Roman" w:cs="Times New Roman"/>
          <w:sz w:val="24"/>
          <w:szCs w:val="24"/>
        </w:rPr>
        <w:t>size</w:t>
      </w:r>
      <w:r w:rsidRPr="007721FB">
        <w:rPr>
          <w:rFonts w:ascii="Times New Roman" w:hAnsi="Times New Roman" w:cs="Times New Roman"/>
          <w:sz w:val="24"/>
          <w:szCs w:val="24"/>
        </w:rPr>
        <w:t>:</w:t>
      </w:r>
      <w:r w:rsidR="00934421" w:rsidRPr="007721FB">
        <w:rPr>
          <w:rFonts w:ascii="Times New Roman" w:hAnsi="Times New Roman" w:cs="Times New Roman"/>
          <w:sz w:val="24"/>
          <w:szCs w:val="24"/>
        </w:rPr>
        <w:t xml:space="preserve"> 78.55 ± 0.20 nm, </w:t>
      </w:r>
      <w:r w:rsidR="00D86923" w:rsidRPr="007721FB">
        <w:rPr>
          <w:rFonts w:ascii="Times New Roman" w:hAnsi="Times New Roman" w:cs="Times New Roman"/>
          <w:sz w:val="24"/>
          <w:szCs w:val="24"/>
        </w:rPr>
        <w:t>ζ-</w:t>
      </w:r>
      <w:r w:rsidR="00934421" w:rsidRPr="007721FB">
        <w:rPr>
          <w:rFonts w:ascii="Times New Roman" w:hAnsi="Times New Roman" w:cs="Times New Roman"/>
          <w:sz w:val="24"/>
          <w:szCs w:val="24"/>
        </w:rPr>
        <w:t>potential of -37.13 ± 0.63 mV</w:t>
      </w:r>
      <w:r w:rsidR="00E42DD7" w:rsidRPr="007721FB">
        <w:rPr>
          <w:rFonts w:ascii="Times New Roman" w:hAnsi="Times New Roman" w:cs="Times New Roman"/>
          <w:sz w:val="24"/>
          <w:szCs w:val="24"/>
        </w:rPr>
        <w:t>)</w:t>
      </w:r>
      <w:r w:rsidR="008D7614" w:rsidRPr="007721FB">
        <w:rPr>
          <w:rFonts w:ascii="Times New Roman" w:hAnsi="Times New Roman" w:cs="Times New Roman"/>
          <w:sz w:val="24"/>
          <w:szCs w:val="24"/>
        </w:rPr>
        <w:t xml:space="preserve"> </w:t>
      </w:r>
      <w:r w:rsidR="00E42DD7" w:rsidRPr="007721FB">
        <w:rPr>
          <w:rFonts w:ascii="Times New Roman" w:hAnsi="Times New Roman" w:cs="Times New Roman"/>
          <w:sz w:val="24"/>
          <w:szCs w:val="24"/>
        </w:rPr>
        <w:t>elicited</w:t>
      </w:r>
      <w:r w:rsidR="00790D3A" w:rsidRPr="007721FB">
        <w:rPr>
          <w:rFonts w:ascii="Times New Roman" w:hAnsi="Times New Roman" w:cs="Times New Roman"/>
          <w:sz w:val="24"/>
          <w:szCs w:val="24"/>
        </w:rPr>
        <w:t xml:space="preserve"> 4 to </w:t>
      </w:r>
      <w:r w:rsidR="008D7614" w:rsidRPr="007721FB">
        <w:rPr>
          <w:rFonts w:ascii="Times New Roman" w:hAnsi="Times New Roman" w:cs="Times New Roman"/>
          <w:sz w:val="24"/>
          <w:szCs w:val="24"/>
        </w:rPr>
        <w:t>5</w:t>
      </w:r>
      <w:r w:rsidR="00790D3A" w:rsidRPr="007721FB">
        <w:rPr>
          <w:rFonts w:ascii="Times New Roman" w:hAnsi="Times New Roman" w:cs="Times New Roman"/>
          <w:sz w:val="24"/>
          <w:szCs w:val="24"/>
        </w:rPr>
        <w:t>-</w:t>
      </w:r>
      <w:r w:rsidR="008D7614" w:rsidRPr="007721FB">
        <w:rPr>
          <w:rFonts w:ascii="Times New Roman" w:hAnsi="Times New Roman" w:cs="Times New Roman"/>
          <w:sz w:val="24"/>
          <w:szCs w:val="24"/>
        </w:rPr>
        <w:t>fold</w:t>
      </w:r>
      <w:r w:rsidR="00F44E69" w:rsidRPr="007721FB">
        <w:rPr>
          <w:rFonts w:ascii="Times New Roman" w:hAnsi="Times New Roman" w:cs="Times New Roman"/>
          <w:sz w:val="24"/>
          <w:szCs w:val="24"/>
        </w:rPr>
        <w:t xml:space="preserve"> increase in selenium release </w:t>
      </w:r>
      <w:r w:rsidR="00E42DD7" w:rsidRPr="007721FB">
        <w:rPr>
          <w:rFonts w:ascii="Times New Roman" w:hAnsi="Times New Roman" w:cs="Times New Roman"/>
          <w:sz w:val="24"/>
          <w:szCs w:val="24"/>
        </w:rPr>
        <w:t>under</w:t>
      </w:r>
      <w:r w:rsidR="00F44E69" w:rsidRPr="007721FB">
        <w:rPr>
          <w:rFonts w:ascii="Times New Roman" w:hAnsi="Times New Roman" w:cs="Times New Roman"/>
          <w:sz w:val="24"/>
          <w:szCs w:val="24"/>
        </w:rPr>
        <w:t xml:space="preserve"> acidic conditions (pH=5) when compared to</w:t>
      </w:r>
      <w:r w:rsidR="00E42DD7" w:rsidRPr="007721FB">
        <w:rPr>
          <w:rFonts w:ascii="Times New Roman" w:hAnsi="Times New Roman" w:cs="Times New Roman"/>
          <w:sz w:val="24"/>
          <w:szCs w:val="24"/>
        </w:rPr>
        <w:t xml:space="preserve"> that obtained at</w:t>
      </w:r>
      <w:r w:rsidR="00F44E69" w:rsidRPr="007721FB">
        <w:rPr>
          <w:rFonts w:ascii="Times New Roman" w:hAnsi="Times New Roman" w:cs="Times New Roman"/>
          <w:sz w:val="24"/>
          <w:szCs w:val="24"/>
        </w:rPr>
        <w:t xml:space="preserve"> physiological </w:t>
      </w:r>
      <w:r w:rsidR="00E42DD7" w:rsidRPr="007721FB">
        <w:rPr>
          <w:rFonts w:ascii="Times New Roman" w:hAnsi="Times New Roman" w:cs="Times New Roman"/>
          <w:sz w:val="24"/>
          <w:szCs w:val="24"/>
        </w:rPr>
        <w:t>conditions</w:t>
      </w:r>
      <w:r w:rsidR="00A775C0" w:rsidRPr="007721FB">
        <w:rPr>
          <w:rFonts w:ascii="Times New Roman" w:hAnsi="Times New Roman" w:cs="Times New Roman"/>
          <w:sz w:val="24"/>
          <w:szCs w:val="24"/>
        </w:rPr>
        <w:t xml:space="preserve"> </w:t>
      </w:r>
      <w:r w:rsidR="0049600C" w:rsidRPr="007721FB">
        <w:rPr>
          <w:rFonts w:ascii="Times New Roman" w:hAnsi="Times New Roman" w:cs="Times New Roman"/>
          <w:sz w:val="24"/>
          <w:szCs w:val="24"/>
        </w:rPr>
        <w:t>(Fig</w:t>
      </w:r>
      <w:r w:rsidR="003E5E1E" w:rsidRPr="007721FB">
        <w:rPr>
          <w:rFonts w:ascii="Times New Roman" w:hAnsi="Times New Roman" w:cs="Times New Roman"/>
          <w:sz w:val="24"/>
          <w:szCs w:val="24"/>
        </w:rPr>
        <w:t>ure</w:t>
      </w:r>
      <w:r w:rsidR="0049600C" w:rsidRPr="007721FB">
        <w:rPr>
          <w:rFonts w:ascii="Times New Roman" w:hAnsi="Times New Roman" w:cs="Times New Roman"/>
          <w:sz w:val="24"/>
          <w:szCs w:val="24"/>
        </w:rPr>
        <w:t xml:space="preserve"> </w:t>
      </w:r>
      <w:r w:rsidR="00F1599C" w:rsidRPr="007721FB">
        <w:rPr>
          <w:rFonts w:ascii="Times New Roman" w:hAnsi="Times New Roman" w:cs="Times New Roman"/>
          <w:sz w:val="24"/>
          <w:szCs w:val="24"/>
        </w:rPr>
        <w:t>7</w:t>
      </w:r>
      <w:r w:rsidRPr="007721FB">
        <w:rPr>
          <w:rFonts w:ascii="Times New Roman" w:hAnsi="Times New Roman" w:cs="Times New Roman"/>
          <w:sz w:val="24"/>
          <w:szCs w:val="24"/>
        </w:rPr>
        <w:t xml:space="preserve"> B</w:t>
      </w:r>
      <w:r w:rsidR="000106AC" w:rsidRPr="007721FB">
        <w:rPr>
          <w:rFonts w:ascii="Times New Roman" w:hAnsi="Times New Roman" w:cs="Times New Roman"/>
          <w:sz w:val="24"/>
          <w:szCs w:val="24"/>
        </w:rPr>
        <w:t>)</w:t>
      </w:r>
      <w:r w:rsidR="00A775C0" w:rsidRPr="007721FB">
        <w:rPr>
          <w:rFonts w:ascii="Times New Roman" w:hAnsi="Times New Roman" w:cs="Times New Roman"/>
          <w:sz w:val="24"/>
          <w:szCs w:val="24"/>
        </w:rPr>
        <w:t>.</w:t>
      </w:r>
      <w:r w:rsidR="00492250" w:rsidRPr="007721FB">
        <w:rPr>
          <w:rFonts w:ascii="Times New Roman" w:hAnsi="Times New Roman" w:cs="Times New Roman"/>
          <w:sz w:val="24"/>
          <w:szCs w:val="24"/>
        </w:rPr>
        <w:t xml:space="preserve"> As evidenced by FITC-labeled nanocarriers the amount of encapsulated selenium significantly affected Se-HANs degradation in the lysosome, with higher selenium content resulting in a faster, pH-mediated degradation. </w:t>
      </w:r>
      <w:r w:rsidR="00492250" w:rsidRPr="007721FB">
        <w:rPr>
          <w:rFonts w:ascii="Times New Roman" w:hAnsi="Times New Roman" w:cs="Times New Roman"/>
          <w:i/>
          <w:sz w:val="24"/>
          <w:szCs w:val="24"/>
        </w:rPr>
        <w:t>In vitro</w:t>
      </w:r>
      <w:r w:rsidR="00492250" w:rsidRPr="007721FB">
        <w:rPr>
          <w:rFonts w:ascii="Times New Roman" w:hAnsi="Times New Roman" w:cs="Times New Roman"/>
          <w:sz w:val="24"/>
          <w:szCs w:val="24"/>
        </w:rPr>
        <w:t xml:space="preserve"> results in human MNNG/HOS osteosarcoma cells, showed that the 10 % Se-HANs formulation had the highest cytotoxic effect on osteosarcoma cells, with their administration resulting in 83 % cell death after 18h. This cytotoxic activity was found to be associated with the intracellular generation of reactive oxygen species (ROS) mediated by the selenium cargo. More importantly, Se-HANs induced tumor apoptosis and reduced systemic toxicity </w:t>
      </w:r>
      <w:r w:rsidR="00492250" w:rsidRPr="007721FB">
        <w:rPr>
          <w:rFonts w:ascii="Times New Roman" w:hAnsi="Times New Roman" w:cs="Times New Roman"/>
          <w:i/>
          <w:sz w:val="24"/>
          <w:szCs w:val="24"/>
        </w:rPr>
        <w:t>in vivo</w:t>
      </w:r>
      <w:r w:rsidR="00492250" w:rsidRPr="007721FB">
        <w:rPr>
          <w:rFonts w:ascii="Times New Roman" w:hAnsi="Times New Roman" w:cs="Times New Roman"/>
          <w:sz w:val="24"/>
          <w:szCs w:val="24"/>
        </w:rPr>
        <w:t>, in a BALB/c nude mice osteosarcoma model. Following nanocarriers intratumoral administration 2- and 3-fold reduction in tumor weight and volume was obtained. Additionally, serum biochemical analysis of nanocarrier injected mice found that 10% Se-HANs had the lowest systemic toxicity when compared to a mixture of equal selenium content (HANs / 16 mM Na</w:t>
      </w:r>
      <w:r w:rsidR="00492250" w:rsidRPr="007721FB">
        <w:rPr>
          <w:rFonts w:ascii="Times New Roman" w:hAnsi="Times New Roman" w:cs="Times New Roman"/>
          <w:sz w:val="24"/>
          <w:szCs w:val="24"/>
          <w:vertAlign w:val="subscript"/>
        </w:rPr>
        <w:t>2</w:t>
      </w:r>
      <w:r w:rsidR="00492250" w:rsidRPr="007721FB">
        <w:rPr>
          <w:rFonts w:ascii="Times New Roman" w:hAnsi="Times New Roman" w:cs="Times New Roman"/>
          <w:sz w:val="24"/>
          <w:szCs w:val="24"/>
        </w:rPr>
        <w:t>SeO</w:t>
      </w:r>
      <w:r w:rsidR="00492250" w:rsidRPr="007721FB">
        <w:rPr>
          <w:rFonts w:ascii="Times New Roman" w:hAnsi="Times New Roman" w:cs="Times New Roman"/>
          <w:sz w:val="24"/>
          <w:szCs w:val="24"/>
          <w:vertAlign w:val="subscript"/>
        </w:rPr>
        <w:t>3</w:t>
      </w:r>
      <w:r w:rsidR="00492250" w:rsidRPr="007721FB">
        <w:rPr>
          <w:rFonts w:ascii="Times New Roman" w:hAnsi="Times New Roman" w:cs="Times New Roman"/>
          <w:sz w:val="24"/>
          <w:szCs w:val="24"/>
        </w:rPr>
        <w:t>), suggesting a controlled release profile at local tumor and reduced leakage at normal tissues.</w:t>
      </w:r>
      <w:r w:rsidRPr="007721FB">
        <w:rPr>
          <w:rFonts w:ascii="Times New Roman" w:hAnsi="Times New Roman" w:cs="Times New Roman"/>
          <w:sz w:val="24"/>
          <w:szCs w:val="24"/>
        </w:rPr>
        <w:t xml:space="preserve"> However, further studies involving nanocarriers parenteral delivery could be performed to fully characterize the biological performance of these carriers.</w:t>
      </w:r>
    </w:p>
    <w:p w14:paraId="786EC72E" w14:textId="65499FF5" w:rsidR="00A775C0" w:rsidRPr="007721FB" w:rsidRDefault="00A775C0" w:rsidP="00EE0E61">
      <w:pPr>
        <w:spacing w:after="0" w:line="240" w:lineRule="auto"/>
        <w:jc w:val="both"/>
        <w:rPr>
          <w:rFonts w:ascii="Times New Roman" w:hAnsi="Times New Roman" w:cs="Times New Roman"/>
          <w:sz w:val="24"/>
          <w:szCs w:val="24"/>
        </w:rPr>
      </w:pPr>
    </w:p>
    <w:p w14:paraId="548A6454" w14:textId="2234AA68" w:rsidR="001E3E8B" w:rsidRPr="007721FB" w:rsidRDefault="001E3E8B" w:rsidP="00EE0E61">
      <w:pPr>
        <w:spacing w:after="0" w:line="240" w:lineRule="auto"/>
        <w:jc w:val="both"/>
        <w:rPr>
          <w:rFonts w:ascii="Times New Roman" w:hAnsi="Times New Roman" w:cs="Times New Roman"/>
          <w:sz w:val="24"/>
          <w:szCs w:val="24"/>
        </w:rPr>
      </w:pPr>
    </w:p>
    <w:p w14:paraId="597A269B" w14:textId="77777777" w:rsidR="001E3E8B" w:rsidRPr="007721FB" w:rsidRDefault="001E3E8B" w:rsidP="00EE0E61">
      <w:pPr>
        <w:spacing w:after="0" w:line="240" w:lineRule="auto"/>
        <w:jc w:val="both"/>
        <w:rPr>
          <w:rFonts w:ascii="Times New Roman" w:hAnsi="Times New Roman" w:cs="Times New Roman"/>
          <w:sz w:val="24"/>
          <w:szCs w:val="24"/>
        </w:rPr>
      </w:pPr>
    </w:p>
    <w:p w14:paraId="2A059FB9" w14:textId="2131521B" w:rsidR="00A775C0" w:rsidRPr="007721FB" w:rsidRDefault="001E3E8B" w:rsidP="00D867DF">
      <w:pPr>
        <w:spacing w:after="0" w:line="240" w:lineRule="auto"/>
        <w:jc w:val="center"/>
        <w:rPr>
          <w:rFonts w:ascii="Times New Roman" w:hAnsi="Times New Roman" w:cs="Times New Roman"/>
          <w:sz w:val="24"/>
          <w:szCs w:val="24"/>
        </w:rPr>
      </w:pPr>
      <w:r w:rsidRPr="007721FB">
        <w:rPr>
          <w:noProof/>
        </w:rPr>
        <w:br w:type="column"/>
      </w:r>
      <w:r w:rsidR="008E5056" w:rsidRPr="007721FB">
        <w:rPr>
          <w:noProof/>
        </w:rPr>
        <w:lastRenderedPageBreak/>
        <w:drawing>
          <wp:inline distT="0" distB="0" distL="0" distR="0" wp14:anchorId="26405BCF" wp14:editId="21F52F27">
            <wp:extent cx="5400040" cy="3221392"/>
            <wp:effectExtent l="0" t="0" r="0" b="0"/>
            <wp:docPr id="1" name="Imagem 1" descr="C:\Users\Vítor Gaspar\AppData\Local\Microsoft\Windows\INetCache\Content.Word\Figure 7_.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ítor Gaspar\AppData\Local\Microsoft\Windows\INetCache\Content.Word\Figure 7_.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3221392"/>
                    </a:xfrm>
                    <a:prstGeom prst="rect">
                      <a:avLst/>
                    </a:prstGeom>
                    <a:noFill/>
                    <a:ln>
                      <a:noFill/>
                    </a:ln>
                  </pic:spPr>
                </pic:pic>
              </a:graphicData>
            </a:graphic>
          </wp:inline>
        </w:drawing>
      </w:r>
    </w:p>
    <w:p w14:paraId="4EE58FB0" w14:textId="29ABCD55" w:rsidR="00A775C0" w:rsidRPr="007721FB" w:rsidRDefault="00A775C0" w:rsidP="00EE0E61">
      <w:pPr>
        <w:spacing w:after="0" w:line="240" w:lineRule="auto"/>
        <w:jc w:val="both"/>
        <w:rPr>
          <w:rFonts w:ascii="Times New Roman" w:hAnsi="Times New Roman" w:cs="Times New Roman"/>
          <w:sz w:val="24"/>
          <w:szCs w:val="24"/>
        </w:rPr>
      </w:pPr>
      <w:r w:rsidRPr="007721FB">
        <w:rPr>
          <w:rFonts w:ascii="Times New Roman" w:hAnsi="Times New Roman" w:cs="Times New Roman"/>
          <w:b/>
          <w:sz w:val="24"/>
          <w:szCs w:val="24"/>
        </w:rPr>
        <w:t xml:space="preserve">Figure </w:t>
      </w:r>
      <w:r w:rsidR="00F1599C" w:rsidRPr="007721FB">
        <w:rPr>
          <w:rFonts w:ascii="Times New Roman" w:hAnsi="Times New Roman" w:cs="Times New Roman"/>
          <w:b/>
          <w:sz w:val="24"/>
          <w:szCs w:val="24"/>
        </w:rPr>
        <w:t>7</w:t>
      </w:r>
      <w:r w:rsidRPr="007721FB">
        <w:rPr>
          <w:rFonts w:ascii="Times New Roman" w:hAnsi="Times New Roman" w:cs="Times New Roman"/>
          <w:b/>
          <w:sz w:val="24"/>
          <w:szCs w:val="24"/>
        </w:rPr>
        <w:t>.</w:t>
      </w:r>
      <w:r w:rsidRPr="007721FB">
        <w:rPr>
          <w:rFonts w:ascii="Times New Roman" w:hAnsi="Times New Roman" w:cs="Times New Roman"/>
          <w:sz w:val="24"/>
          <w:szCs w:val="24"/>
        </w:rPr>
        <w:t xml:space="preserve"> (A) </w:t>
      </w:r>
      <w:r w:rsidRPr="007721FB">
        <w:rPr>
          <w:rFonts w:ascii="Times New Roman" w:hAnsi="Times New Roman" w:cs="Times New Roman"/>
          <w:i/>
          <w:iCs/>
          <w:sz w:val="24"/>
          <w:szCs w:val="24"/>
        </w:rPr>
        <w:t>In vivo</w:t>
      </w:r>
      <w:r w:rsidRPr="007721FB">
        <w:rPr>
          <w:rFonts w:ascii="Times New Roman" w:hAnsi="Times New Roman" w:cs="Times New Roman"/>
          <w:sz w:val="24"/>
          <w:szCs w:val="24"/>
        </w:rPr>
        <w:t xml:space="preserve"> treatment of mice-bearing osteosarcoma with pH-responsive release of selenium-doped hydroxyapatite nanoparticles (Se-HANs) HANs. Internalized Se-HANs by nonspecific endocytosis are rapidly degraded in acidic lysosomes to release selenium. (B) Selenium release from Se-HANs exhibited a pH-responsive release profile at pH = 5.0 versus pH = 7.4. (C) CCK-8 assay of MNNG/HOS </w:t>
      </w:r>
      <w:r w:rsidR="00A902B4" w:rsidRPr="007721FB">
        <w:rPr>
          <w:rFonts w:ascii="Times New Roman" w:hAnsi="Times New Roman" w:cs="Times New Roman"/>
          <w:sz w:val="24"/>
          <w:szCs w:val="24"/>
        </w:rPr>
        <w:t>osteosarcoma</w:t>
      </w:r>
      <w:r w:rsidRPr="007721FB">
        <w:rPr>
          <w:rFonts w:ascii="Times New Roman" w:hAnsi="Times New Roman" w:cs="Times New Roman"/>
          <w:sz w:val="24"/>
          <w:szCs w:val="24"/>
        </w:rPr>
        <w:t xml:space="preserve"> cells showed that viability was highly associated with selenium content and degradation of Se-HANs. (D) </w:t>
      </w:r>
      <w:r w:rsidRPr="007721FB">
        <w:rPr>
          <w:rFonts w:ascii="Times New Roman" w:hAnsi="Times New Roman" w:cs="Times New Roman"/>
          <w:i/>
          <w:iCs/>
          <w:sz w:val="24"/>
          <w:szCs w:val="24"/>
        </w:rPr>
        <w:t xml:space="preserve">In vivo </w:t>
      </w:r>
      <w:r w:rsidRPr="007721FB">
        <w:rPr>
          <w:rFonts w:ascii="Times New Roman" w:hAnsi="Times New Roman" w:cs="Times New Roman"/>
          <w:sz w:val="24"/>
          <w:szCs w:val="24"/>
        </w:rPr>
        <w:t xml:space="preserve">evaluation of anti-osteosarcoma activity of Se-HANs after intratumoral injection on a xenograft </w:t>
      </w:r>
      <w:r w:rsidR="00A902B4" w:rsidRPr="007721FB">
        <w:rPr>
          <w:rFonts w:ascii="Times New Roman" w:hAnsi="Times New Roman" w:cs="Times New Roman"/>
          <w:sz w:val="24"/>
          <w:szCs w:val="24"/>
        </w:rPr>
        <w:t>osteosarcoma</w:t>
      </w:r>
      <w:r w:rsidRPr="007721FB">
        <w:rPr>
          <w:rFonts w:ascii="Times New Roman" w:hAnsi="Times New Roman" w:cs="Times New Roman"/>
          <w:sz w:val="24"/>
          <w:szCs w:val="24"/>
        </w:rPr>
        <w:t xml:space="preserve"> model. Compounds with higher selenium content, including 10%Se-HANs and HANs/16 mM Na</w:t>
      </w:r>
      <w:r w:rsidRPr="007721FB">
        <w:rPr>
          <w:rFonts w:ascii="Times New Roman" w:hAnsi="Times New Roman" w:cs="Times New Roman"/>
          <w:sz w:val="24"/>
          <w:szCs w:val="24"/>
          <w:vertAlign w:val="subscript"/>
        </w:rPr>
        <w:t>2</w:t>
      </w:r>
      <w:r w:rsidRPr="007721FB">
        <w:rPr>
          <w:rFonts w:ascii="Times New Roman" w:hAnsi="Times New Roman" w:cs="Times New Roman"/>
          <w:sz w:val="24"/>
          <w:szCs w:val="24"/>
        </w:rPr>
        <w:t>SeO</w:t>
      </w:r>
      <w:r w:rsidRPr="007721FB">
        <w:rPr>
          <w:rFonts w:ascii="Times New Roman" w:hAnsi="Times New Roman" w:cs="Times New Roman"/>
          <w:sz w:val="24"/>
          <w:szCs w:val="24"/>
          <w:vertAlign w:val="subscript"/>
        </w:rPr>
        <w:t>3</w:t>
      </w:r>
      <w:r w:rsidRPr="007721FB">
        <w:rPr>
          <w:rFonts w:ascii="Times New Roman" w:hAnsi="Times New Roman" w:cs="Times New Roman"/>
          <w:sz w:val="24"/>
          <w:szCs w:val="24"/>
        </w:rPr>
        <w:t xml:space="preserve"> exhibited efficient inhibition of tumor growth as evidenced by the reduction of tumor size</w:t>
      </w:r>
      <w:r w:rsidR="00F82E22" w:rsidRPr="007721FB">
        <w:rPr>
          <w:rFonts w:ascii="Times New Roman" w:hAnsi="Times New Roman" w:cs="Times New Roman"/>
          <w:sz w:val="24"/>
          <w:szCs w:val="24"/>
        </w:rPr>
        <w:t xml:space="preserve"> (left)</w:t>
      </w:r>
      <w:r w:rsidRPr="007721FB">
        <w:rPr>
          <w:rFonts w:ascii="Times New Roman" w:hAnsi="Times New Roman" w:cs="Times New Roman"/>
          <w:sz w:val="24"/>
          <w:szCs w:val="24"/>
        </w:rPr>
        <w:t>.</w:t>
      </w:r>
      <w:r w:rsidR="001F281E" w:rsidRPr="007721FB">
        <w:rPr>
          <w:rFonts w:ascii="Times New Roman" w:hAnsi="Times New Roman" w:cs="Times New Roman"/>
          <w:sz w:val="24"/>
          <w:szCs w:val="24"/>
        </w:rPr>
        <w:t xml:space="preserve"> Adapted from</w:t>
      </w:r>
      <w:r w:rsidR="00721F8D" w:rsidRPr="007721FB">
        <w:rPr>
          <w:rFonts w:ascii="Times New Roman" w:hAnsi="Times New Roman" w:cs="Times New Roman"/>
          <w:sz w:val="24"/>
          <w:szCs w:val="24"/>
        </w:rPr>
        <w:t xml:space="preserve"> </w:t>
      </w:r>
      <w:r w:rsidR="00502C31" w:rsidRPr="007721FB">
        <w:rPr>
          <w:rFonts w:ascii="Times New Roman" w:hAnsi="Times New Roman" w:cs="Times New Roman"/>
          <w:sz w:val="24"/>
          <w:szCs w:val="24"/>
        </w:rPr>
        <w:fldChar w:fldCharType="begin" w:fldLock="1"/>
      </w:r>
      <w:r w:rsidR="00F1599C" w:rsidRPr="007721FB">
        <w:rPr>
          <w:rFonts w:ascii="Times New Roman" w:hAnsi="Times New Roman" w:cs="Times New Roman"/>
          <w:sz w:val="24"/>
          <w:szCs w:val="24"/>
        </w:rPr>
        <w:instrText>ADDIN CSL_CITATION { "citationItems" : [ { "id" : "ITEM-1", "itemData" : { "DOI" : "10.1021/acsnano.6b03835", "ISSN" : "1936-0851", "author" : [ { "dropping-particle" : "", "family" : "Wang", "given" : "Yifan", "non-dropping-particle" : "", "parse-names" : false, "suffix" : "" }, { "dropping-particle" : "", "family" : "Wang", "given" : "Jianglin", "non-dropping-particle" : "", "parse-names" : false, "suffix" : "" }, { "dropping-particle" : "", "family" : "Hao", "given" : "Hang", "non-dropping-particle" : "", "parse-names" : false, "suffix" : "" }, { "dropping-particle" : "", "family" : "Cai", "given" : "Mingle", "non-dropping-particle" : "", "parse-names" : false, "suffix" : "" }, { "dropping-particle" : "", "family" : "Wang", "given" : "Shiyao", "non-dropping-particle" : "", "parse-names" : false, "suffix" : "" }, { "dropping-particle" : "", "family" : "Ma", "given" : "Jun", "non-dropping-particle" : "", "parse-names" : false, "suffix" : "" }, { "dropping-particle" : "", "family" : "Li", "given" : "Yan", "non-dropping-particle" : "", "parse-names" : false, "suffix" : "" }, { "dropping-particle" : "", "family" : "Mao", "given" : "Chuanbin", "non-dropping-particle" : "", "parse-names" : false, "suffix" : "" }, { "dropping-particle" : "", "family" : "Zhang", "given" : "Shengmin", "non-dropping-particle" : "", "parse-names" : false, "suffix" : "" } ], "container-title" : "ACS Nano", "id" : "ITEM-1", "issue" : "11", "issued" : { "date-parts" : [ [ "2016", "11" ] ] }, "page" : "9927-9937", "title" : "In Vitro and in Vivo Mechanism of Bone Tumor Inhibition by Selenium-Doped Bone Mineral Nanoparticles", "type" : "article-journal", "volume" : "10" }, "uris" : [ "http://www.mendeley.com/documents/?uuid=cd5d6713-6882-431e-b471-b3a0b5adf290" ] } ], "mendeley" : { "formattedCitation" : "[112]", "plainTextFormattedCitation" : "[112]", "previouslyFormattedCitation" : "[112]" }, "properties" : { "noteIndex" : 19 }, "schema" : "https://github.com/citation-style-language/schema/raw/master/csl-citation.json" }</w:instrText>
      </w:r>
      <w:r w:rsidR="00502C31" w:rsidRPr="007721FB">
        <w:rPr>
          <w:rFonts w:ascii="Times New Roman" w:hAnsi="Times New Roman" w:cs="Times New Roman"/>
          <w:sz w:val="24"/>
          <w:szCs w:val="24"/>
        </w:rPr>
        <w:fldChar w:fldCharType="separate"/>
      </w:r>
      <w:r w:rsidR="00F1599C" w:rsidRPr="007721FB">
        <w:rPr>
          <w:rFonts w:ascii="Times New Roman" w:hAnsi="Times New Roman" w:cs="Times New Roman"/>
          <w:noProof/>
          <w:sz w:val="24"/>
          <w:szCs w:val="24"/>
        </w:rPr>
        <w:t>[112]</w:t>
      </w:r>
      <w:r w:rsidR="00502C31" w:rsidRPr="007721FB">
        <w:rPr>
          <w:rFonts w:ascii="Times New Roman" w:hAnsi="Times New Roman" w:cs="Times New Roman"/>
          <w:sz w:val="24"/>
          <w:szCs w:val="24"/>
        </w:rPr>
        <w:fldChar w:fldCharType="end"/>
      </w:r>
      <w:r w:rsidR="00502C31" w:rsidRPr="007721FB">
        <w:rPr>
          <w:rFonts w:ascii="Times New Roman" w:hAnsi="Times New Roman" w:cs="Times New Roman"/>
          <w:sz w:val="24"/>
          <w:szCs w:val="24"/>
        </w:rPr>
        <w:t xml:space="preserve"> </w:t>
      </w:r>
      <w:r w:rsidR="001F281E" w:rsidRPr="007721FB">
        <w:rPr>
          <w:rFonts w:ascii="Times New Roman" w:hAnsi="Times New Roman" w:cs="Times New Roman"/>
          <w:sz w:val="24"/>
          <w:szCs w:val="24"/>
        </w:rPr>
        <w:t xml:space="preserve">with permission from </w:t>
      </w:r>
      <w:r w:rsidR="00502C31" w:rsidRPr="007721FB">
        <w:rPr>
          <w:rFonts w:ascii="Times New Roman" w:hAnsi="Times New Roman" w:cs="Times New Roman"/>
          <w:sz w:val="24"/>
          <w:szCs w:val="24"/>
        </w:rPr>
        <w:t>the American Chemical Society.</w:t>
      </w:r>
    </w:p>
    <w:p w14:paraId="5442600A" w14:textId="77777777" w:rsidR="00F82E22" w:rsidRPr="007721FB" w:rsidRDefault="00F82E22" w:rsidP="00EE0E61">
      <w:pPr>
        <w:spacing w:after="0" w:line="240" w:lineRule="auto"/>
        <w:jc w:val="both"/>
        <w:rPr>
          <w:rFonts w:ascii="Times New Roman" w:hAnsi="Times New Roman" w:cs="Times New Roman"/>
          <w:sz w:val="24"/>
          <w:szCs w:val="24"/>
        </w:rPr>
      </w:pPr>
    </w:p>
    <w:p w14:paraId="374A83FE" w14:textId="04C1CFC7" w:rsidR="001476CC" w:rsidRPr="007721FB" w:rsidRDefault="003E5E1E" w:rsidP="00EE0E61">
      <w:pPr>
        <w:spacing w:after="0" w:line="240" w:lineRule="auto"/>
        <w:jc w:val="both"/>
        <w:rPr>
          <w:rFonts w:ascii="Times New Roman" w:hAnsi="Times New Roman" w:cs="Times New Roman"/>
          <w:sz w:val="24"/>
          <w:szCs w:val="24"/>
        </w:rPr>
      </w:pPr>
      <w:r w:rsidRPr="007721FB">
        <w:rPr>
          <w:rFonts w:ascii="Times New Roman" w:hAnsi="Times New Roman" w:cs="Times New Roman"/>
          <w:sz w:val="24"/>
          <w:szCs w:val="24"/>
        </w:rPr>
        <w:t xml:space="preserve">   </w:t>
      </w:r>
      <w:r w:rsidR="007D21F8" w:rsidRPr="007721FB">
        <w:rPr>
          <w:rFonts w:ascii="Times New Roman" w:hAnsi="Times New Roman" w:cs="Times New Roman"/>
          <w:sz w:val="24"/>
          <w:szCs w:val="24"/>
        </w:rPr>
        <w:t xml:space="preserve">Exploring pH-responsiveness to elicit improved nanocarrier cytotoxicity may also be valuable for bone therapy, particularly in bone cancer. Alpaslan </w:t>
      </w:r>
      <w:r w:rsidR="001476CC" w:rsidRPr="007721FB">
        <w:rPr>
          <w:rFonts w:ascii="Times New Roman" w:hAnsi="Times New Roman" w:cs="Times New Roman"/>
          <w:sz w:val="24"/>
          <w:szCs w:val="24"/>
        </w:rPr>
        <w:t>and colleagues</w:t>
      </w:r>
      <w:r w:rsidR="007D21F8" w:rsidRPr="007721FB">
        <w:rPr>
          <w:rFonts w:ascii="Times New Roman" w:hAnsi="Times New Roman" w:cs="Times New Roman"/>
          <w:sz w:val="24"/>
          <w:szCs w:val="24"/>
        </w:rPr>
        <w:t xml:space="preserve"> showcased the potential of dextran-coated cerium oxide n</w:t>
      </w:r>
      <w:r w:rsidR="00A506A5" w:rsidRPr="007721FB">
        <w:rPr>
          <w:rFonts w:ascii="Times New Roman" w:hAnsi="Times New Roman" w:cs="Times New Roman"/>
          <w:sz w:val="24"/>
          <w:szCs w:val="24"/>
        </w:rPr>
        <w:t>anoparticles (n</w:t>
      </w:r>
      <w:r w:rsidR="007D21F8" w:rsidRPr="007721FB">
        <w:rPr>
          <w:rFonts w:ascii="Times New Roman" w:hAnsi="Times New Roman" w:cs="Times New Roman"/>
          <w:sz w:val="24"/>
          <w:szCs w:val="24"/>
        </w:rPr>
        <w:t>anoceria) (</w:t>
      </w:r>
      <w:r w:rsidR="00933571" w:rsidRPr="007721FB">
        <w:rPr>
          <w:rFonts w:ascii="Times New Roman" w:hAnsi="Times New Roman" w:cs="Times New Roman"/>
          <w:sz w:val="24"/>
          <w:szCs w:val="24"/>
        </w:rPr>
        <w:t xml:space="preserve">size: 45 nm (pH=7) and 29 nm (pH=6), </w:t>
      </w:r>
      <w:r w:rsidR="0011178D" w:rsidRPr="007721FB">
        <w:rPr>
          <w:rFonts w:ascii="Times New Roman" w:hAnsi="Times New Roman" w:cs="Times New Roman"/>
          <w:sz w:val="24"/>
          <w:szCs w:val="24"/>
        </w:rPr>
        <w:t>ζ-</w:t>
      </w:r>
      <w:r w:rsidR="007D21F8" w:rsidRPr="007721FB">
        <w:rPr>
          <w:rFonts w:ascii="Times New Roman" w:hAnsi="Times New Roman" w:cs="Times New Roman"/>
          <w:sz w:val="24"/>
          <w:szCs w:val="24"/>
        </w:rPr>
        <w:t>potential</w:t>
      </w:r>
      <w:r w:rsidR="004C1FA6" w:rsidRPr="007721FB">
        <w:rPr>
          <w:rFonts w:ascii="Times New Roman" w:hAnsi="Times New Roman" w:cs="Times New Roman"/>
          <w:sz w:val="24"/>
          <w:szCs w:val="24"/>
        </w:rPr>
        <w:t>:</w:t>
      </w:r>
      <w:r w:rsidR="002B111A" w:rsidRPr="007721FB">
        <w:rPr>
          <w:rFonts w:ascii="Times New Roman" w:hAnsi="Times New Roman" w:cs="Times New Roman"/>
          <w:sz w:val="24"/>
          <w:szCs w:val="24"/>
        </w:rPr>
        <w:t xml:space="preserve"> 16.68 ± 3.98 mV (pH=6)</w:t>
      </w:r>
      <w:r w:rsidR="007D21F8" w:rsidRPr="007721FB">
        <w:rPr>
          <w:rFonts w:ascii="Times New Roman" w:hAnsi="Times New Roman" w:cs="Times New Roman"/>
          <w:sz w:val="24"/>
          <w:szCs w:val="24"/>
        </w:rPr>
        <w:t>), which exhibit antioxidant activity at physiological pH values, but shift</w:t>
      </w:r>
      <w:r w:rsidR="00E26788" w:rsidRPr="007721FB">
        <w:rPr>
          <w:rFonts w:ascii="Times New Roman" w:hAnsi="Times New Roman" w:cs="Times New Roman"/>
          <w:sz w:val="24"/>
          <w:szCs w:val="24"/>
        </w:rPr>
        <w:t>s</w:t>
      </w:r>
      <w:r w:rsidR="007D21F8" w:rsidRPr="007721FB">
        <w:rPr>
          <w:rFonts w:ascii="Times New Roman" w:hAnsi="Times New Roman" w:cs="Times New Roman"/>
          <w:sz w:val="24"/>
          <w:szCs w:val="24"/>
        </w:rPr>
        <w:t xml:space="preserve"> to an </w:t>
      </w:r>
      <w:r w:rsidR="00A902B4" w:rsidRPr="007721FB">
        <w:rPr>
          <w:rFonts w:ascii="Times New Roman" w:hAnsi="Times New Roman" w:cs="Times New Roman"/>
          <w:sz w:val="24"/>
          <w:szCs w:val="24"/>
        </w:rPr>
        <w:t>oxidizing</w:t>
      </w:r>
      <w:r w:rsidR="007D21F8" w:rsidRPr="007721FB">
        <w:rPr>
          <w:rFonts w:ascii="Times New Roman" w:hAnsi="Times New Roman" w:cs="Times New Roman"/>
          <w:sz w:val="24"/>
          <w:szCs w:val="24"/>
        </w:rPr>
        <w:t xml:space="preserve"> profile at slightly acidic pH conditions</w:t>
      </w:r>
      <w:r w:rsidR="00A902B4" w:rsidRPr="007721FB">
        <w:rPr>
          <w:rFonts w:ascii="Times New Roman" w:hAnsi="Times New Roman" w:cs="Times New Roman"/>
          <w:sz w:val="24"/>
          <w:szCs w:val="24"/>
        </w:rPr>
        <w:t xml:space="preserve"> </w:t>
      </w:r>
      <w:r w:rsidR="007D21F8" w:rsidRPr="007721FB">
        <w:rPr>
          <w:rFonts w:ascii="Times New Roman" w:hAnsi="Times New Roman" w:cs="Times New Roman"/>
          <w:sz w:val="24"/>
          <w:szCs w:val="24"/>
        </w:rPr>
        <w:fldChar w:fldCharType="begin" w:fldLock="1"/>
      </w:r>
      <w:r w:rsidR="00F1599C" w:rsidRPr="007721FB">
        <w:rPr>
          <w:rFonts w:ascii="Times New Roman" w:hAnsi="Times New Roman" w:cs="Times New Roman"/>
          <w:sz w:val="24"/>
          <w:szCs w:val="24"/>
        </w:rPr>
        <w:instrText>ADDIN CSL_CITATION { "citationItems" : [ { "id" : "ITEM-1", "itemData" : { "DOI" : "10.1021/acsbiomaterials.5b00194", "ISSN" : "23739878", "abstract" : "Cerium oxide nanoparticles (or nanoceria) have demonstrated great\\npotential as antioxidants in various cell culture models. Despite such\\npromise for reducing reactive oxygen species and an ability for surface\\nfunctionalization, nanoceria has not been extensively studied for cancer\\napplications to date. Herein, we engineered the surface of nanoceria\\nwith dextran and observed its activity in the presence bone cancer cells\\n(osteosarcoma cells) at different pH values resembling the cancerous and\\nnoncancerous environment. We found that dextran coated nanoceria was\\nmuch more effective at killing bone cancer cells at slightly acidic (pH\\n6) compared to physiological and basic pH values (pH 7 and pH 9). In\\ncontrast, minimal toxicity was observed for healthy (noncancerous) bone\\ncells when cultured with nanoceria at pH = 6 after 1 day of treatment in\\nthe concentration range of 10-1000 mu g/mL. Although healthy bone cancer\\ncell viability decreased after treatment with high ceria nanoparticle\\nconcentrations (250-1000 mu g/mL) for longer time periods at pH 6 (3\\ndays and 5 days), approximately 2-3 fold higher healthy bone cell\\nviabilities were observed compared to osteosarcoma cell viability at\\nsimilar conditions. Very low toxicity was observed for healthy\\nosteoblasts cultured with nanoceria for any concentration at any time\\nperiod at pH 7. In this manner, this study provides the first evidence\\nthat nanoceria can be a promising nanoparticle for treating bone cancer\\nwithout adversely affecting healthy bone cells and thus deserves further\\ninvestigation.", "author" : [ { "dropping-particle" : "", "family" : "Alpaslan", "given" : "Ece", "non-dropping-particle" : "", "parse-names" : false, "suffix" : "" }, { "dropping-particle" : "", "family" : "Yazici", "given" : "Hilal", "non-dropping-particle" : "", "parse-names" : false, "suffix" : "" }, { "dropping-particle" : "", "family" : "Golshan", "given" : "Negar H.", "non-dropping-particle" : "", "parse-names" : false, "suffix" : "" }, { "dropping-particle" : "", "family" : "Ziemer", "given" : "Katherine S.", "non-dropping-particle" : "", "parse-names" : false, "suffix" : "" }, { "dropping-particle" : "", "family" : "Webster", "given" : "Thomas J.", "non-dropping-particle" : "", "parse-names" : false, "suffix" : "" } ], "container-title" : "ACS Biomaterial Science and Engineering", "id" : "ITEM-1", "issue" : "11", "issued" : { "date-parts" : [ [ "2015" ] ] }, "page" : "1096-1103", "title" : "pH-Dependent Activity of Dextran-Coated Cerium Oxide Nanoparticles on Prohibiting Osteosarcoma Cell Proliferation", "type" : "article-journal", "volume" : "1" }, "uris" : [ "http://www.mendeley.com/documents/?uuid=92a53de8-298a-48a3-b6b2-8597653c0acf", "http://www.mendeley.com/documents/?uuid=6f88af3d-fcdc-4b87-b090-2336a074096c" ] } ], "mendeley" : { "formattedCitation" : "[113]", "plainTextFormattedCitation" : "[113]", "previouslyFormattedCitation" : "[113]" }, "properties" : { "noteIndex" : 0 }, "schema" : "https://github.com/citation-style-language/schema/raw/master/csl-citation.json" }</w:instrText>
      </w:r>
      <w:r w:rsidR="007D21F8" w:rsidRPr="007721FB">
        <w:rPr>
          <w:rFonts w:ascii="Times New Roman" w:hAnsi="Times New Roman" w:cs="Times New Roman"/>
          <w:sz w:val="24"/>
          <w:szCs w:val="24"/>
        </w:rPr>
        <w:fldChar w:fldCharType="separate"/>
      </w:r>
      <w:r w:rsidR="00F1599C" w:rsidRPr="007721FB">
        <w:rPr>
          <w:rFonts w:ascii="Times New Roman" w:hAnsi="Times New Roman" w:cs="Times New Roman"/>
          <w:noProof/>
          <w:sz w:val="24"/>
          <w:szCs w:val="24"/>
        </w:rPr>
        <w:t>[113]</w:t>
      </w:r>
      <w:r w:rsidR="007D21F8" w:rsidRPr="007721FB">
        <w:rPr>
          <w:rFonts w:ascii="Times New Roman" w:hAnsi="Times New Roman" w:cs="Times New Roman"/>
          <w:sz w:val="24"/>
          <w:szCs w:val="24"/>
        </w:rPr>
        <w:fldChar w:fldCharType="end"/>
      </w:r>
      <w:r w:rsidR="00A902B4" w:rsidRPr="007721FB">
        <w:rPr>
          <w:rFonts w:ascii="Times New Roman" w:hAnsi="Times New Roman" w:cs="Times New Roman"/>
          <w:sz w:val="24"/>
          <w:szCs w:val="24"/>
        </w:rPr>
        <w:t>.</w:t>
      </w:r>
      <w:r w:rsidR="007D21F8" w:rsidRPr="007721FB">
        <w:rPr>
          <w:rFonts w:ascii="Times New Roman" w:hAnsi="Times New Roman" w:cs="Times New Roman"/>
          <w:sz w:val="24"/>
          <w:szCs w:val="24"/>
        </w:rPr>
        <w:t xml:space="preserve"> </w:t>
      </w:r>
      <w:r w:rsidR="00A506A5" w:rsidRPr="007721FB">
        <w:rPr>
          <w:rFonts w:ascii="Times New Roman" w:hAnsi="Times New Roman" w:cs="Times New Roman"/>
          <w:sz w:val="24"/>
          <w:szCs w:val="24"/>
        </w:rPr>
        <w:t>These n</w:t>
      </w:r>
      <w:r w:rsidR="007D21F8" w:rsidRPr="007721FB">
        <w:rPr>
          <w:rFonts w:ascii="Times New Roman" w:hAnsi="Times New Roman" w:cs="Times New Roman"/>
          <w:sz w:val="24"/>
          <w:szCs w:val="24"/>
        </w:rPr>
        <w:t>anoceria</w:t>
      </w:r>
      <w:r w:rsidR="00E26788" w:rsidRPr="007721FB">
        <w:rPr>
          <w:rFonts w:ascii="Times New Roman" w:hAnsi="Times New Roman" w:cs="Times New Roman"/>
          <w:sz w:val="24"/>
          <w:szCs w:val="24"/>
        </w:rPr>
        <w:t xml:space="preserve"> </w:t>
      </w:r>
      <w:r w:rsidR="007D21F8" w:rsidRPr="007721FB">
        <w:rPr>
          <w:rFonts w:ascii="Times New Roman" w:hAnsi="Times New Roman" w:cs="Times New Roman"/>
          <w:sz w:val="24"/>
          <w:szCs w:val="24"/>
        </w:rPr>
        <w:t>allow for a selective increase in ROS generation in osteosarcoma microenvironment</w:t>
      </w:r>
      <w:r w:rsidR="00A506A5" w:rsidRPr="007721FB">
        <w:rPr>
          <w:rFonts w:ascii="Times New Roman" w:hAnsi="Times New Roman" w:cs="Times New Roman"/>
          <w:sz w:val="24"/>
          <w:szCs w:val="24"/>
        </w:rPr>
        <w:t>. In this study, n</w:t>
      </w:r>
      <w:r w:rsidR="007D21F8" w:rsidRPr="007721FB">
        <w:rPr>
          <w:rFonts w:ascii="Times New Roman" w:hAnsi="Times New Roman" w:cs="Times New Roman"/>
          <w:sz w:val="24"/>
          <w:szCs w:val="24"/>
        </w:rPr>
        <w:t>anoceria</w:t>
      </w:r>
      <w:r w:rsidR="00C506CD" w:rsidRPr="007721FB">
        <w:rPr>
          <w:rFonts w:ascii="Times New Roman" w:hAnsi="Times New Roman" w:cs="Times New Roman"/>
          <w:sz w:val="24"/>
          <w:szCs w:val="24"/>
        </w:rPr>
        <w:t xml:space="preserve"> particles</w:t>
      </w:r>
      <w:r w:rsidR="007D21F8" w:rsidRPr="007721FB">
        <w:rPr>
          <w:rFonts w:ascii="Times New Roman" w:hAnsi="Times New Roman" w:cs="Times New Roman"/>
          <w:sz w:val="24"/>
          <w:szCs w:val="24"/>
        </w:rPr>
        <w:t xml:space="preserve"> incubated at pH=6 showed maximum cytotoxicity against osteosarcoma MG-63 cells. In healthy osteoblasts </w:t>
      </w:r>
      <w:r w:rsidR="00C506CD" w:rsidRPr="007721FB">
        <w:rPr>
          <w:rFonts w:ascii="Times New Roman" w:hAnsi="Times New Roman" w:cs="Times New Roman"/>
          <w:i/>
          <w:sz w:val="24"/>
          <w:szCs w:val="24"/>
        </w:rPr>
        <w:t>in vitro</w:t>
      </w:r>
      <w:r w:rsidR="00C506CD" w:rsidRPr="007721FB">
        <w:rPr>
          <w:rFonts w:ascii="Times New Roman" w:hAnsi="Times New Roman" w:cs="Times New Roman"/>
          <w:sz w:val="24"/>
          <w:szCs w:val="24"/>
        </w:rPr>
        <w:t xml:space="preserve"> </w:t>
      </w:r>
      <w:r w:rsidR="007D21F8" w:rsidRPr="007721FB">
        <w:rPr>
          <w:rFonts w:ascii="Times New Roman" w:hAnsi="Times New Roman" w:cs="Times New Roman"/>
          <w:sz w:val="24"/>
          <w:szCs w:val="24"/>
        </w:rPr>
        <w:t>cultures (pH=6) no significant ROS generation was observ</w:t>
      </w:r>
      <w:r w:rsidR="00A506A5" w:rsidRPr="007721FB">
        <w:rPr>
          <w:rFonts w:ascii="Times New Roman" w:hAnsi="Times New Roman" w:cs="Times New Roman"/>
          <w:sz w:val="24"/>
          <w:szCs w:val="24"/>
        </w:rPr>
        <w:t>ed at any n</w:t>
      </w:r>
      <w:r w:rsidR="007D21F8" w:rsidRPr="007721FB">
        <w:rPr>
          <w:rFonts w:ascii="Times New Roman" w:hAnsi="Times New Roman" w:cs="Times New Roman"/>
          <w:sz w:val="24"/>
          <w:szCs w:val="24"/>
        </w:rPr>
        <w:t xml:space="preserve">anoceria concentration, </w:t>
      </w:r>
      <w:r w:rsidR="00E26788" w:rsidRPr="007721FB">
        <w:rPr>
          <w:rFonts w:ascii="Times New Roman" w:hAnsi="Times New Roman" w:cs="Times New Roman"/>
          <w:sz w:val="24"/>
          <w:szCs w:val="24"/>
        </w:rPr>
        <w:t xml:space="preserve">thus </w:t>
      </w:r>
      <w:r w:rsidR="007D21F8" w:rsidRPr="007721FB">
        <w:rPr>
          <w:rFonts w:ascii="Times New Roman" w:hAnsi="Times New Roman" w:cs="Times New Roman"/>
          <w:sz w:val="24"/>
          <w:szCs w:val="24"/>
        </w:rPr>
        <w:t>confirming the proposed ROS-dependent cancer-killing mechanism. After 5 days at pH=6, the osteosarcoma IC50 value was found to be 100 µg/mL, as opposed to 500 µg/mL for normal osteoblasts</w:t>
      </w:r>
      <w:r w:rsidR="001476CC" w:rsidRPr="007721FB">
        <w:rPr>
          <w:rFonts w:ascii="Times New Roman" w:hAnsi="Times New Roman" w:cs="Times New Roman"/>
          <w:sz w:val="24"/>
          <w:szCs w:val="24"/>
        </w:rPr>
        <w:t xml:space="preserve"> </w:t>
      </w:r>
      <w:r w:rsidR="007D21F8" w:rsidRPr="007721FB">
        <w:rPr>
          <w:rFonts w:ascii="Times New Roman" w:hAnsi="Times New Roman" w:cs="Times New Roman"/>
          <w:sz w:val="24"/>
          <w:szCs w:val="24"/>
        </w:rPr>
        <w:fldChar w:fldCharType="begin" w:fldLock="1"/>
      </w:r>
      <w:r w:rsidR="00F1599C" w:rsidRPr="007721FB">
        <w:rPr>
          <w:rFonts w:ascii="Times New Roman" w:hAnsi="Times New Roman" w:cs="Times New Roman"/>
          <w:sz w:val="24"/>
          <w:szCs w:val="24"/>
        </w:rPr>
        <w:instrText>ADDIN CSL_CITATION { "citationItems" : [ { "id" : "ITEM-1", "itemData" : { "DOI" : "10.1021/acsbiomaterials.5b00194", "ISSN" : "23739878", "abstract" : "Cerium oxide nanoparticles (or nanoceria) have demonstrated great\\npotential as antioxidants in various cell culture models. Despite such\\npromise for reducing reactive oxygen species and an ability for surface\\nfunctionalization, nanoceria has not been extensively studied for cancer\\napplications to date. Herein, we engineered the surface of nanoceria\\nwith dextran and observed its activity in the presence bone cancer cells\\n(osteosarcoma cells) at different pH values resembling the cancerous and\\nnoncancerous environment. We found that dextran coated nanoceria was\\nmuch more effective at killing bone cancer cells at slightly acidic (pH\\n6) compared to physiological and basic pH values (pH 7 and pH 9). In\\ncontrast, minimal toxicity was observed for healthy (noncancerous) bone\\ncells when cultured with nanoceria at pH = 6 after 1 day of treatment in\\nthe concentration range of 10-1000 mu g/mL. Although healthy bone cancer\\ncell viability decreased after treatment with high ceria nanoparticle\\nconcentrations (250-1000 mu g/mL) for longer time periods at pH 6 (3\\ndays and 5 days), approximately 2-3 fold higher healthy bone cell\\nviabilities were observed compared to osteosarcoma cell viability at\\nsimilar conditions. Very low toxicity was observed for healthy\\nosteoblasts cultured with nanoceria for any concentration at any time\\nperiod at pH 7. In this manner, this study provides the first evidence\\nthat nanoceria can be a promising nanoparticle for treating bone cancer\\nwithout adversely affecting healthy bone cells and thus deserves further\\ninvestigation.", "author" : [ { "dropping-particle" : "", "family" : "Alpaslan", "given" : "Ece", "non-dropping-particle" : "", "parse-names" : false, "suffix" : "" }, { "dropping-particle" : "", "family" : "Yazici", "given" : "Hilal", "non-dropping-particle" : "", "parse-names" : false, "suffix" : "" }, { "dropping-particle" : "", "family" : "Golshan", "given" : "Negar H.", "non-dropping-particle" : "", "parse-names" : false, "suffix" : "" }, { "dropping-particle" : "", "family" : "Ziemer", "given" : "Katherine S.", "non-dropping-particle" : "", "parse-names" : false, "suffix" : "" }, { "dropping-particle" : "", "family" : "Webster", "given" : "Thomas J.", "non-dropping-particle" : "", "parse-names" : false, "suffix" : "" } ], "container-title" : "ACS Biomaterial Science and Engineering", "id" : "ITEM-1", "issue" : "11", "issued" : { "date-parts" : [ [ "2015" ] ] }, "page" : "1096-1103", "title" : "pH-Dependent Activity of Dextran-Coated Cerium Oxide Nanoparticles on Prohibiting Osteosarcoma Cell Proliferation", "type" : "article-journal", "volume" : "1" }, "uris" : [ "http://www.mendeley.com/documents/?uuid=6f88af3d-fcdc-4b87-b090-2336a074096c", "http://www.mendeley.com/documents/?uuid=92a53de8-298a-48a3-b6b2-8597653c0acf" ] } ], "mendeley" : { "formattedCitation" : "[113]", "plainTextFormattedCitation" : "[113]", "previouslyFormattedCitation" : "[113]" }, "properties" : { "noteIndex" : 0 }, "schema" : "https://github.com/citation-style-language/schema/raw/master/csl-citation.json" }</w:instrText>
      </w:r>
      <w:r w:rsidR="007D21F8" w:rsidRPr="007721FB">
        <w:rPr>
          <w:rFonts w:ascii="Times New Roman" w:hAnsi="Times New Roman" w:cs="Times New Roman"/>
          <w:sz w:val="24"/>
          <w:szCs w:val="24"/>
        </w:rPr>
        <w:fldChar w:fldCharType="separate"/>
      </w:r>
      <w:r w:rsidR="00F1599C" w:rsidRPr="007721FB">
        <w:rPr>
          <w:rFonts w:ascii="Times New Roman" w:hAnsi="Times New Roman" w:cs="Times New Roman"/>
          <w:noProof/>
          <w:sz w:val="24"/>
          <w:szCs w:val="24"/>
        </w:rPr>
        <w:t>[113]</w:t>
      </w:r>
      <w:r w:rsidR="007D21F8" w:rsidRPr="007721FB">
        <w:rPr>
          <w:rFonts w:ascii="Times New Roman" w:hAnsi="Times New Roman" w:cs="Times New Roman"/>
          <w:sz w:val="24"/>
          <w:szCs w:val="24"/>
        </w:rPr>
        <w:fldChar w:fldCharType="end"/>
      </w:r>
      <w:r w:rsidR="001476CC" w:rsidRPr="007721FB">
        <w:rPr>
          <w:rFonts w:ascii="Times New Roman" w:hAnsi="Times New Roman" w:cs="Times New Roman"/>
          <w:sz w:val="24"/>
          <w:szCs w:val="24"/>
        </w:rPr>
        <w:t>.</w:t>
      </w:r>
      <w:r w:rsidR="007D21F8" w:rsidRPr="007721FB">
        <w:rPr>
          <w:rFonts w:ascii="Times New Roman" w:hAnsi="Times New Roman" w:cs="Times New Roman"/>
          <w:sz w:val="24"/>
          <w:szCs w:val="24"/>
        </w:rPr>
        <w:t xml:space="preserve"> In addition, </w:t>
      </w:r>
      <w:r w:rsidR="00A506A5" w:rsidRPr="007721FB">
        <w:rPr>
          <w:rFonts w:ascii="Times New Roman" w:hAnsi="Times New Roman" w:cs="Times New Roman"/>
          <w:sz w:val="24"/>
          <w:szCs w:val="24"/>
        </w:rPr>
        <w:t xml:space="preserve">nanoceria particles maintain their selective cancer-killing effect even at </w:t>
      </w:r>
      <w:r w:rsidR="007D21F8" w:rsidRPr="007721FB">
        <w:rPr>
          <w:rFonts w:ascii="Times New Roman" w:hAnsi="Times New Roman" w:cs="Times New Roman"/>
          <w:sz w:val="24"/>
          <w:szCs w:val="24"/>
        </w:rPr>
        <w:t xml:space="preserve">physiological pH, </w:t>
      </w:r>
      <w:r w:rsidR="00C506CD" w:rsidRPr="007721FB">
        <w:rPr>
          <w:rFonts w:ascii="Times New Roman" w:hAnsi="Times New Roman" w:cs="Times New Roman"/>
          <w:sz w:val="24"/>
          <w:szCs w:val="24"/>
        </w:rPr>
        <w:t>being observed that</w:t>
      </w:r>
      <w:r w:rsidR="007D21F8" w:rsidRPr="007721FB">
        <w:rPr>
          <w:rFonts w:ascii="Times New Roman" w:hAnsi="Times New Roman" w:cs="Times New Roman"/>
          <w:sz w:val="24"/>
          <w:szCs w:val="24"/>
        </w:rPr>
        <w:t xml:space="preserve"> after</w:t>
      </w:r>
      <w:r w:rsidR="00C506CD" w:rsidRPr="007721FB">
        <w:rPr>
          <w:rFonts w:ascii="Times New Roman" w:hAnsi="Times New Roman" w:cs="Times New Roman"/>
          <w:sz w:val="24"/>
          <w:szCs w:val="24"/>
        </w:rPr>
        <w:t xml:space="preserve"> a</w:t>
      </w:r>
      <w:r w:rsidR="00A506A5" w:rsidRPr="007721FB">
        <w:rPr>
          <w:rFonts w:ascii="Times New Roman" w:hAnsi="Times New Roman" w:cs="Times New Roman"/>
          <w:sz w:val="24"/>
          <w:szCs w:val="24"/>
        </w:rPr>
        <w:t xml:space="preserve"> 5-</w:t>
      </w:r>
      <w:r w:rsidR="007D21F8" w:rsidRPr="007721FB">
        <w:rPr>
          <w:rFonts w:ascii="Times New Roman" w:hAnsi="Times New Roman" w:cs="Times New Roman"/>
          <w:sz w:val="24"/>
          <w:szCs w:val="24"/>
        </w:rPr>
        <w:t xml:space="preserve">day treatment, the IC50 values for healthy osteoblasts were well above 1000 µg/mL, in contrast with IC50 values of 250 µg/mL for </w:t>
      </w:r>
      <w:r w:rsidR="00071353" w:rsidRPr="007721FB">
        <w:rPr>
          <w:rFonts w:ascii="Times New Roman" w:hAnsi="Times New Roman" w:cs="Times New Roman"/>
          <w:sz w:val="24"/>
          <w:szCs w:val="24"/>
        </w:rPr>
        <w:t xml:space="preserve">MG-63 </w:t>
      </w:r>
      <w:r w:rsidR="007D21F8" w:rsidRPr="007721FB">
        <w:rPr>
          <w:rFonts w:ascii="Times New Roman" w:hAnsi="Times New Roman" w:cs="Times New Roman"/>
          <w:sz w:val="24"/>
          <w:szCs w:val="24"/>
        </w:rPr>
        <w:t>osteosarcoma cells.</w:t>
      </w:r>
    </w:p>
    <w:p w14:paraId="5BDD2C3C" w14:textId="5957A64B" w:rsidR="00D834FD" w:rsidRPr="007721FB" w:rsidRDefault="001476CC" w:rsidP="00D834FD">
      <w:pPr>
        <w:spacing w:after="0" w:line="240" w:lineRule="auto"/>
        <w:jc w:val="both"/>
        <w:rPr>
          <w:rFonts w:ascii="Times New Roman" w:hAnsi="Times New Roman" w:cs="Times New Roman"/>
        </w:rPr>
      </w:pPr>
      <w:r w:rsidRPr="007721FB">
        <w:rPr>
          <w:rFonts w:ascii="Times New Roman" w:hAnsi="Times New Roman" w:cs="Times New Roman"/>
          <w:sz w:val="24"/>
          <w:szCs w:val="24"/>
        </w:rPr>
        <w:t xml:space="preserve">   </w:t>
      </w:r>
      <w:r w:rsidR="003D039D" w:rsidRPr="007721FB">
        <w:rPr>
          <w:rFonts w:ascii="Times New Roman" w:hAnsi="Times New Roman" w:cs="Times New Roman"/>
          <w:sz w:val="24"/>
          <w:szCs w:val="24"/>
        </w:rPr>
        <w:t xml:space="preserve">In the context of </w:t>
      </w:r>
      <w:r w:rsidRPr="007721FB">
        <w:rPr>
          <w:rFonts w:ascii="Times New Roman" w:hAnsi="Times New Roman" w:cs="Times New Roman"/>
          <w:sz w:val="24"/>
          <w:szCs w:val="24"/>
        </w:rPr>
        <w:t>tissue engineering and regenerative medicine</w:t>
      </w:r>
      <w:r w:rsidR="00C827FA" w:rsidRPr="007721FB">
        <w:rPr>
          <w:rFonts w:ascii="Times New Roman" w:hAnsi="Times New Roman" w:cs="Times New Roman"/>
          <w:sz w:val="24"/>
          <w:szCs w:val="24"/>
        </w:rPr>
        <w:t>,</w:t>
      </w:r>
      <w:r w:rsidR="003D039D" w:rsidRPr="007721FB">
        <w:rPr>
          <w:rFonts w:ascii="Times New Roman" w:hAnsi="Times New Roman" w:cs="Times New Roman"/>
          <w:sz w:val="24"/>
          <w:szCs w:val="24"/>
        </w:rPr>
        <w:t xml:space="preserve"> Gan and </w:t>
      </w:r>
      <w:r w:rsidR="00C827FA" w:rsidRPr="007721FB">
        <w:rPr>
          <w:rFonts w:ascii="Times New Roman" w:hAnsi="Times New Roman" w:cs="Times New Roman"/>
          <w:sz w:val="24"/>
          <w:szCs w:val="24"/>
        </w:rPr>
        <w:t>co-</w:t>
      </w:r>
      <w:r w:rsidR="003D039D" w:rsidRPr="007721FB">
        <w:rPr>
          <w:rFonts w:ascii="Times New Roman" w:hAnsi="Times New Roman" w:cs="Times New Roman"/>
          <w:sz w:val="24"/>
          <w:szCs w:val="24"/>
        </w:rPr>
        <w:t>workers</w:t>
      </w:r>
      <w:r w:rsidR="00D86BCA" w:rsidRPr="007721FB">
        <w:rPr>
          <w:rFonts w:ascii="Times New Roman" w:hAnsi="Times New Roman" w:cs="Times New Roman"/>
          <w:sz w:val="24"/>
          <w:szCs w:val="24"/>
        </w:rPr>
        <w:t xml:space="preserve"> developed pH-responsive</w:t>
      </w:r>
      <w:r w:rsidR="00C827FA" w:rsidRPr="007721FB">
        <w:rPr>
          <w:rFonts w:ascii="Times New Roman" w:hAnsi="Times New Roman" w:cs="Times New Roman"/>
          <w:sz w:val="24"/>
          <w:szCs w:val="24"/>
        </w:rPr>
        <w:t xml:space="preserve"> chitosan-</w:t>
      </w:r>
      <w:r w:rsidR="003D039D" w:rsidRPr="007721FB">
        <w:rPr>
          <w:rFonts w:ascii="Times New Roman" w:hAnsi="Times New Roman" w:cs="Times New Roman"/>
          <w:sz w:val="24"/>
          <w:szCs w:val="24"/>
        </w:rPr>
        <w:t>capped</w:t>
      </w:r>
      <w:r w:rsidR="00D86BCA" w:rsidRPr="007721FB">
        <w:rPr>
          <w:rFonts w:ascii="Times New Roman" w:hAnsi="Times New Roman" w:cs="Times New Roman"/>
          <w:sz w:val="24"/>
          <w:szCs w:val="24"/>
        </w:rPr>
        <w:t xml:space="preserve"> </w:t>
      </w:r>
      <w:r w:rsidR="00831B58" w:rsidRPr="007721FB">
        <w:rPr>
          <w:rFonts w:ascii="Times New Roman" w:hAnsi="Times New Roman" w:cs="Times New Roman"/>
          <w:sz w:val="24"/>
          <w:szCs w:val="24"/>
        </w:rPr>
        <w:t xml:space="preserve">MCM-41 </w:t>
      </w:r>
      <w:r w:rsidR="00D86BCA" w:rsidRPr="007721FB">
        <w:rPr>
          <w:rFonts w:ascii="Times New Roman" w:hAnsi="Times New Roman" w:cs="Times New Roman"/>
          <w:sz w:val="24"/>
          <w:szCs w:val="24"/>
        </w:rPr>
        <w:t>mesoporous silica nanoparticles (</w:t>
      </w:r>
      <w:r w:rsidR="008E2DC2" w:rsidRPr="007721FB">
        <w:rPr>
          <w:rFonts w:ascii="Times New Roman" w:hAnsi="Times New Roman" w:cs="Times New Roman"/>
          <w:sz w:val="24"/>
          <w:szCs w:val="24"/>
        </w:rPr>
        <w:t>chi-</w:t>
      </w:r>
      <w:r w:rsidR="00D86BCA" w:rsidRPr="007721FB">
        <w:rPr>
          <w:rFonts w:ascii="Times New Roman" w:hAnsi="Times New Roman" w:cs="Times New Roman"/>
          <w:sz w:val="24"/>
          <w:szCs w:val="24"/>
        </w:rPr>
        <w:t xml:space="preserve">MSNs) </w:t>
      </w:r>
      <w:r w:rsidR="0011178D" w:rsidRPr="007721FB">
        <w:rPr>
          <w:rFonts w:ascii="Times New Roman" w:hAnsi="Times New Roman" w:cs="Times New Roman"/>
          <w:sz w:val="24"/>
          <w:szCs w:val="24"/>
        </w:rPr>
        <w:t>(size</w:t>
      </w:r>
      <w:r w:rsidR="00824AE8" w:rsidRPr="007721FB">
        <w:rPr>
          <w:rFonts w:ascii="Times New Roman" w:hAnsi="Times New Roman" w:cs="Times New Roman"/>
          <w:sz w:val="24"/>
          <w:szCs w:val="24"/>
        </w:rPr>
        <w:t xml:space="preserve">: </w:t>
      </w:r>
      <w:r w:rsidR="0011178D" w:rsidRPr="007721FB">
        <w:rPr>
          <w:rFonts w:ascii="Times New Roman" w:hAnsi="Times New Roman" w:cs="Times New Roman"/>
          <w:sz w:val="24"/>
          <w:szCs w:val="24"/>
        </w:rPr>
        <w:t>130 nm, ζ</w:t>
      </w:r>
      <w:r w:rsidR="00831B58" w:rsidRPr="007721FB">
        <w:rPr>
          <w:rFonts w:ascii="Times New Roman" w:hAnsi="Times New Roman" w:cs="Times New Roman"/>
          <w:sz w:val="24"/>
          <w:szCs w:val="24"/>
        </w:rPr>
        <w:t>-potential</w:t>
      </w:r>
      <w:r w:rsidR="004C1FA6" w:rsidRPr="007721FB">
        <w:rPr>
          <w:rFonts w:ascii="Times New Roman" w:hAnsi="Times New Roman" w:cs="Times New Roman"/>
          <w:sz w:val="24"/>
          <w:szCs w:val="24"/>
        </w:rPr>
        <w:t>:</w:t>
      </w:r>
      <w:r w:rsidR="00FE2E93" w:rsidRPr="007721FB">
        <w:rPr>
          <w:rFonts w:ascii="Times New Roman" w:hAnsi="Times New Roman" w:cs="Times New Roman"/>
          <w:sz w:val="24"/>
          <w:szCs w:val="24"/>
        </w:rPr>
        <w:t xml:space="preserve"> </w:t>
      </w:r>
      <w:r w:rsidR="0011178D" w:rsidRPr="007721FB">
        <w:rPr>
          <w:rFonts w:ascii="Times New Roman" w:hAnsi="Times New Roman" w:cs="Times New Roman"/>
          <w:sz w:val="24"/>
          <w:szCs w:val="24"/>
        </w:rPr>
        <w:t xml:space="preserve">+22.5 mV) </w:t>
      </w:r>
      <w:r w:rsidR="00D86BCA" w:rsidRPr="007721FB">
        <w:rPr>
          <w:rFonts w:ascii="Times New Roman" w:hAnsi="Times New Roman" w:cs="Times New Roman"/>
          <w:sz w:val="24"/>
          <w:szCs w:val="24"/>
        </w:rPr>
        <w:t>for delivery of BMP-2</w:t>
      </w:r>
      <w:r w:rsidR="004E6F85" w:rsidRPr="007721FB">
        <w:rPr>
          <w:rFonts w:ascii="Times New Roman" w:hAnsi="Times New Roman" w:cs="Times New Roman"/>
          <w:sz w:val="24"/>
          <w:szCs w:val="24"/>
        </w:rPr>
        <w:t xml:space="preserve"> and dexamethasone (Dex) to enhance bone regeneration</w:t>
      </w:r>
      <w:r w:rsidR="003B4D4D" w:rsidRPr="007721FB">
        <w:rPr>
          <w:rFonts w:ascii="Times New Roman" w:hAnsi="Times New Roman" w:cs="Times New Roman"/>
          <w:sz w:val="24"/>
          <w:szCs w:val="24"/>
        </w:rPr>
        <w:t xml:space="preserve"> (Figure 8)</w:t>
      </w:r>
      <w:r w:rsidR="00824AE8" w:rsidRPr="007721FB">
        <w:rPr>
          <w:rFonts w:ascii="Times New Roman" w:hAnsi="Times New Roman" w:cs="Times New Roman"/>
          <w:sz w:val="24"/>
          <w:szCs w:val="24"/>
        </w:rPr>
        <w:t xml:space="preserve"> </w:t>
      </w:r>
      <w:r w:rsidR="00420AD0" w:rsidRPr="007721FB">
        <w:rPr>
          <w:rFonts w:ascii="Times New Roman" w:hAnsi="Times New Roman" w:cs="Times New Roman"/>
          <w:sz w:val="24"/>
          <w:szCs w:val="24"/>
        </w:rPr>
        <w:fldChar w:fldCharType="begin" w:fldLock="1"/>
      </w:r>
      <w:r w:rsidR="00F1599C" w:rsidRPr="007721FB">
        <w:rPr>
          <w:rFonts w:ascii="Times New Roman" w:hAnsi="Times New Roman" w:cs="Times New Roman"/>
          <w:sz w:val="24"/>
          <w:szCs w:val="24"/>
        </w:rPr>
        <w:instrText>ADDIN CSL_CITATION { "citationItems" : [ { "id" : "ITEM-1", "itemData" : { "DOI" : "10.1039/C4TB01897D", "ISBN" : "1842-6573", "ISSN" : "2050-750X", "PMID" : "24173598", "author" : [ { "dropping-particle" : "", "family" : "Gan", "given" : "Qi", "non-dropping-particle" : "", "parse-names" : false, "suffix" : "" }, { "dropping-particle" : "", "family" : "Zhu", "given" : "Jiaoyang", "non-dropping-particle" : "", "parse-names" : false, "suffix" : "" }, { "dropping-particle" : "", "family" : "Yuan", "given" : "Yuan", "non-dropping-particle" : "", "parse-names" : false, "suffix" : "" }, { "dropping-particle" : "", "family" : "Liu", "given" : "Honglai", "non-dropping-particle" : "", "parse-names" : false, "suffix" : "" }, { "dropping-particle" : "", "family" : "Qian", "given" : "Jiangchao", "non-dropping-particle" : "", "parse-names" : false, "suffix" : "" }, { "dropping-particle" : "", "family" : "Li", "given" : "Yongsheng", "non-dropping-particle" : "", "parse-names" : false, "suffix" : "" }, { "dropping-particle" : "", "family" : "Liu", "given" : "Changsheng", "non-dropping-particle" : "", "parse-names" : false, "suffix" : "" } ], "container-title" : "J. Mater. Chem. B", "id" : "ITEM-1", "issue" : "10", "issued" : { "date-parts" : [ [ "2015" ] ] }, "page" : "2056-2066", "title" : "A dual-delivery system of pH-responsive chitosan-functionalized mesoporous silica nanoparticles bearing BMP-2 and dexamethasone for enhanced bone regeneration", "type" : "article-journal", "volume" : "3" }, "uris" : [ "http://www.mendeley.com/documents/?uuid=8dce3239-e391-451f-bb0d-141540efc240", "http://www.mendeley.com/documents/?uuid=5976cb61-bafd-4f1b-b9b4-147fb12fe924" ] } ], "mendeley" : { "formattedCitation" : "[114]", "plainTextFormattedCitation" : "[114]", "previouslyFormattedCitation" : "[114]" }, "properties" : { "noteIndex" : 0 }, "schema" : "https://github.com/citation-style-language/schema/raw/master/csl-citation.json" }</w:instrText>
      </w:r>
      <w:r w:rsidR="00420AD0" w:rsidRPr="007721FB">
        <w:rPr>
          <w:rFonts w:ascii="Times New Roman" w:hAnsi="Times New Roman" w:cs="Times New Roman"/>
          <w:sz w:val="24"/>
          <w:szCs w:val="24"/>
        </w:rPr>
        <w:fldChar w:fldCharType="separate"/>
      </w:r>
      <w:r w:rsidR="00F1599C" w:rsidRPr="007721FB">
        <w:rPr>
          <w:rFonts w:ascii="Times New Roman" w:hAnsi="Times New Roman" w:cs="Times New Roman"/>
          <w:noProof/>
          <w:sz w:val="24"/>
          <w:szCs w:val="24"/>
        </w:rPr>
        <w:t>[114]</w:t>
      </w:r>
      <w:r w:rsidR="00420AD0" w:rsidRPr="007721FB">
        <w:rPr>
          <w:rFonts w:ascii="Times New Roman" w:hAnsi="Times New Roman" w:cs="Times New Roman"/>
          <w:sz w:val="24"/>
          <w:szCs w:val="24"/>
        </w:rPr>
        <w:fldChar w:fldCharType="end"/>
      </w:r>
      <w:r w:rsidR="00824AE8" w:rsidRPr="007721FB">
        <w:rPr>
          <w:rFonts w:ascii="Times New Roman" w:hAnsi="Times New Roman" w:cs="Times New Roman"/>
          <w:sz w:val="24"/>
          <w:szCs w:val="24"/>
        </w:rPr>
        <w:t>.</w:t>
      </w:r>
      <w:r w:rsidR="004E6F85" w:rsidRPr="007721FB">
        <w:rPr>
          <w:rFonts w:ascii="Times New Roman" w:hAnsi="Times New Roman" w:cs="Times New Roman"/>
          <w:sz w:val="24"/>
          <w:szCs w:val="24"/>
        </w:rPr>
        <w:t xml:space="preserve"> Chitosan</w:t>
      </w:r>
      <w:r w:rsidRPr="007721FB">
        <w:rPr>
          <w:rFonts w:ascii="Times New Roman" w:hAnsi="Times New Roman" w:cs="Times New Roman"/>
          <w:sz w:val="24"/>
          <w:szCs w:val="24"/>
        </w:rPr>
        <w:t xml:space="preserve"> (CS)</w:t>
      </w:r>
      <w:r w:rsidR="004E6F85" w:rsidRPr="007721FB">
        <w:rPr>
          <w:rFonts w:ascii="Times New Roman" w:hAnsi="Times New Roman" w:cs="Times New Roman"/>
          <w:sz w:val="24"/>
          <w:szCs w:val="24"/>
        </w:rPr>
        <w:t xml:space="preserve"> </w:t>
      </w:r>
      <w:r w:rsidR="004E6F85" w:rsidRPr="007721FB">
        <w:rPr>
          <w:rFonts w:ascii="Times New Roman" w:hAnsi="Times New Roman" w:cs="Times New Roman"/>
          <w:sz w:val="24"/>
          <w:szCs w:val="24"/>
        </w:rPr>
        <w:lastRenderedPageBreak/>
        <w:t>functionalization of MSNs surface</w:t>
      </w:r>
      <w:r w:rsidR="00BB32FB" w:rsidRPr="007721FB">
        <w:rPr>
          <w:rFonts w:ascii="Times New Roman" w:hAnsi="Times New Roman" w:cs="Times New Roman"/>
          <w:sz w:val="24"/>
          <w:szCs w:val="24"/>
        </w:rPr>
        <w:t xml:space="preserve"> </w:t>
      </w:r>
      <w:r w:rsidR="004E6F85" w:rsidRPr="007721FB">
        <w:rPr>
          <w:rFonts w:ascii="Times New Roman" w:hAnsi="Times New Roman" w:cs="Times New Roman"/>
          <w:sz w:val="24"/>
          <w:szCs w:val="24"/>
        </w:rPr>
        <w:t>endowed the nan</w:t>
      </w:r>
      <w:r w:rsidR="00527AC7" w:rsidRPr="007721FB">
        <w:rPr>
          <w:rFonts w:ascii="Times New Roman" w:hAnsi="Times New Roman" w:cs="Times New Roman"/>
          <w:sz w:val="24"/>
          <w:szCs w:val="24"/>
        </w:rPr>
        <w:t>ocarrier with pH-responsiveness</w:t>
      </w:r>
      <w:r w:rsidRPr="007721FB">
        <w:rPr>
          <w:rFonts w:ascii="Times New Roman" w:hAnsi="Times New Roman" w:cs="Times New Roman"/>
          <w:sz w:val="24"/>
          <w:szCs w:val="24"/>
        </w:rPr>
        <w:t xml:space="preserve"> due </w:t>
      </w:r>
      <w:r w:rsidR="00B0121C" w:rsidRPr="007721FB">
        <w:rPr>
          <w:rFonts w:ascii="Times New Roman" w:hAnsi="Times New Roman" w:cs="Times New Roman"/>
          <w:sz w:val="24"/>
          <w:szCs w:val="24"/>
        </w:rPr>
        <w:t xml:space="preserve">to </w:t>
      </w:r>
      <w:r w:rsidRPr="007721FB">
        <w:rPr>
          <w:rFonts w:ascii="Times New Roman" w:hAnsi="Times New Roman" w:cs="Times New Roman"/>
          <w:sz w:val="24"/>
          <w:szCs w:val="24"/>
        </w:rPr>
        <w:t xml:space="preserve">CS </w:t>
      </w:r>
      <w:r w:rsidR="00DF5D0A" w:rsidRPr="007721FB">
        <w:rPr>
          <w:rFonts w:ascii="Times New Roman" w:hAnsi="Times New Roman" w:cs="Times New Roman"/>
          <w:sz w:val="24"/>
          <w:szCs w:val="24"/>
        </w:rPr>
        <w:t>primary amine protonation states at different pH (pka~6.5). In this sen</w:t>
      </w:r>
      <w:r w:rsidR="00B0121C" w:rsidRPr="007721FB">
        <w:rPr>
          <w:rFonts w:ascii="Times New Roman" w:hAnsi="Times New Roman" w:cs="Times New Roman"/>
          <w:sz w:val="24"/>
          <w:szCs w:val="24"/>
        </w:rPr>
        <w:t>s</w:t>
      </w:r>
      <w:r w:rsidR="00DF5D0A" w:rsidRPr="007721FB">
        <w:rPr>
          <w:rFonts w:ascii="Times New Roman" w:hAnsi="Times New Roman" w:cs="Times New Roman"/>
          <w:sz w:val="24"/>
          <w:szCs w:val="24"/>
        </w:rPr>
        <w:t>e</w:t>
      </w:r>
      <w:r w:rsidR="00B0121C" w:rsidRPr="007721FB">
        <w:rPr>
          <w:rFonts w:ascii="Times New Roman" w:hAnsi="Times New Roman" w:cs="Times New Roman"/>
          <w:sz w:val="24"/>
          <w:szCs w:val="24"/>
        </w:rPr>
        <w:t>,</w:t>
      </w:r>
      <w:r w:rsidR="00DF5D0A" w:rsidRPr="007721FB">
        <w:rPr>
          <w:rFonts w:ascii="Times New Roman" w:hAnsi="Times New Roman" w:cs="Times New Roman"/>
          <w:sz w:val="24"/>
          <w:szCs w:val="24"/>
        </w:rPr>
        <w:t xml:space="preserve"> CS</w:t>
      </w:r>
      <w:r w:rsidR="004E6F85" w:rsidRPr="007721FB">
        <w:rPr>
          <w:rFonts w:ascii="Times New Roman" w:hAnsi="Times New Roman" w:cs="Times New Roman"/>
          <w:sz w:val="24"/>
          <w:szCs w:val="24"/>
        </w:rPr>
        <w:t xml:space="preserve"> </w:t>
      </w:r>
      <w:r w:rsidR="00DF5D0A" w:rsidRPr="007721FB">
        <w:rPr>
          <w:rFonts w:ascii="Times New Roman" w:hAnsi="Times New Roman" w:cs="Times New Roman"/>
          <w:sz w:val="24"/>
          <w:szCs w:val="24"/>
        </w:rPr>
        <w:t>functioned as a</w:t>
      </w:r>
      <w:r w:rsidR="004E6F85" w:rsidRPr="007721FB">
        <w:rPr>
          <w:rFonts w:ascii="Times New Roman" w:hAnsi="Times New Roman" w:cs="Times New Roman"/>
          <w:sz w:val="24"/>
          <w:szCs w:val="24"/>
        </w:rPr>
        <w:t xml:space="preserve"> nanovalve for controlled release of</w:t>
      </w:r>
      <w:r w:rsidR="00EE1954" w:rsidRPr="007721FB">
        <w:rPr>
          <w:rFonts w:ascii="Times New Roman" w:hAnsi="Times New Roman" w:cs="Times New Roman"/>
          <w:sz w:val="24"/>
          <w:szCs w:val="24"/>
        </w:rPr>
        <w:t xml:space="preserve"> </w:t>
      </w:r>
      <w:r w:rsidR="00DF5D0A" w:rsidRPr="007721FB">
        <w:rPr>
          <w:rFonts w:ascii="Times New Roman" w:hAnsi="Times New Roman" w:cs="Times New Roman"/>
          <w:sz w:val="24"/>
          <w:szCs w:val="24"/>
        </w:rPr>
        <w:t xml:space="preserve">MCM-41 </w:t>
      </w:r>
      <w:r w:rsidR="00EE1954" w:rsidRPr="007721FB">
        <w:rPr>
          <w:rFonts w:ascii="Times New Roman" w:hAnsi="Times New Roman" w:cs="Times New Roman"/>
          <w:sz w:val="24"/>
          <w:szCs w:val="24"/>
        </w:rPr>
        <w:t>mesopore</w:t>
      </w:r>
      <w:r w:rsidR="00DF5D0A" w:rsidRPr="007721FB">
        <w:rPr>
          <w:rFonts w:ascii="Times New Roman" w:hAnsi="Times New Roman" w:cs="Times New Roman"/>
          <w:sz w:val="24"/>
          <w:szCs w:val="24"/>
        </w:rPr>
        <w:t>s</w:t>
      </w:r>
      <w:r w:rsidR="00EE1954" w:rsidRPr="007721FB">
        <w:rPr>
          <w:rFonts w:ascii="Times New Roman" w:hAnsi="Times New Roman" w:cs="Times New Roman"/>
          <w:sz w:val="24"/>
          <w:szCs w:val="24"/>
        </w:rPr>
        <w:t>-loaded Dex</w:t>
      </w:r>
      <w:r w:rsidR="00527AC7" w:rsidRPr="007721FB">
        <w:rPr>
          <w:rFonts w:ascii="Times New Roman" w:hAnsi="Times New Roman" w:cs="Times New Roman"/>
          <w:sz w:val="24"/>
          <w:szCs w:val="24"/>
        </w:rPr>
        <w:t xml:space="preserve"> upon intracellular uptake</w:t>
      </w:r>
      <w:r w:rsidR="00824AE8" w:rsidRPr="007721FB">
        <w:rPr>
          <w:rFonts w:ascii="Times New Roman" w:hAnsi="Times New Roman" w:cs="Times New Roman"/>
          <w:sz w:val="24"/>
          <w:szCs w:val="24"/>
        </w:rPr>
        <w:t>.</w:t>
      </w:r>
      <w:r w:rsidR="004E6F85" w:rsidRPr="007721FB">
        <w:rPr>
          <w:rFonts w:ascii="Times New Roman" w:hAnsi="Times New Roman" w:cs="Times New Roman"/>
          <w:sz w:val="24"/>
          <w:szCs w:val="24"/>
        </w:rPr>
        <w:t xml:space="preserve"> </w:t>
      </w:r>
      <w:r w:rsidR="008E2DC2" w:rsidRPr="007721FB">
        <w:rPr>
          <w:rFonts w:ascii="Times New Roman" w:hAnsi="Times New Roman" w:cs="Times New Roman"/>
          <w:sz w:val="24"/>
          <w:szCs w:val="24"/>
        </w:rPr>
        <w:t xml:space="preserve">Dex </w:t>
      </w:r>
      <w:r w:rsidR="004E6F85" w:rsidRPr="007721FB">
        <w:rPr>
          <w:rFonts w:ascii="Times New Roman" w:hAnsi="Times New Roman" w:cs="Times New Roman"/>
          <w:sz w:val="24"/>
          <w:szCs w:val="24"/>
        </w:rPr>
        <w:t xml:space="preserve">release followed a pH-responsive behavior, achieving </w:t>
      </w:r>
      <w:r w:rsidR="008E2DC2" w:rsidRPr="007721FB">
        <w:rPr>
          <w:rFonts w:ascii="Times New Roman" w:hAnsi="Times New Roman" w:cs="Times New Roman"/>
          <w:sz w:val="24"/>
          <w:szCs w:val="24"/>
        </w:rPr>
        <w:t>85</w:t>
      </w:r>
      <w:r w:rsidR="004E6F85" w:rsidRPr="007721FB">
        <w:rPr>
          <w:rFonts w:ascii="Times New Roman" w:hAnsi="Times New Roman" w:cs="Times New Roman"/>
          <w:sz w:val="24"/>
          <w:szCs w:val="24"/>
        </w:rPr>
        <w:t xml:space="preserve">% release </w:t>
      </w:r>
      <w:r w:rsidR="008E2DC2" w:rsidRPr="007721FB">
        <w:rPr>
          <w:rFonts w:ascii="Times New Roman" w:hAnsi="Times New Roman" w:cs="Times New Roman"/>
          <w:sz w:val="24"/>
          <w:szCs w:val="24"/>
        </w:rPr>
        <w:t xml:space="preserve">within 60 min at </w:t>
      </w:r>
      <w:r w:rsidR="004E6F85" w:rsidRPr="007721FB">
        <w:rPr>
          <w:rFonts w:ascii="Times New Roman" w:hAnsi="Times New Roman" w:cs="Times New Roman"/>
          <w:sz w:val="24"/>
          <w:szCs w:val="24"/>
        </w:rPr>
        <w:t>pH=6.0</w:t>
      </w:r>
      <w:r w:rsidR="008E2DC2" w:rsidRPr="007721FB">
        <w:rPr>
          <w:rFonts w:ascii="Times New Roman" w:hAnsi="Times New Roman" w:cs="Times New Roman"/>
          <w:sz w:val="24"/>
          <w:szCs w:val="24"/>
        </w:rPr>
        <w:t xml:space="preserve">, while almost no Dex was released at physiological pH conditions (pH=7.4). </w:t>
      </w:r>
      <w:r w:rsidR="004E6F85" w:rsidRPr="007721FB">
        <w:rPr>
          <w:rFonts w:ascii="Times New Roman" w:hAnsi="Times New Roman" w:cs="Times New Roman"/>
          <w:sz w:val="24"/>
          <w:szCs w:val="24"/>
        </w:rPr>
        <w:t>In addition, the outer chitosan layer</w:t>
      </w:r>
      <w:r w:rsidR="00DF5D0A" w:rsidRPr="007721FB">
        <w:rPr>
          <w:rFonts w:ascii="Times New Roman" w:hAnsi="Times New Roman" w:cs="Times New Roman"/>
          <w:sz w:val="24"/>
          <w:szCs w:val="24"/>
        </w:rPr>
        <w:t xml:space="preserve"> also</w:t>
      </w:r>
      <w:r w:rsidR="004E6F85" w:rsidRPr="007721FB">
        <w:rPr>
          <w:rFonts w:ascii="Times New Roman" w:hAnsi="Times New Roman" w:cs="Times New Roman"/>
          <w:sz w:val="24"/>
          <w:szCs w:val="24"/>
        </w:rPr>
        <w:t xml:space="preserve"> </w:t>
      </w:r>
      <w:r w:rsidR="00DF5D0A" w:rsidRPr="007721FB">
        <w:rPr>
          <w:rFonts w:ascii="Times New Roman" w:hAnsi="Times New Roman" w:cs="Times New Roman"/>
          <w:sz w:val="24"/>
          <w:szCs w:val="24"/>
        </w:rPr>
        <w:t xml:space="preserve">functioned </w:t>
      </w:r>
      <w:r w:rsidR="004E6F85" w:rsidRPr="007721FB">
        <w:rPr>
          <w:rFonts w:ascii="Times New Roman" w:hAnsi="Times New Roman" w:cs="Times New Roman"/>
          <w:sz w:val="24"/>
          <w:szCs w:val="24"/>
        </w:rPr>
        <w:t xml:space="preserve">as </w:t>
      </w:r>
      <w:r w:rsidR="00B0121C" w:rsidRPr="007721FB">
        <w:rPr>
          <w:rFonts w:ascii="Times New Roman" w:hAnsi="Times New Roman" w:cs="Times New Roman"/>
          <w:sz w:val="24"/>
          <w:szCs w:val="24"/>
        </w:rPr>
        <w:t xml:space="preserve">a </w:t>
      </w:r>
      <w:r w:rsidR="004E6F85" w:rsidRPr="007721FB">
        <w:rPr>
          <w:rFonts w:ascii="Times New Roman" w:hAnsi="Times New Roman" w:cs="Times New Roman"/>
          <w:sz w:val="24"/>
          <w:szCs w:val="24"/>
        </w:rPr>
        <w:t>matrix for BMP-2 incorporation, with results showing that BMP-2 release profile is unaffected by the</w:t>
      </w:r>
      <w:r w:rsidR="00824AE8" w:rsidRPr="007721FB">
        <w:rPr>
          <w:rFonts w:ascii="Times New Roman" w:hAnsi="Times New Roman" w:cs="Times New Roman"/>
          <w:sz w:val="24"/>
          <w:szCs w:val="24"/>
        </w:rPr>
        <w:t xml:space="preserve"> culture</w:t>
      </w:r>
      <w:r w:rsidR="004E6F85" w:rsidRPr="007721FB">
        <w:rPr>
          <w:rFonts w:ascii="Times New Roman" w:hAnsi="Times New Roman" w:cs="Times New Roman"/>
          <w:sz w:val="24"/>
          <w:szCs w:val="24"/>
        </w:rPr>
        <w:t xml:space="preserve"> medium pH</w:t>
      </w:r>
      <w:r w:rsidR="00DF5D0A" w:rsidRPr="007721FB">
        <w:rPr>
          <w:rFonts w:ascii="Times New Roman" w:hAnsi="Times New Roman" w:cs="Times New Roman"/>
          <w:sz w:val="24"/>
          <w:szCs w:val="24"/>
        </w:rPr>
        <w:t>,</w:t>
      </w:r>
      <w:r w:rsidR="004E6F85" w:rsidRPr="007721FB">
        <w:rPr>
          <w:rFonts w:ascii="Times New Roman" w:hAnsi="Times New Roman" w:cs="Times New Roman"/>
          <w:sz w:val="24"/>
          <w:szCs w:val="24"/>
        </w:rPr>
        <w:t xml:space="preserve"> resulting in</w:t>
      </w:r>
      <w:r w:rsidR="00DF5D0A" w:rsidRPr="007721FB">
        <w:rPr>
          <w:rFonts w:ascii="Times New Roman" w:hAnsi="Times New Roman" w:cs="Times New Roman"/>
          <w:sz w:val="24"/>
          <w:szCs w:val="24"/>
        </w:rPr>
        <w:t xml:space="preserve"> an</w:t>
      </w:r>
      <w:r w:rsidR="004E6F85" w:rsidRPr="007721FB">
        <w:rPr>
          <w:rFonts w:ascii="Times New Roman" w:hAnsi="Times New Roman" w:cs="Times New Roman"/>
          <w:sz w:val="24"/>
          <w:szCs w:val="24"/>
        </w:rPr>
        <w:t xml:space="preserve"> immediate release under physiological conditions</w:t>
      </w:r>
      <w:r w:rsidR="0011178D" w:rsidRPr="007721FB">
        <w:rPr>
          <w:rFonts w:ascii="Times New Roman" w:hAnsi="Times New Roman" w:cs="Times New Roman"/>
          <w:sz w:val="24"/>
          <w:szCs w:val="24"/>
        </w:rPr>
        <w:t xml:space="preserve"> (80% </w:t>
      </w:r>
      <w:r w:rsidR="00BD3F38" w:rsidRPr="007721FB">
        <w:rPr>
          <w:rFonts w:ascii="Times New Roman" w:hAnsi="Times New Roman" w:cs="Times New Roman"/>
          <w:sz w:val="24"/>
          <w:szCs w:val="24"/>
        </w:rPr>
        <w:t>BMP-2</w:t>
      </w:r>
      <w:r w:rsidR="00527AC7" w:rsidRPr="007721FB">
        <w:rPr>
          <w:rFonts w:ascii="Times New Roman" w:hAnsi="Times New Roman" w:cs="Times New Roman"/>
          <w:sz w:val="24"/>
          <w:szCs w:val="24"/>
        </w:rPr>
        <w:t xml:space="preserve"> </w:t>
      </w:r>
      <w:r w:rsidR="0011178D" w:rsidRPr="007721FB">
        <w:rPr>
          <w:rFonts w:ascii="Times New Roman" w:hAnsi="Times New Roman" w:cs="Times New Roman"/>
          <w:sz w:val="24"/>
          <w:szCs w:val="24"/>
        </w:rPr>
        <w:t>release after 6 h)</w:t>
      </w:r>
      <w:r w:rsidR="004E6F85" w:rsidRPr="007721FB">
        <w:rPr>
          <w:rFonts w:ascii="Times New Roman" w:hAnsi="Times New Roman" w:cs="Times New Roman"/>
          <w:sz w:val="24"/>
          <w:szCs w:val="24"/>
        </w:rPr>
        <w:t xml:space="preserve">. On one hand, this is beneficial as BMP-2 requires binding to specific cell-surface receptors, but on the other hand, because BMPs </w:t>
      </w:r>
      <w:r w:rsidR="00BD3F38" w:rsidRPr="007721FB">
        <w:rPr>
          <w:rFonts w:ascii="Times New Roman" w:hAnsi="Times New Roman" w:cs="Times New Roman"/>
          <w:sz w:val="24"/>
          <w:szCs w:val="24"/>
        </w:rPr>
        <w:t>have low bioavailability</w:t>
      </w:r>
      <w:r w:rsidR="004E6F85" w:rsidRPr="007721FB">
        <w:rPr>
          <w:rFonts w:ascii="Times New Roman" w:hAnsi="Times New Roman" w:cs="Times New Roman"/>
          <w:sz w:val="24"/>
          <w:szCs w:val="24"/>
        </w:rPr>
        <w:t>, this release profile is not</w:t>
      </w:r>
      <w:r w:rsidR="00BD3F38" w:rsidRPr="007721FB">
        <w:rPr>
          <w:rFonts w:ascii="Times New Roman" w:hAnsi="Times New Roman" w:cs="Times New Roman"/>
          <w:sz w:val="24"/>
          <w:szCs w:val="24"/>
        </w:rPr>
        <w:t xml:space="preserve"> the most</w:t>
      </w:r>
      <w:r w:rsidR="004E6F85" w:rsidRPr="007721FB">
        <w:rPr>
          <w:rFonts w:ascii="Times New Roman" w:hAnsi="Times New Roman" w:cs="Times New Roman"/>
          <w:sz w:val="24"/>
          <w:szCs w:val="24"/>
        </w:rPr>
        <w:t xml:space="preserve"> adequate for systemic administration</w:t>
      </w:r>
      <w:r w:rsidR="00583233" w:rsidRPr="007721FB">
        <w:rPr>
          <w:rFonts w:ascii="Times New Roman" w:hAnsi="Times New Roman" w:cs="Times New Roman"/>
          <w:sz w:val="24"/>
          <w:szCs w:val="24"/>
        </w:rPr>
        <w:t>, which is why the authors opted for</w:t>
      </w:r>
      <w:r w:rsidR="005572DC" w:rsidRPr="007721FB">
        <w:rPr>
          <w:rFonts w:ascii="Times New Roman" w:hAnsi="Times New Roman" w:cs="Times New Roman"/>
          <w:sz w:val="24"/>
          <w:szCs w:val="24"/>
        </w:rPr>
        <w:t xml:space="preserve"> the</w:t>
      </w:r>
      <w:r w:rsidR="00583233" w:rsidRPr="007721FB">
        <w:rPr>
          <w:rFonts w:ascii="Times New Roman" w:hAnsi="Times New Roman" w:cs="Times New Roman"/>
          <w:sz w:val="24"/>
          <w:szCs w:val="24"/>
        </w:rPr>
        <w:t xml:space="preserve"> implantation with Gelfoam</w:t>
      </w:r>
      <w:r w:rsidR="00824AE8" w:rsidRPr="007721FB">
        <w:rPr>
          <w:rFonts w:ascii="Times New Roman" w:hAnsi="Times New Roman" w:cs="Times New Roman"/>
          <w:sz w:val="24"/>
          <w:szCs w:val="24"/>
          <w:vertAlign w:val="superscript"/>
        </w:rPr>
        <w:t>®</w:t>
      </w:r>
      <w:r w:rsidR="005572DC" w:rsidRPr="007721FB">
        <w:rPr>
          <w:rFonts w:ascii="Times New Roman" w:hAnsi="Times New Roman" w:cs="Times New Roman"/>
          <w:sz w:val="24"/>
          <w:szCs w:val="24"/>
        </w:rPr>
        <w:t xml:space="preserve"> (Absorbable gelatin sponge)</w:t>
      </w:r>
      <w:r w:rsidR="004E6F85" w:rsidRPr="007721FB">
        <w:rPr>
          <w:rFonts w:ascii="Times New Roman" w:hAnsi="Times New Roman" w:cs="Times New Roman"/>
          <w:sz w:val="24"/>
          <w:szCs w:val="24"/>
        </w:rPr>
        <w:t>.</w:t>
      </w:r>
      <w:r w:rsidR="008E2DC2" w:rsidRPr="007721FB">
        <w:rPr>
          <w:rFonts w:ascii="Times New Roman" w:hAnsi="Times New Roman" w:cs="Times New Roman"/>
          <w:sz w:val="24"/>
          <w:szCs w:val="24"/>
        </w:rPr>
        <w:t xml:space="preserve"> Nevertheless, this nanocarrier has shown particular promise in promoting </w:t>
      </w:r>
      <w:r w:rsidR="0011178D" w:rsidRPr="007721FB">
        <w:rPr>
          <w:rFonts w:ascii="Times New Roman" w:hAnsi="Times New Roman" w:cs="Times New Roman"/>
          <w:i/>
          <w:sz w:val="24"/>
          <w:szCs w:val="24"/>
        </w:rPr>
        <w:t>in vitro</w:t>
      </w:r>
      <w:r w:rsidR="0011178D" w:rsidRPr="007721FB">
        <w:rPr>
          <w:rFonts w:ascii="Times New Roman" w:hAnsi="Times New Roman" w:cs="Times New Roman"/>
          <w:sz w:val="24"/>
          <w:szCs w:val="24"/>
        </w:rPr>
        <w:t xml:space="preserve"> </w:t>
      </w:r>
      <w:r w:rsidR="008E2DC2" w:rsidRPr="007721FB">
        <w:rPr>
          <w:rFonts w:ascii="Times New Roman" w:hAnsi="Times New Roman" w:cs="Times New Roman"/>
          <w:sz w:val="24"/>
          <w:szCs w:val="24"/>
        </w:rPr>
        <w:t xml:space="preserve">osteogenesis, with the </w:t>
      </w:r>
      <w:r w:rsidR="00A01895" w:rsidRPr="007721FB">
        <w:rPr>
          <w:rFonts w:ascii="Times New Roman" w:hAnsi="Times New Roman" w:cs="Times New Roman"/>
          <w:sz w:val="24"/>
          <w:szCs w:val="24"/>
        </w:rPr>
        <w:t xml:space="preserve">combinatorial effect of </w:t>
      </w:r>
      <w:r w:rsidR="008E2DC2" w:rsidRPr="007721FB">
        <w:rPr>
          <w:rFonts w:ascii="Times New Roman" w:hAnsi="Times New Roman" w:cs="Times New Roman"/>
          <w:sz w:val="24"/>
          <w:szCs w:val="24"/>
        </w:rPr>
        <w:t>Dex/BMP-2 dual</w:t>
      </w:r>
      <w:r w:rsidR="00A01895" w:rsidRPr="007721FB">
        <w:rPr>
          <w:rFonts w:ascii="Times New Roman" w:hAnsi="Times New Roman" w:cs="Times New Roman"/>
          <w:sz w:val="24"/>
          <w:szCs w:val="24"/>
        </w:rPr>
        <w:t>-</w:t>
      </w:r>
      <w:r w:rsidR="008E2DC2" w:rsidRPr="007721FB">
        <w:rPr>
          <w:rFonts w:ascii="Times New Roman" w:hAnsi="Times New Roman" w:cs="Times New Roman"/>
          <w:sz w:val="24"/>
          <w:szCs w:val="24"/>
        </w:rPr>
        <w:t>loaded chi-MSNs exhibiting</w:t>
      </w:r>
      <w:r w:rsidR="00BD3F38" w:rsidRPr="007721FB">
        <w:rPr>
          <w:rFonts w:ascii="Times New Roman" w:hAnsi="Times New Roman" w:cs="Times New Roman"/>
          <w:sz w:val="24"/>
          <w:szCs w:val="24"/>
        </w:rPr>
        <w:t xml:space="preserve"> </w:t>
      </w:r>
      <w:r w:rsidR="008E2DC2" w:rsidRPr="007721FB">
        <w:rPr>
          <w:rFonts w:ascii="Times New Roman" w:hAnsi="Times New Roman" w:cs="Times New Roman"/>
          <w:sz w:val="24"/>
          <w:szCs w:val="24"/>
        </w:rPr>
        <w:t xml:space="preserve">significantly higher </w:t>
      </w:r>
      <w:r w:rsidR="00B0121C" w:rsidRPr="007721FB">
        <w:rPr>
          <w:rFonts w:ascii="Times New Roman" w:hAnsi="Times New Roman" w:cs="Times New Roman"/>
          <w:sz w:val="24"/>
          <w:szCs w:val="24"/>
        </w:rPr>
        <w:t>ALP</w:t>
      </w:r>
      <w:r w:rsidR="008E2DC2" w:rsidRPr="007721FB">
        <w:rPr>
          <w:rFonts w:ascii="Times New Roman" w:hAnsi="Times New Roman" w:cs="Times New Roman"/>
          <w:sz w:val="24"/>
          <w:szCs w:val="24"/>
        </w:rPr>
        <w:t xml:space="preserve"> activity of rat bone mesenchymal stem cells</w:t>
      </w:r>
      <w:r w:rsidR="0011178D" w:rsidRPr="007721FB">
        <w:rPr>
          <w:rFonts w:ascii="Times New Roman" w:hAnsi="Times New Roman" w:cs="Times New Roman"/>
          <w:sz w:val="24"/>
          <w:szCs w:val="24"/>
        </w:rPr>
        <w:t xml:space="preserve"> (</w:t>
      </w:r>
      <w:r w:rsidR="00B0121C" w:rsidRPr="007721FB">
        <w:rPr>
          <w:rFonts w:ascii="Times New Roman" w:hAnsi="Times New Roman" w:cs="Times New Roman"/>
          <w:sz w:val="24"/>
          <w:szCs w:val="24"/>
        </w:rPr>
        <w:t>B</w:t>
      </w:r>
      <w:r w:rsidR="0011178D" w:rsidRPr="007721FB">
        <w:rPr>
          <w:rFonts w:ascii="Times New Roman" w:hAnsi="Times New Roman" w:cs="Times New Roman"/>
          <w:sz w:val="24"/>
          <w:szCs w:val="24"/>
        </w:rPr>
        <w:t>MSCs)</w:t>
      </w:r>
      <w:r w:rsidR="008E2DC2" w:rsidRPr="007721FB">
        <w:rPr>
          <w:rFonts w:ascii="Times New Roman" w:hAnsi="Times New Roman" w:cs="Times New Roman"/>
          <w:sz w:val="24"/>
          <w:szCs w:val="24"/>
        </w:rPr>
        <w:t xml:space="preserve"> </w:t>
      </w:r>
      <w:r w:rsidR="00A01895" w:rsidRPr="007721FB">
        <w:rPr>
          <w:rFonts w:ascii="Times New Roman" w:hAnsi="Times New Roman" w:cs="Times New Roman"/>
          <w:sz w:val="24"/>
          <w:szCs w:val="24"/>
        </w:rPr>
        <w:t>than single</w:t>
      </w:r>
      <w:r w:rsidR="00BD3F38" w:rsidRPr="007721FB">
        <w:rPr>
          <w:rFonts w:ascii="Times New Roman" w:hAnsi="Times New Roman" w:cs="Times New Roman"/>
          <w:sz w:val="24"/>
          <w:szCs w:val="24"/>
        </w:rPr>
        <w:t xml:space="preserve"> </w:t>
      </w:r>
      <w:r w:rsidR="008E2DC2" w:rsidRPr="007721FB">
        <w:rPr>
          <w:rFonts w:ascii="Times New Roman" w:hAnsi="Times New Roman" w:cs="Times New Roman"/>
          <w:sz w:val="24"/>
          <w:szCs w:val="24"/>
        </w:rPr>
        <w:t xml:space="preserve">Dex or BMP-2 </w:t>
      </w:r>
      <w:r w:rsidR="00BD3F38" w:rsidRPr="007721FB">
        <w:rPr>
          <w:rFonts w:ascii="Times New Roman" w:hAnsi="Times New Roman" w:cs="Times New Roman"/>
          <w:sz w:val="24"/>
          <w:szCs w:val="24"/>
        </w:rPr>
        <w:t xml:space="preserve">MSNs </w:t>
      </w:r>
      <w:r w:rsidR="008E2DC2" w:rsidRPr="007721FB">
        <w:rPr>
          <w:rFonts w:ascii="Times New Roman" w:hAnsi="Times New Roman" w:cs="Times New Roman"/>
          <w:sz w:val="24"/>
          <w:szCs w:val="24"/>
        </w:rPr>
        <w:t>loaded formulations</w:t>
      </w:r>
      <w:r w:rsidR="00BD3F38" w:rsidRPr="007721FB">
        <w:rPr>
          <w:rFonts w:ascii="Times New Roman" w:hAnsi="Times New Roman" w:cs="Times New Roman"/>
          <w:sz w:val="24"/>
          <w:szCs w:val="24"/>
        </w:rPr>
        <w:t xml:space="preserve">. </w:t>
      </w:r>
      <w:r w:rsidR="00077819" w:rsidRPr="007721FB">
        <w:rPr>
          <w:rFonts w:ascii="Times New Roman" w:hAnsi="Times New Roman" w:cs="Times New Roman"/>
          <w:sz w:val="24"/>
          <w:szCs w:val="24"/>
        </w:rPr>
        <w:t>Moreover, a</w:t>
      </w:r>
      <w:r w:rsidR="0011178D" w:rsidRPr="007721FB">
        <w:rPr>
          <w:rFonts w:ascii="Times New Roman" w:hAnsi="Times New Roman" w:cs="Times New Roman"/>
          <w:sz w:val="24"/>
          <w:szCs w:val="24"/>
        </w:rPr>
        <w:t>lizarin red S staining</w:t>
      </w:r>
      <w:r w:rsidR="00BD3F38" w:rsidRPr="007721FB">
        <w:rPr>
          <w:rFonts w:ascii="Times New Roman" w:hAnsi="Times New Roman" w:cs="Times New Roman"/>
          <w:sz w:val="24"/>
          <w:szCs w:val="24"/>
        </w:rPr>
        <w:t xml:space="preserve"> further</w:t>
      </w:r>
      <w:r w:rsidR="0011178D" w:rsidRPr="007721FB">
        <w:rPr>
          <w:rFonts w:ascii="Times New Roman" w:hAnsi="Times New Roman" w:cs="Times New Roman"/>
          <w:sz w:val="24"/>
          <w:szCs w:val="24"/>
        </w:rPr>
        <w:t xml:space="preserve"> confirmed </w:t>
      </w:r>
      <w:r w:rsidR="00BD3F38" w:rsidRPr="007721FB">
        <w:rPr>
          <w:rFonts w:ascii="Times New Roman" w:hAnsi="Times New Roman" w:cs="Times New Roman"/>
          <w:sz w:val="24"/>
          <w:szCs w:val="24"/>
        </w:rPr>
        <w:t>that</w:t>
      </w:r>
      <w:r w:rsidR="0011178D" w:rsidRPr="007721FB">
        <w:rPr>
          <w:rFonts w:ascii="Times New Roman" w:hAnsi="Times New Roman" w:cs="Times New Roman"/>
          <w:sz w:val="24"/>
          <w:szCs w:val="24"/>
        </w:rPr>
        <w:t xml:space="preserve"> </w:t>
      </w:r>
      <w:r w:rsidR="00B0121C" w:rsidRPr="007721FB">
        <w:rPr>
          <w:rFonts w:ascii="Times New Roman" w:hAnsi="Times New Roman" w:cs="Times New Roman"/>
          <w:sz w:val="24"/>
          <w:szCs w:val="24"/>
        </w:rPr>
        <w:t>BMSCs</w:t>
      </w:r>
      <w:r w:rsidR="0011178D" w:rsidRPr="007721FB">
        <w:rPr>
          <w:rFonts w:ascii="Times New Roman" w:hAnsi="Times New Roman" w:cs="Times New Roman"/>
          <w:sz w:val="24"/>
          <w:szCs w:val="24"/>
        </w:rPr>
        <w:t xml:space="preserve"> incubated with Dex/BMP-2@chi-MSNs </w:t>
      </w:r>
      <w:r w:rsidR="00BD3F38" w:rsidRPr="007721FB">
        <w:rPr>
          <w:rFonts w:ascii="Times New Roman" w:hAnsi="Times New Roman" w:cs="Times New Roman"/>
          <w:sz w:val="24"/>
          <w:szCs w:val="24"/>
        </w:rPr>
        <w:t xml:space="preserve">have </w:t>
      </w:r>
      <w:r w:rsidR="0011178D" w:rsidRPr="007721FB">
        <w:rPr>
          <w:rFonts w:ascii="Times New Roman" w:hAnsi="Times New Roman" w:cs="Times New Roman"/>
          <w:sz w:val="24"/>
          <w:szCs w:val="24"/>
        </w:rPr>
        <w:t xml:space="preserve">greater mineralization nodules when compared </w:t>
      </w:r>
      <w:r w:rsidR="00BD3F38" w:rsidRPr="007721FB">
        <w:rPr>
          <w:rFonts w:ascii="Times New Roman" w:hAnsi="Times New Roman" w:cs="Times New Roman"/>
          <w:sz w:val="24"/>
          <w:szCs w:val="24"/>
        </w:rPr>
        <w:t>to controls</w:t>
      </w:r>
      <w:r w:rsidR="0011178D" w:rsidRPr="007721FB">
        <w:rPr>
          <w:rFonts w:ascii="Times New Roman" w:hAnsi="Times New Roman" w:cs="Times New Roman"/>
          <w:sz w:val="24"/>
          <w:szCs w:val="24"/>
        </w:rPr>
        <w:t xml:space="preserve">. The </w:t>
      </w:r>
      <w:r w:rsidR="0011178D" w:rsidRPr="007721FB">
        <w:rPr>
          <w:rFonts w:ascii="Times New Roman" w:hAnsi="Times New Roman" w:cs="Times New Roman"/>
          <w:i/>
          <w:sz w:val="24"/>
          <w:szCs w:val="24"/>
        </w:rPr>
        <w:t>in vivo</w:t>
      </w:r>
      <w:r w:rsidR="0011178D" w:rsidRPr="007721FB">
        <w:rPr>
          <w:rFonts w:ascii="Times New Roman" w:hAnsi="Times New Roman" w:cs="Times New Roman"/>
          <w:sz w:val="24"/>
          <w:szCs w:val="24"/>
        </w:rPr>
        <w:t xml:space="preserve"> osteogenic capacity of this formulation was evaluated via ectopic bone formation in a </w:t>
      </w:r>
      <w:r w:rsidR="00077819" w:rsidRPr="007721FB">
        <w:rPr>
          <w:rFonts w:ascii="Times New Roman" w:hAnsi="Times New Roman" w:cs="Times New Roman"/>
          <w:sz w:val="24"/>
          <w:szCs w:val="24"/>
        </w:rPr>
        <w:t xml:space="preserve">male </w:t>
      </w:r>
      <w:r w:rsidR="0011178D" w:rsidRPr="007721FB">
        <w:rPr>
          <w:rFonts w:ascii="Times New Roman" w:hAnsi="Times New Roman" w:cs="Times New Roman"/>
          <w:sz w:val="24"/>
          <w:szCs w:val="24"/>
        </w:rPr>
        <w:t>mice</w:t>
      </w:r>
      <w:r w:rsidR="00BD3F38" w:rsidRPr="007721FB">
        <w:rPr>
          <w:rFonts w:ascii="Times New Roman" w:hAnsi="Times New Roman" w:cs="Times New Roman"/>
          <w:sz w:val="24"/>
          <w:szCs w:val="24"/>
        </w:rPr>
        <w:t xml:space="preserve"> </w:t>
      </w:r>
      <w:r w:rsidR="0011178D" w:rsidRPr="007721FB">
        <w:rPr>
          <w:rFonts w:ascii="Times New Roman" w:hAnsi="Times New Roman" w:cs="Times New Roman"/>
          <w:sz w:val="24"/>
          <w:szCs w:val="24"/>
        </w:rPr>
        <w:t>thigh muscle pouch model</w:t>
      </w:r>
      <w:r w:rsidR="002F4D18" w:rsidRPr="007721FB">
        <w:rPr>
          <w:rFonts w:ascii="Times New Roman" w:hAnsi="Times New Roman" w:cs="Times New Roman"/>
          <w:sz w:val="24"/>
          <w:szCs w:val="24"/>
        </w:rPr>
        <w:t>.</w:t>
      </w:r>
      <w:r w:rsidR="00DF5D0A" w:rsidRPr="007721FB">
        <w:rPr>
          <w:rFonts w:ascii="Times New Roman" w:hAnsi="Times New Roman" w:cs="Times New Roman"/>
          <w:sz w:val="24"/>
          <w:szCs w:val="24"/>
        </w:rPr>
        <w:t xml:space="preserve"> By using 3D µCT analysis the authors demonstrate that after 4 weeks there is an increase in tissue mineral density of both dual-loaded formulations when compared to the free therapeutics control groups.</w:t>
      </w:r>
      <w:r w:rsidR="00D834FD" w:rsidRPr="007721FB">
        <w:rPr>
          <w:rFonts w:ascii="Times New Roman" w:hAnsi="Times New Roman" w:cs="Times New Roman"/>
        </w:rPr>
        <w:t xml:space="preserve"> </w:t>
      </w:r>
    </w:p>
    <w:p w14:paraId="4EF6D776" w14:textId="77777777" w:rsidR="00D834FD" w:rsidRPr="007721FB" w:rsidRDefault="00D834FD" w:rsidP="00D834FD">
      <w:pPr>
        <w:spacing w:after="0" w:line="240" w:lineRule="auto"/>
        <w:jc w:val="both"/>
        <w:rPr>
          <w:rFonts w:ascii="Times New Roman" w:hAnsi="Times New Roman" w:cs="Times New Roman"/>
          <w:sz w:val="24"/>
          <w:szCs w:val="24"/>
        </w:rPr>
      </w:pPr>
      <w:r w:rsidRPr="007721FB">
        <w:rPr>
          <w:rFonts w:ascii="Times New Roman" w:hAnsi="Times New Roman" w:cs="Times New Roman"/>
          <w:sz w:val="24"/>
          <w:szCs w:val="24"/>
        </w:rPr>
        <w:t xml:space="preserve">   Even though such nanovehicle has not been formulated for minimally invasive intravenous administration, this example highlights the potential of pH-responsive delivery of pharmaceuticals for bone regeneration, an area where parenteral routes of administration have been poorly explored so far. </w:t>
      </w:r>
    </w:p>
    <w:p w14:paraId="7977F9FC" w14:textId="65A97D60" w:rsidR="00DF5D0A" w:rsidRPr="007721FB" w:rsidRDefault="00DF5D0A" w:rsidP="00EE0E61">
      <w:pPr>
        <w:spacing w:after="0" w:line="240" w:lineRule="auto"/>
        <w:jc w:val="both"/>
        <w:rPr>
          <w:rFonts w:ascii="Times New Roman" w:hAnsi="Times New Roman" w:cs="Times New Roman"/>
          <w:sz w:val="24"/>
          <w:szCs w:val="24"/>
        </w:rPr>
      </w:pPr>
    </w:p>
    <w:p w14:paraId="2D025B70" w14:textId="1F819151" w:rsidR="00DF5D0A" w:rsidRPr="007721FB" w:rsidRDefault="00DF5D0A" w:rsidP="00D867DF">
      <w:pPr>
        <w:spacing w:after="0" w:line="240" w:lineRule="auto"/>
        <w:jc w:val="center"/>
        <w:rPr>
          <w:rFonts w:ascii="Times New Roman" w:hAnsi="Times New Roman" w:cs="Times New Roman"/>
          <w:sz w:val="24"/>
          <w:szCs w:val="24"/>
        </w:rPr>
      </w:pPr>
      <w:r w:rsidRPr="007721FB">
        <w:rPr>
          <w:noProof/>
        </w:rPr>
        <w:drawing>
          <wp:inline distT="0" distB="0" distL="0" distR="0" wp14:anchorId="6BA18CCB" wp14:editId="305F1B09">
            <wp:extent cx="5327064" cy="3886200"/>
            <wp:effectExtent l="0" t="0" r="6985" b="0"/>
            <wp:docPr id="22" name="Imagem 22" descr="C:\Users\Vítor Gaspar\AppData\Local\Microsoft\Windows\INetCache\Content.Word\Figure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ítor Gaspar\AppData\Local\Microsoft\Windows\INetCache\Content.Word\Figure 7.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8086" cy="3894241"/>
                    </a:xfrm>
                    <a:prstGeom prst="rect">
                      <a:avLst/>
                    </a:prstGeom>
                    <a:noFill/>
                    <a:ln>
                      <a:noFill/>
                    </a:ln>
                  </pic:spPr>
                </pic:pic>
              </a:graphicData>
            </a:graphic>
          </wp:inline>
        </w:drawing>
      </w:r>
    </w:p>
    <w:p w14:paraId="48B08626" w14:textId="77777777" w:rsidR="007C0D0C" w:rsidRPr="007721FB" w:rsidRDefault="007C0D0C" w:rsidP="00D867DF">
      <w:pPr>
        <w:spacing w:after="0" w:line="240" w:lineRule="auto"/>
        <w:rPr>
          <w:rFonts w:ascii="Times New Roman" w:hAnsi="Times New Roman" w:cs="Times New Roman"/>
          <w:sz w:val="12"/>
          <w:szCs w:val="24"/>
        </w:rPr>
      </w:pPr>
    </w:p>
    <w:p w14:paraId="7CCF8AE5" w14:textId="03EBAD3E" w:rsidR="00DF5D0A" w:rsidRPr="007721FB" w:rsidRDefault="00F43634" w:rsidP="00DF5D0A">
      <w:pPr>
        <w:spacing w:after="0" w:line="240" w:lineRule="auto"/>
        <w:jc w:val="both"/>
        <w:rPr>
          <w:rFonts w:ascii="Times New Roman" w:hAnsi="Times New Roman" w:cs="Times New Roman"/>
        </w:rPr>
      </w:pPr>
      <w:r w:rsidRPr="007721FB">
        <w:rPr>
          <w:rFonts w:ascii="Times New Roman" w:hAnsi="Times New Roman" w:cs="Times New Roman"/>
          <w:b/>
        </w:rPr>
        <w:lastRenderedPageBreak/>
        <w:t>Figure 8</w:t>
      </w:r>
      <w:r w:rsidR="00DF5D0A" w:rsidRPr="007721FB">
        <w:rPr>
          <w:rFonts w:ascii="Times New Roman" w:hAnsi="Times New Roman" w:cs="Times New Roman"/>
          <w:b/>
        </w:rPr>
        <w:t xml:space="preserve">. </w:t>
      </w:r>
      <w:r w:rsidR="003B4D4D" w:rsidRPr="007721FB">
        <w:rPr>
          <w:rFonts w:ascii="Times New Roman" w:hAnsi="Times New Roman" w:cs="Times New Roman"/>
          <w:b/>
        </w:rPr>
        <w:t>P</w:t>
      </w:r>
      <w:r w:rsidR="00581819" w:rsidRPr="007721FB">
        <w:rPr>
          <w:rFonts w:ascii="Times New Roman" w:hAnsi="Times New Roman" w:cs="Times New Roman"/>
        </w:rPr>
        <w:t>hysicochemical characterization and biological performance</w:t>
      </w:r>
      <w:r w:rsidRPr="007721FB">
        <w:rPr>
          <w:rFonts w:ascii="Times New Roman" w:hAnsi="Times New Roman" w:cs="Times New Roman"/>
        </w:rPr>
        <w:t xml:space="preserve"> of </w:t>
      </w:r>
      <w:r w:rsidR="003B4D4D" w:rsidRPr="007721FB">
        <w:rPr>
          <w:rFonts w:ascii="Times New Roman" w:hAnsi="Times New Roman" w:cs="Times New Roman"/>
        </w:rPr>
        <w:t>s</w:t>
      </w:r>
      <w:r w:rsidRPr="007721FB">
        <w:rPr>
          <w:rFonts w:ascii="Times New Roman" w:hAnsi="Times New Roman" w:cs="Times New Roman"/>
        </w:rPr>
        <w:t>ilica-based pH-responsive</w:t>
      </w:r>
      <w:r w:rsidR="003B4D4D" w:rsidRPr="007721FB">
        <w:rPr>
          <w:rFonts w:ascii="Times New Roman" w:hAnsi="Times New Roman" w:cs="Times New Roman"/>
        </w:rPr>
        <w:t xml:space="preserve"> nanocarriers</w:t>
      </w:r>
      <w:r w:rsidR="00DF5D0A" w:rsidRPr="007721FB">
        <w:rPr>
          <w:rFonts w:ascii="Times New Roman" w:hAnsi="Times New Roman" w:cs="Times New Roman"/>
        </w:rPr>
        <w:t xml:space="preserve">. (A) Schematic diagram of Dex/BMP-2@chi-MSNs on osteoblast differentiation. First, BMP-2 is quickly released and then activates the downstream Smad signaling by binding to specific cell surface BMP receptors. Secondly, Dex is delivered intracellularly through a pH-responsive release within lysosomes. (B) The </w:t>
      </w:r>
      <w:r w:rsidR="00E87B3E" w:rsidRPr="007721FB">
        <w:rPr>
          <w:rFonts w:ascii="Times New Roman" w:hAnsi="Times New Roman" w:cs="Times New Roman"/>
        </w:rPr>
        <w:t>capping</w:t>
      </w:r>
      <w:r w:rsidR="00DF5D0A" w:rsidRPr="007721FB">
        <w:rPr>
          <w:rFonts w:ascii="Times New Roman" w:hAnsi="Times New Roman" w:cs="Times New Roman"/>
        </w:rPr>
        <w:t xml:space="preserve"> effect of chitosan in the pH-responsive release of Dex from chi-MSNs. (C) Effect of </w:t>
      </w:r>
      <w:r w:rsidR="00E87B3E" w:rsidRPr="007721FB">
        <w:rPr>
          <w:rFonts w:ascii="Times New Roman" w:hAnsi="Times New Roman" w:cs="Times New Roman"/>
        </w:rPr>
        <w:t>different nanocarriers formulations</w:t>
      </w:r>
      <w:r w:rsidR="00DF5D0A" w:rsidRPr="007721FB">
        <w:rPr>
          <w:rFonts w:ascii="Times New Roman" w:hAnsi="Times New Roman" w:cs="Times New Roman"/>
        </w:rPr>
        <w:t xml:space="preserve"> bMSCs</w:t>
      </w:r>
      <w:r w:rsidR="00E87B3E" w:rsidRPr="007721FB">
        <w:rPr>
          <w:rFonts w:ascii="Times New Roman" w:hAnsi="Times New Roman" w:cs="Times New Roman"/>
        </w:rPr>
        <w:t xml:space="preserve"> ALP activity</w:t>
      </w:r>
      <w:r w:rsidR="00DF5D0A" w:rsidRPr="007721FB">
        <w:rPr>
          <w:rFonts w:ascii="Times New Roman" w:hAnsi="Times New Roman" w:cs="Times New Roman"/>
        </w:rPr>
        <w:t xml:space="preserve"> cultured (D) </w:t>
      </w:r>
      <w:r w:rsidR="00E87B3E" w:rsidRPr="007721FB">
        <w:rPr>
          <w:rFonts w:ascii="Times New Roman" w:hAnsi="Times New Roman" w:cs="Times New Roman"/>
          <w:i/>
        </w:rPr>
        <w:t>In vivo</w:t>
      </w:r>
      <w:r w:rsidR="00E87B3E" w:rsidRPr="007721FB">
        <w:rPr>
          <w:rFonts w:ascii="Times New Roman" w:hAnsi="Times New Roman" w:cs="Times New Roman"/>
        </w:rPr>
        <w:t xml:space="preserve"> e</w:t>
      </w:r>
      <w:r w:rsidR="00DF5D0A" w:rsidRPr="007721FB">
        <w:rPr>
          <w:rFonts w:ascii="Times New Roman" w:hAnsi="Times New Roman" w:cs="Times New Roman"/>
        </w:rPr>
        <w:t xml:space="preserve">ctopic bone formation induced by BMP-2 and Dex with different implants after 2 and 4 weeks post-implantation. Quantitative analysis of regenerated bone volume from 3D µCT images. </w:t>
      </w:r>
      <w:r w:rsidR="00087625" w:rsidRPr="007721FB">
        <w:rPr>
          <w:rFonts w:ascii="Times New Roman" w:hAnsi="Times New Roman" w:cs="Times New Roman"/>
        </w:rPr>
        <w:t>Adapted from</w:t>
      </w:r>
      <w:r w:rsidR="00E6281B" w:rsidRPr="007721FB">
        <w:rPr>
          <w:rFonts w:ascii="Times New Roman" w:hAnsi="Times New Roman" w:cs="Times New Roman"/>
        </w:rPr>
        <w:t xml:space="preserve"> </w:t>
      </w:r>
      <w:r w:rsidR="00CB3958" w:rsidRPr="007721FB">
        <w:rPr>
          <w:rFonts w:ascii="Times New Roman" w:hAnsi="Times New Roman" w:cs="Times New Roman"/>
        </w:rPr>
        <w:fldChar w:fldCharType="begin" w:fldLock="1"/>
      </w:r>
      <w:r w:rsidR="00F1599C" w:rsidRPr="007721FB">
        <w:rPr>
          <w:rFonts w:ascii="Times New Roman" w:hAnsi="Times New Roman" w:cs="Times New Roman"/>
        </w:rPr>
        <w:instrText>ADDIN CSL_CITATION { "citationItems" : [ { "id" : "ITEM-1", "itemData" : { "DOI" : "10.1039/C4TB01897D", "ISBN" : "1842-6573", "ISSN" : "2050-750X", "PMID" : "24173598", "author" : [ { "dropping-particle" : "", "family" : "Gan", "given" : "Qi", "non-dropping-particle" : "", "parse-names" : false, "suffix" : "" }, { "dropping-particle" : "", "family" : "Zhu", "given" : "Jiaoyang", "non-dropping-particle" : "", "parse-names" : false, "suffix" : "" }, { "dropping-particle" : "", "family" : "Yuan", "given" : "Yuan", "non-dropping-particle" : "", "parse-names" : false, "suffix" : "" }, { "dropping-particle" : "", "family" : "Liu", "given" : "Honglai", "non-dropping-particle" : "", "parse-names" : false, "suffix" : "" }, { "dropping-particle" : "", "family" : "Qian", "given" : "Jiangchao", "non-dropping-particle" : "", "parse-names" : false, "suffix" : "" }, { "dropping-particle" : "", "family" : "Li", "given" : "Yongsheng", "non-dropping-particle" : "", "parse-names" : false, "suffix" : "" }, { "dropping-particle" : "", "family" : "Liu", "given" : "Changsheng", "non-dropping-particle" : "", "parse-names" : false, "suffix" : "" } ], "container-title" : "J. Mater. Chem. B", "id" : "ITEM-1", "issue" : "10", "issued" : { "date-parts" : [ [ "2015" ] ] }, "page" : "2056-2066", "title" : "A dual-delivery system of pH-responsive chitosan-functionalized mesoporous silica nanoparticles bearing BMP-2 and dexamethasone for enhanced bone regeneration", "type" : "article-journal", "volume" : "3" }, "uris" : [ "http://www.mendeley.com/documents/?uuid=5976cb61-bafd-4f1b-b9b4-147fb12fe924" ] } ], "mendeley" : { "formattedCitation" : "[114]", "plainTextFormattedCitation" : "[114]", "previouslyFormattedCitation" : "[114]" }, "properties" : { "noteIndex" : 21 }, "schema" : "https://github.com/citation-style-language/schema/raw/master/csl-citation.json" }</w:instrText>
      </w:r>
      <w:r w:rsidR="00CB3958" w:rsidRPr="007721FB">
        <w:rPr>
          <w:rFonts w:ascii="Times New Roman" w:hAnsi="Times New Roman" w:cs="Times New Roman"/>
        </w:rPr>
        <w:fldChar w:fldCharType="separate"/>
      </w:r>
      <w:r w:rsidR="00F1599C" w:rsidRPr="007721FB">
        <w:rPr>
          <w:rFonts w:ascii="Times New Roman" w:hAnsi="Times New Roman" w:cs="Times New Roman"/>
          <w:noProof/>
        </w:rPr>
        <w:t>[114]</w:t>
      </w:r>
      <w:r w:rsidR="00CB3958" w:rsidRPr="007721FB">
        <w:rPr>
          <w:rFonts w:ascii="Times New Roman" w:hAnsi="Times New Roman" w:cs="Times New Roman"/>
        </w:rPr>
        <w:fldChar w:fldCharType="end"/>
      </w:r>
      <w:r w:rsidR="00087625" w:rsidRPr="007721FB">
        <w:rPr>
          <w:rFonts w:ascii="Times New Roman" w:hAnsi="Times New Roman" w:cs="Times New Roman"/>
        </w:rPr>
        <w:t xml:space="preserve"> with reprint permission from Royal Society of Chemistry.</w:t>
      </w:r>
    </w:p>
    <w:p w14:paraId="771E9D56" w14:textId="77777777" w:rsidR="00D834FD" w:rsidRPr="007721FB" w:rsidRDefault="00D834FD" w:rsidP="00DF5D0A">
      <w:pPr>
        <w:spacing w:after="0" w:line="240" w:lineRule="auto"/>
        <w:jc w:val="both"/>
        <w:rPr>
          <w:rFonts w:ascii="Times New Roman" w:hAnsi="Times New Roman" w:cs="Times New Roman"/>
        </w:rPr>
      </w:pPr>
    </w:p>
    <w:p w14:paraId="4F2ABBDF" w14:textId="6BC27758" w:rsidR="00087625" w:rsidRPr="007721FB" w:rsidRDefault="003E5E1E" w:rsidP="00EE0E61">
      <w:pPr>
        <w:spacing w:after="0" w:line="240" w:lineRule="auto"/>
        <w:jc w:val="both"/>
        <w:rPr>
          <w:rFonts w:ascii="Times New Roman" w:hAnsi="Times New Roman" w:cs="Times New Roman"/>
          <w:sz w:val="24"/>
          <w:szCs w:val="24"/>
        </w:rPr>
      </w:pPr>
      <w:r w:rsidRPr="007721FB">
        <w:rPr>
          <w:rFonts w:ascii="Times New Roman" w:hAnsi="Times New Roman" w:cs="Times New Roman"/>
          <w:sz w:val="24"/>
          <w:szCs w:val="24"/>
        </w:rPr>
        <w:t xml:space="preserve">   </w:t>
      </w:r>
      <w:r w:rsidR="00DF5D0A" w:rsidRPr="007721FB">
        <w:rPr>
          <w:rFonts w:ascii="Times New Roman" w:hAnsi="Times New Roman" w:cs="Times New Roman"/>
          <w:sz w:val="24"/>
          <w:szCs w:val="24"/>
        </w:rPr>
        <w:t>Apart from the former examples</w:t>
      </w:r>
      <w:r w:rsidR="00E22F8E" w:rsidRPr="007721FB">
        <w:rPr>
          <w:rFonts w:ascii="Times New Roman" w:hAnsi="Times New Roman" w:cs="Times New Roman"/>
          <w:sz w:val="24"/>
          <w:szCs w:val="24"/>
        </w:rPr>
        <w:t>, there are</w:t>
      </w:r>
      <w:r w:rsidR="00ED5D94" w:rsidRPr="007721FB">
        <w:rPr>
          <w:rFonts w:ascii="Times New Roman" w:hAnsi="Times New Roman" w:cs="Times New Roman"/>
          <w:sz w:val="24"/>
          <w:szCs w:val="24"/>
        </w:rPr>
        <w:t xml:space="preserve"> also</w:t>
      </w:r>
      <w:r w:rsidR="00E22F8E" w:rsidRPr="007721FB">
        <w:rPr>
          <w:rFonts w:ascii="Times New Roman" w:hAnsi="Times New Roman" w:cs="Times New Roman"/>
          <w:sz w:val="24"/>
          <w:szCs w:val="24"/>
        </w:rPr>
        <w:t xml:space="preserve"> other </w:t>
      </w:r>
      <w:r w:rsidR="00A902B4" w:rsidRPr="007721FB">
        <w:rPr>
          <w:rFonts w:ascii="Times New Roman" w:hAnsi="Times New Roman" w:cs="Times New Roman"/>
          <w:sz w:val="24"/>
          <w:szCs w:val="24"/>
        </w:rPr>
        <w:t>bone disorders</w:t>
      </w:r>
      <w:r w:rsidR="00E22F8E" w:rsidRPr="007721FB">
        <w:rPr>
          <w:rFonts w:ascii="Times New Roman" w:hAnsi="Times New Roman" w:cs="Times New Roman"/>
          <w:sz w:val="24"/>
          <w:szCs w:val="24"/>
        </w:rPr>
        <w:t xml:space="preserve"> for which pH-responsive nanocarriers could be </w:t>
      </w:r>
      <w:r w:rsidR="00D834FD" w:rsidRPr="007721FB">
        <w:rPr>
          <w:rFonts w:ascii="Times New Roman" w:hAnsi="Times New Roman" w:cs="Times New Roman"/>
          <w:sz w:val="24"/>
          <w:szCs w:val="24"/>
        </w:rPr>
        <w:t>valuable</w:t>
      </w:r>
      <w:r w:rsidR="00087625" w:rsidRPr="007721FB">
        <w:rPr>
          <w:rFonts w:ascii="Times New Roman" w:hAnsi="Times New Roman" w:cs="Times New Roman"/>
          <w:sz w:val="24"/>
          <w:szCs w:val="24"/>
        </w:rPr>
        <w:t xml:space="preserve"> as on-demand delivery systems</w:t>
      </w:r>
      <w:r w:rsidR="00E22F8E" w:rsidRPr="007721FB">
        <w:rPr>
          <w:rFonts w:ascii="Times New Roman" w:hAnsi="Times New Roman" w:cs="Times New Roman"/>
          <w:sz w:val="24"/>
          <w:szCs w:val="24"/>
        </w:rPr>
        <w:t>.</w:t>
      </w:r>
      <w:r w:rsidR="00FE2E93" w:rsidRPr="007721FB">
        <w:rPr>
          <w:rFonts w:ascii="Times New Roman" w:hAnsi="Times New Roman" w:cs="Times New Roman"/>
          <w:sz w:val="24"/>
          <w:szCs w:val="24"/>
        </w:rPr>
        <w:t xml:space="preserve"> I</w:t>
      </w:r>
      <w:r w:rsidR="00E22F8E" w:rsidRPr="007721FB">
        <w:rPr>
          <w:rFonts w:ascii="Times New Roman" w:hAnsi="Times New Roman" w:cs="Times New Roman"/>
          <w:sz w:val="24"/>
          <w:szCs w:val="24"/>
        </w:rPr>
        <w:t xml:space="preserve">n osteomyelitis, the production of acid by </w:t>
      </w:r>
      <w:r w:rsidR="00610422" w:rsidRPr="007721FB">
        <w:rPr>
          <w:rFonts w:ascii="Times New Roman" w:hAnsi="Times New Roman" w:cs="Times New Roman"/>
          <w:sz w:val="24"/>
          <w:szCs w:val="24"/>
        </w:rPr>
        <w:t>osteoclasts</w:t>
      </w:r>
      <w:r w:rsidR="00E22F8E" w:rsidRPr="007721FB">
        <w:rPr>
          <w:rFonts w:ascii="Times New Roman" w:hAnsi="Times New Roman" w:cs="Times New Roman"/>
          <w:sz w:val="24"/>
          <w:szCs w:val="24"/>
        </w:rPr>
        <w:t xml:space="preserve"> and infecting bacteria metabolism tends to reduce </w:t>
      </w:r>
      <w:r w:rsidR="00B0121C" w:rsidRPr="007721FB">
        <w:rPr>
          <w:rFonts w:ascii="Times New Roman" w:hAnsi="Times New Roman" w:cs="Times New Roman"/>
          <w:sz w:val="24"/>
          <w:szCs w:val="24"/>
        </w:rPr>
        <w:t xml:space="preserve">the </w:t>
      </w:r>
      <w:r w:rsidR="00E22F8E" w:rsidRPr="007721FB">
        <w:rPr>
          <w:rFonts w:ascii="Times New Roman" w:hAnsi="Times New Roman" w:cs="Times New Roman"/>
          <w:sz w:val="24"/>
          <w:szCs w:val="24"/>
        </w:rPr>
        <w:t>pH</w:t>
      </w:r>
      <w:r w:rsidR="004A6B8B" w:rsidRPr="007721FB">
        <w:rPr>
          <w:rFonts w:ascii="Times New Roman" w:hAnsi="Times New Roman" w:cs="Times New Roman"/>
          <w:sz w:val="24"/>
          <w:szCs w:val="24"/>
        </w:rPr>
        <w:t xml:space="preserve"> in the site of inflammation</w:t>
      </w:r>
      <w:r w:rsidR="00ED5D94" w:rsidRPr="007721FB">
        <w:rPr>
          <w:rFonts w:ascii="Times New Roman" w:hAnsi="Times New Roman" w:cs="Times New Roman"/>
          <w:sz w:val="24"/>
          <w:szCs w:val="24"/>
        </w:rPr>
        <w:t xml:space="preserve"> </w:t>
      </w:r>
      <w:r w:rsidR="004D7658" w:rsidRPr="007721FB">
        <w:rPr>
          <w:rFonts w:ascii="Times New Roman" w:hAnsi="Times New Roman" w:cs="Times New Roman"/>
          <w:sz w:val="24"/>
          <w:szCs w:val="24"/>
        </w:rPr>
        <w:fldChar w:fldCharType="begin" w:fldLock="1"/>
      </w:r>
      <w:r w:rsidR="00B31E12" w:rsidRPr="007721FB">
        <w:rPr>
          <w:rFonts w:ascii="Times New Roman" w:hAnsi="Times New Roman" w:cs="Times New Roman"/>
          <w:sz w:val="24"/>
          <w:szCs w:val="24"/>
        </w:rPr>
        <w:instrText>ADDIN CSL_CITATION { "citationItems" : [ { "id" : "ITEM-1", "itemData" : { "DOI" : "10.1615/CritRevTherDrugCarrierSyst.2014010920", "ISBN" : "0743-4863", "ISSN" : "2162-660X", "PMID" : "25746204", "abstract" : "This article provides a critical view of the current state of the development of nanoparticulate and other solid-state carriers for the local delivery of antibiotics in the treatment of osteomyelitis. Mentioned are the downsides of traditional means for treating bone infection, which involve systemic administration of antibiotics and surgical debridement, along with the rather imperfect local delivery options currently available in the clinic. Envisaged are more sophisticated carriers for the local and sustained delivery of antimicrobials, including bioresorbable polymeric, collagenous, liquid crystalline, and bioglass- and nanotube-based carriers, as well as those composed of calcium phosphate, the mineral component of bone and teeth. A special emphasis is placed on composite multifunctional antibiotic carriers of a nanoparticulate nature and on their ability to induce osteogenesis of hard tissues demineralized due to disease. An ideal carrier of this type would prevent the long-term, repetitive, and systemic administration of antibiotics and either minimize or completely eliminate the need for surgical debridement of necrotic tissue. Potential problems faced by even hypothetically \"perfect\" antibiotic delivery vehicles are mentioned too, including (i) intracellular bacterial colonies involved in recurrent, chronic osteomyelitis; (ii) the need for mechanical and release properties to be adjusted to the area of surgical placement; (iii) different environments in which in vitro and in vivo testings are carried out; (iv) unpredictable synergies between drug delivery system components; and (v) experimental sensitivity issues entailing the increasing subtlety of the design of nanoplatforms for the controlled delivery of therapeutics.", "author" : [ { "dropping-particle" : "", "family" : "Uskokovic", "given" : "Vuk", "non-dropping-particle" : "", "parse-names" : false, "suffix" : "" } ], "container-title" : "Critical reviews in therapeutic drug carrier systems", "id" : "ITEM-1", "issue" : "1", "issued" : { "date-parts" : [ [ "2015" ] ] }, "page" : "1-59", "title" : "Nanostructured platforms for the sustained and local delivery of antibiotics in the treatment of osteomyelitis.", "type" : "article-journal", "volume" : "32" }, "uris" : [ "http://www.mendeley.com/documents/?uuid=176e171f-3ca4-4ed7-ba9b-855a3cde5fee", "http://www.mendeley.com/documents/?uuid=b8f33a85-63e0-4156-b559-98c147cf88c7" ] } ], "mendeley" : { "formattedCitation" : "[63]", "plainTextFormattedCitation" : "[63]", "previouslyFormattedCitation" : "[63]" }, "properties" : { "noteIndex" : 0 }, "schema" : "https://github.com/citation-style-language/schema/raw/master/csl-citation.json" }</w:instrText>
      </w:r>
      <w:r w:rsidR="004D7658" w:rsidRPr="007721FB">
        <w:rPr>
          <w:rFonts w:ascii="Times New Roman" w:hAnsi="Times New Roman" w:cs="Times New Roman"/>
          <w:sz w:val="24"/>
          <w:szCs w:val="24"/>
        </w:rPr>
        <w:fldChar w:fldCharType="separate"/>
      </w:r>
      <w:r w:rsidR="00B31E12" w:rsidRPr="007721FB">
        <w:rPr>
          <w:rFonts w:ascii="Times New Roman" w:hAnsi="Times New Roman" w:cs="Times New Roman"/>
          <w:noProof/>
          <w:sz w:val="24"/>
          <w:szCs w:val="24"/>
        </w:rPr>
        <w:t>[63]</w:t>
      </w:r>
      <w:r w:rsidR="004D7658" w:rsidRPr="007721FB">
        <w:rPr>
          <w:rFonts w:ascii="Times New Roman" w:hAnsi="Times New Roman" w:cs="Times New Roman"/>
          <w:sz w:val="24"/>
          <w:szCs w:val="24"/>
        </w:rPr>
        <w:fldChar w:fldCharType="end"/>
      </w:r>
      <w:r w:rsidR="00D834FD" w:rsidRPr="007721FB">
        <w:rPr>
          <w:rFonts w:ascii="Times New Roman" w:hAnsi="Times New Roman" w:cs="Times New Roman"/>
          <w:sz w:val="24"/>
          <w:szCs w:val="24"/>
        </w:rPr>
        <w:t>.</w:t>
      </w:r>
      <w:r w:rsidR="00E22F8E" w:rsidRPr="007721FB">
        <w:rPr>
          <w:rFonts w:ascii="Times New Roman" w:hAnsi="Times New Roman" w:cs="Times New Roman"/>
          <w:sz w:val="24"/>
          <w:szCs w:val="24"/>
        </w:rPr>
        <w:t xml:space="preserve"> </w:t>
      </w:r>
      <w:r w:rsidR="004A6B8B" w:rsidRPr="007721FB">
        <w:rPr>
          <w:rFonts w:ascii="Times New Roman" w:hAnsi="Times New Roman" w:cs="Times New Roman"/>
          <w:sz w:val="24"/>
          <w:szCs w:val="24"/>
        </w:rPr>
        <w:t>Such</w:t>
      </w:r>
      <w:r w:rsidR="00E22F8E" w:rsidRPr="007721FB">
        <w:rPr>
          <w:rFonts w:ascii="Times New Roman" w:hAnsi="Times New Roman" w:cs="Times New Roman"/>
          <w:sz w:val="24"/>
          <w:szCs w:val="24"/>
        </w:rPr>
        <w:t xml:space="preserve"> acidic environment, could allow for selective release of </w:t>
      </w:r>
      <w:r w:rsidR="004A6B8B" w:rsidRPr="007721FB">
        <w:rPr>
          <w:rFonts w:ascii="Times New Roman" w:hAnsi="Times New Roman" w:cs="Times New Roman"/>
          <w:sz w:val="24"/>
          <w:szCs w:val="24"/>
        </w:rPr>
        <w:t xml:space="preserve">bioactive molecules (e.g., antibiotics) </w:t>
      </w:r>
      <w:r w:rsidR="00E22F8E" w:rsidRPr="007721FB">
        <w:rPr>
          <w:rFonts w:ascii="Times New Roman" w:hAnsi="Times New Roman" w:cs="Times New Roman"/>
          <w:sz w:val="24"/>
          <w:szCs w:val="24"/>
        </w:rPr>
        <w:t>in</w:t>
      </w:r>
      <w:r w:rsidR="004A6B8B" w:rsidRPr="007721FB">
        <w:rPr>
          <w:rFonts w:ascii="Times New Roman" w:hAnsi="Times New Roman" w:cs="Times New Roman"/>
          <w:sz w:val="24"/>
          <w:szCs w:val="24"/>
        </w:rPr>
        <w:t xml:space="preserve"> the affected</w:t>
      </w:r>
      <w:r w:rsidR="00E22F8E" w:rsidRPr="007721FB">
        <w:rPr>
          <w:rFonts w:ascii="Times New Roman" w:hAnsi="Times New Roman" w:cs="Times New Roman"/>
          <w:sz w:val="24"/>
          <w:szCs w:val="24"/>
        </w:rPr>
        <w:t xml:space="preserve"> bone milieu</w:t>
      </w:r>
      <w:r w:rsidR="00C6046A" w:rsidRPr="007721FB">
        <w:rPr>
          <w:rFonts w:ascii="Times New Roman" w:hAnsi="Times New Roman" w:cs="Times New Roman"/>
          <w:sz w:val="24"/>
          <w:szCs w:val="24"/>
        </w:rPr>
        <w:t>.</w:t>
      </w:r>
      <w:r w:rsidR="008D1106" w:rsidRPr="007721FB">
        <w:rPr>
          <w:rFonts w:ascii="Times New Roman" w:hAnsi="Times New Roman" w:cs="Times New Roman"/>
          <w:sz w:val="24"/>
          <w:szCs w:val="24"/>
        </w:rPr>
        <w:t xml:space="preserve"> </w:t>
      </w:r>
    </w:p>
    <w:p w14:paraId="735CB6D6" w14:textId="1293780C" w:rsidR="00FE2E93" w:rsidRPr="007721FB" w:rsidRDefault="00FE2E93" w:rsidP="00EE0E61">
      <w:pPr>
        <w:spacing w:after="0" w:line="240" w:lineRule="auto"/>
        <w:jc w:val="both"/>
        <w:rPr>
          <w:rFonts w:ascii="Times New Roman" w:hAnsi="Times New Roman" w:cs="Times New Roman"/>
          <w:sz w:val="24"/>
          <w:szCs w:val="24"/>
        </w:rPr>
      </w:pPr>
      <w:r w:rsidRPr="007721FB">
        <w:rPr>
          <w:rFonts w:ascii="Times New Roman" w:hAnsi="Times New Roman" w:cs="Times New Roman"/>
          <w:sz w:val="24"/>
          <w:szCs w:val="24"/>
        </w:rPr>
        <w:t>To treat bone bacterial infections</w:t>
      </w:r>
      <w:r w:rsidR="00B0121C" w:rsidRPr="007721FB">
        <w:rPr>
          <w:rFonts w:ascii="Times New Roman" w:hAnsi="Times New Roman" w:cs="Times New Roman"/>
          <w:sz w:val="24"/>
          <w:szCs w:val="24"/>
        </w:rPr>
        <w:t>,</w:t>
      </w:r>
      <w:r w:rsidR="003237DB" w:rsidRPr="007721FB">
        <w:rPr>
          <w:rFonts w:ascii="Times New Roman" w:hAnsi="Times New Roman" w:cs="Times New Roman"/>
          <w:sz w:val="24"/>
          <w:szCs w:val="24"/>
        </w:rPr>
        <w:t xml:space="preserve"> Ferreira and </w:t>
      </w:r>
      <w:r w:rsidR="00D10AC9" w:rsidRPr="007721FB">
        <w:rPr>
          <w:rFonts w:ascii="Times New Roman" w:hAnsi="Times New Roman" w:cs="Times New Roman"/>
          <w:sz w:val="24"/>
          <w:szCs w:val="24"/>
        </w:rPr>
        <w:t xml:space="preserve">co-workers </w:t>
      </w:r>
      <w:r w:rsidR="003237DB" w:rsidRPr="007721FB">
        <w:rPr>
          <w:rFonts w:ascii="Times New Roman" w:hAnsi="Times New Roman" w:cs="Times New Roman"/>
          <w:sz w:val="24"/>
          <w:szCs w:val="24"/>
        </w:rPr>
        <w:t>developed</w:t>
      </w:r>
      <w:r w:rsidR="00193EF3" w:rsidRPr="007721FB">
        <w:rPr>
          <w:rFonts w:ascii="Times New Roman" w:hAnsi="Times New Roman" w:cs="Times New Roman"/>
          <w:sz w:val="24"/>
          <w:szCs w:val="24"/>
        </w:rPr>
        <w:t xml:space="preserve"> a</w:t>
      </w:r>
      <w:r w:rsidR="003237DB" w:rsidRPr="007721FB">
        <w:rPr>
          <w:rFonts w:ascii="Times New Roman" w:hAnsi="Times New Roman" w:cs="Times New Roman"/>
          <w:sz w:val="24"/>
          <w:szCs w:val="24"/>
        </w:rPr>
        <w:t xml:space="preserve"> pH-responsive </w:t>
      </w:r>
      <w:r w:rsidR="00193EF3" w:rsidRPr="007721FB">
        <w:rPr>
          <w:rFonts w:ascii="Times New Roman" w:hAnsi="Times New Roman" w:cs="Times New Roman"/>
          <w:sz w:val="24"/>
          <w:szCs w:val="24"/>
        </w:rPr>
        <w:t xml:space="preserve">liposomal theranostic platform </w:t>
      </w:r>
      <w:r w:rsidR="001B3FBE" w:rsidRPr="007721FB">
        <w:rPr>
          <w:rFonts w:ascii="Times New Roman" w:hAnsi="Times New Roman" w:cs="Times New Roman"/>
          <w:sz w:val="24"/>
          <w:szCs w:val="24"/>
        </w:rPr>
        <w:t>(DOPE, CHEMS, PEG2K-DSPE)</w:t>
      </w:r>
      <w:r w:rsidR="003237DB" w:rsidRPr="007721FB">
        <w:rPr>
          <w:rFonts w:ascii="Times New Roman" w:hAnsi="Times New Roman" w:cs="Times New Roman"/>
          <w:sz w:val="24"/>
          <w:szCs w:val="24"/>
        </w:rPr>
        <w:t xml:space="preserve"> containing technetium-99m-labeled ceftizoxime,</w:t>
      </w:r>
      <w:r w:rsidR="00D10AC9" w:rsidRPr="007721FB">
        <w:rPr>
          <w:rFonts w:ascii="Times New Roman" w:hAnsi="Times New Roman" w:cs="Times New Roman"/>
          <w:sz w:val="24"/>
          <w:szCs w:val="24"/>
        </w:rPr>
        <w:t xml:space="preserve"> </w:t>
      </w:r>
      <w:r w:rsidR="008E334A" w:rsidRPr="007721FB">
        <w:rPr>
          <w:rFonts w:ascii="Times New Roman" w:hAnsi="Times New Roman" w:cs="Times New Roman"/>
          <w:sz w:val="24"/>
          <w:szCs w:val="24"/>
        </w:rPr>
        <w:t>a 3</w:t>
      </w:r>
      <w:r w:rsidR="008E334A" w:rsidRPr="007721FB">
        <w:rPr>
          <w:rFonts w:ascii="Times New Roman" w:hAnsi="Times New Roman" w:cs="Times New Roman"/>
          <w:sz w:val="24"/>
          <w:szCs w:val="24"/>
          <w:vertAlign w:val="superscript"/>
        </w:rPr>
        <w:t>rd</w:t>
      </w:r>
      <w:r w:rsidR="008E334A" w:rsidRPr="007721FB">
        <w:rPr>
          <w:rFonts w:ascii="Times New Roman" w:hAnsi="Times New Roman" w:cs="Times New Roman"/>
          <w:sz w:val="24"/>
          <w:szCs w:val="24"/>
        </w:rPr>
        <w:t xml:space="preserve"> generation cephalosporin</w:t>
      </w:r>
      <w:r w:rsidR="00D10AC9" w:rsidRPr="007721FB">
        <w:rPr>
          <w:rFonts w:ascii="Times New Roman" w:hAnsi="Times New Roman" w:cs="Times New Roman"/>
          <w:sz w:val="24"/>
          <w:szCs w:val="24"/>
        </w:rPr>
        <w:t xml:space="preserve"> </w:t>
      </w:r>
      <w:r w:rsidRPr="007721FB">
        <w:rPr>
          <w:rFonts w:ascii="Times New Roman" w:hAnsi="Times New Roman" w:cs="Times New Roman"/>
          <w:sz w:val="24"/>
          <w:szCs w:val="24"/>
        </w:rPr>
        <w:t>antibiotic</w:t>
      </w:r>
      <w:r w:rsidR="008E334A" w:rsidRPr="007721FB">
        <w:rPr>
          <w:rFonts w:ascii="Times New Roman" w:hAnsi="Times New Roman" w:cs="Times New Roman"/>
          <w:sz w:val="24"/>
          <w:szCs w:val="24"/>
        </w:rPr>
        <w:t>.</w:t>
      </w:r>
      <w:r w:rsidR="00D10AC9" w:rsidRPr="007721FB">
        <w:rPr>
          <w:rFonts w:ascii="Times New Roman" w:hAnsi="Times New Roman" w:cs="Times New Roman"/>
          <w:sz w:val="24"/>
          <w:szCs w:val="24"/>
        </w:rPr>
        <w:t xml:space="preserve"> The </w:t>
      </w:r>
      <w:r w:rsidR="00644274" w:rsidRPr="007721FB">
        <w:rPr>
          <w:rFonts w:ascii="Times New Roman" w:hAnsi="Times New Roman" w:cs="Times New Roman"/>
          <w:sz w:val="24"/>
          <w:szCs w:val="24"/>
        </w:rPr>
        <w:t>liposomal carr</w:t>
      </w:r>
      <w:r w:rsidR="00D10AC9" w:rsidRPr="007721FB">
        <w:rPr>
          <w:rFonts w:ascii="Times New Roman" w:hAnsi="Times New Roman" w:cs="Times New Roman"/>
          <w:sz w:val="24"/>
          <w:szCs w:val="24"/>
        </w:rPr>
        <w:t>i</w:t>
      </w:r>
      <w:r w:rsidR="00644274" w:rsidRPr="007721FB">
        <w:rPr>
          <w:rFonts w:ascii="Times New Roman" w:hAnsi="Times New Roman" w:cs="Times New Roman"/>
          <w:sz w:val="24"/>
          <w:szCs w:val="24"/>
        </w:rPr>
        <w:t>e</w:t>
      </w:r>
      <w:r w:rsidR="00D10AC9" w:rsidRPr="007721FB">
        <w:rPr>
          <w:rFonts w:ascii="Times New Roman" w:hAnsi="Times New Roman" w:cs="Times New Roman"/>
          <w:sz w:val="24"/>
          <w:szCs w:val="24"/>
        </w:rPr>
        <w:t xml:space="preserve">rs </w:t>
      </w:r>
      <w:r w:rsidR="001B3FBE" w:rsidRPr="007721FB">
        <w:rPr>
          <w:rFonts w:ascii="Times New Roman" w:hAnsi="Times New Roman" w:cs="Times New Roman"/>
          <w:sz w:val="24"/>
          <w:szCs w:val="24"/>
        </w:rPr>
        <w:t>(size</w:t>
      </w:r>
      <w:r w:rsidR="00A902B4" w:rsidRPr="007721FB">
        <w:rPr>
          <w:rFonts w:ascii="Times New Roman" w:hAnsi="Times New Roman" w:cs="Times New Roman"/>
          <w:sz w:val="24"/>
          <w:szCs w:val="24"/>
        </w:rPr>
        <w:t xml:space="preserve">: </w:t>
      </w:r>
      <w:r w:rsidR="001B3FBE" w:rsidRPr="007721FB">
        <w:rPr>
          <w:rFonts w:ascii="Times New Roman" w:hAnsi="Times New Roman" w:cs="Times New Roman"/>
          <w:sz w:val="24"/>
          <w:szCs w:val="24"/>
        </w:rPr>
        <w:t xml:space="preserve">169.1 ± 8.4 nm, </w:t>
      </w:r>
      <w:r w:rsidR="00D86923" w:rsidRPr="007721FB">
        <w:rPr>
          <w:rFonts w:ascii="Times New Roman" w:hAnsi="Times New Roman" w:cs="Times New Roman"/>
          <w:sz w:val="24"/>
          <w:szCs w:val="24"/>
        </w:rPr>
        <w:t>ζ</w:t>
      </w:r>
      <w:r w:rsidR="00A902B4" w:rsidRPr="007721FB">
        <w:rPr>
          <w:rFonts w:ascii="Times New Roman" w:hAnsi="Times New Roman" w:cs="Times New Roman"/>
          <w:sz w:val="24"/>
          <w:szCs w:val="24"/>
        </w:rPr>
        <w:t xml:space="preserve"> potential</w:t>
      </w:r>
      <w:r w:rsidR="00BD3F38" w:rsidRPr="007721FB">
        <w:rPr>
          <w:rFonts w:ascii="Times New Roman" w:hAnsi="Times New Roman" w:cs="Times New Roman"/>
          <w:sz w:val="24"/>
          <w:szCs w:val="24"/>
        </w:rPr>
        <w:t>:</w:t>
      </w:r>
      <w:r w:rsidR="001B3FBE" w:rsidRPr="007721FB">
        <w:rPr>
          <w:rFonts w:ascii="Times New Roman" w:hAnsi="Times New Roman" w:cs="Times New Roman"/>
          <w:sz w:val="24"/>
          <w:szCs w:val="24"/>
        </w:rPr>
        <w:t xml:space="preserve"> 2.2 ± 1.1 mV) </w:t>
      </w:r>
      <w:r w:rsidR="00D10AC9" w:rsidRPr="007721FB">
        <w:rPr>
          <w:rFonts w:ascii="Times New Roman" w:hAnsi="Times New Roman" w:cs="Times New Roman"/>
          <w:sz w:val="24"/>
          <w:szCs w:val="24"/>
        </w:rPr>
        <w:t>were</w:t>
      </w:r>
      <w:r w:rsidR="00644274" w:rsidRPr="007721FB">
        <w:rPr>
          <w:rFonts w:ascii="Times New Roman" w:hAnsi="Times New Roman" w:cs="Times New Roman"/>
          <w:sz w:val="24"/>
          <w:szCs w:val="24"/>
        </w:rPr>
        <w:t xml:space="preserve"> </w:t>
      </w:r>
      <w:r w:rsidR="003237DB" w:rsidRPr="007721FB">
        <w:rPr>
          <w:rFonts w:ascii="Times New Roman" w:hAnsi="Times New Roman" w:cs="Times New Roman"/>
          <w:sz w:val="24"/>
          <w:szCs w:val="24"/>
        </w:rPr>
        <w:t xml:space="preserve">able </w:t>
      </w:r>
      <w:r w:rsidR="00D10AC9" w:rsidRPr="007721FB">
        <w:rPr>
          <w:rFonts w:ascii="Times New Roman" w:hAnsi="Times New Roman" w:cs="Times New Roman"/>
          <w:sz w:val="24"/>
          <w:szCs w:val="24"/>
        </w:rPr>
        <w:t xml:space="preserve">to </w:t>
      </w:r>
      <w:r w:rsidR="003237DB" w:rsidRPr="007721FB">
        <w:rPr>
          <w:rFonts w:ascii="Times New Roman" w:hAnsi="Times New Roman" w:cs="Times New Roman"/>
          <w:sz w:val="24"/>
          <w:szCs w:val="24"/>
        </w:rPr>
        <w:t>accumulat</w:t>
      </w:r>
      <w:r w:rsidR="00D10AC9" w:rsidRPr="007721FB">
        <w:rPr>
          <w:rFonts w:ascii="Times New Roman" w:hAnsi="Times New Roman" w:cs="Times New Roman"/>
          <w:sz w:val="24"/>
          <w:szCs w:val="24"/>
        </w:rPr>
        <w:t>e</w:t>
      </w:r>
      <w:r w:rsidR="003237DB" w:rsidRPr="007721FB">
        <w:rPr>
          <w:rFonts w:ascii="Times New Roman" w:hAnsi="Times New Roman" w:cs="Times New Roman"/>
          <w:sz w:val="24"/>
          <w:szCs w:val="24"/>
        </w:rPr>
        <w:t xml:space="preserve"> in bone infected </w:t>
      </w:r>
      <w:r w:rsidR="003237DB" w:rsidRPr="007721FB">
        <w:rPr>
          <w:rFonts w:ascii="Times New Roman" w:hAnsi="Times New Roman" w:cs="Times New Roman"/>
          <w:i/>
          <w:sz w:val="24"/>
          <w:szCs w:val="24"/>
        </w:rPr>
        <w:t>foci</w:t>
      </w:r>
      <w:r w:rsidR="003237DB" w:rsidRPr="007721FB">
        <w:rPr>
          <w:rFonts w:ascii="Times New Roman" w:hAnsi="Times New Roman" w:cs="Times New Roman"/>
          <w:sz w:val="24"/>
          <w:szCs w:val="24"/>
        </w:rPr>
        <w:t xml:space="preserve"> in </w:t>
      </w:r>
      <w:r w:rsidR="00C5392B" w:rsidRPr="007721FB">
        <w:rPr>
          <w:rFonts w:ascii="Times New Roman" w:hAnsi="Times New Roman" w:cs="Times New Roman"/>
          <w:sz w:val="24"/>
          <w:szCs w:val="24"/>
        </w:rPr>
        <w:t>a</w:t>
      </w:r>
      <w:r w:rsidR="00F26185" w:rsidRPr="007721FB">
        <w:rPr>
          <w:rFonts w:ascii="Times New Roman" w:hAnsi="Times New Roman" w:cs="Times New Roman"/>
          <w:sz w:val="24"/>
          <w:szCs w:val="24"/>
        </w:rPr>
        <w:t xml:space="preserve"> </w:t>
      </w:r>
      <w:r w:rsidR="00583233" w:rsidRPr="007721FB">
        <w:rPr>
          <w:rFonts w:ascii="Times New Roman" w:hAnsi="Times New Roman" w:cs="Times New Roman"/>
          <w:sz w:val="24"/>
          <w:szCs w:val="24"/>
        </w:rPr>
        <w:t xml:space="preserve">male </w:t>
      </w:r>
      <w:r w:rsidR="00F26185" w:rsidRPr="007721FB">
        <w:rPr>
          <w:rFonts w:ascii="Times New Roman" w:hAnsi="Times New Roman" w:cs="Times New Roman"/>
          <w:sz w:val="24"/>
          <w:szCs w:val="24"/>
        </w:rPr>
        <w:t>Wistar</w:t>
      </w:r>
      <w:r w:rsidR="00C5392B" w:rsidRPr="007721FB">
        <w:rPr>
          <w:rFonts w:ascii="Times New Roman" w:hAnsi="Times New Roman" w:cs="Times New Roman"/>
          <w:sz w:val="24"/>
          <w:szCs w:val="24"/>
        </w:rPr>
        <w:t xml:space="preserve"> rat model of acute osteomyelitis</w:t>
      </w:r>
      <w:r w:rsidR="00A902B4" w:rsidRPr="007721FB">
        <w:rPr>
          <w:rFonts w:ascii="Times New Roman" w:hAnsi="Times New Roman" w:cs="Times New Roman"/>
          <w:sz w:val="24"/>
          <w:szCs w:val="24"/>
        </w:rPr>
        <w:t xml:space="preserve"> following intravenous administration </w:t>
      </w:r>
      <w:r w:rsidR="00A412AB" w:rsidRPr="007721FB">
        <w:rPr>
          <w:rFonts w:ascii="Times New Roman" w:hAnsi="Times New Roman" w:cs="Times New Roman"/>
          <w:sz w:val="24"/>
          <w:szCs w:val="24"/>
        </w:rPr>
        <w:fldChar w:fldCharType="begin" w:fldLock="1"/>
      </w:r>
      <w:r w:rsidR="00F1599C" w:rsidRPr="007721FB">
        <w:rPr>
          <w:rFonts w:ascii="Times New Roman" w:hAnsi="Times New Roman" w:cs="Times New Roman"/>
          <w:sz w:val="24"/>
          <w:szCs w:val="24"/>
        </w:rPr>
        <w:instrText>ADDIN CSL_CITATION { "citationItems" : [ { "id" : "ITEM-1", "itemData" : { "DOI" : "10.1016/j.bmcl.2012.05.105", "ISBN" : "0960-894X", "ISSN" : "0960894X", "PMID" : "22726927", "abstract" : "Osteomyelitis is an infectious disease located in the bone or bone marrow. Long-circulating and pH-sensitive liposomes containing a technetium-99m-labeled antibiotic, ceftizoxime, (SpHL-99mTc-CF) were developed to identify osteomyelitis foci. Biodistribution studies and scintigraphic images of bone infection or non infection-bearing rats that had been treated with these liposomes were performed. A high accumulation in infectious foci and high values in the target-non target ratio could be observed. These results indicate the potential of SpHL-99mTc-CF as a potential agent for the diagnosis of bone infections. \u00a9 2012 Elsevier Ltd. All rights reserved.", "author" : [ { "dropping-particle" : "", "family" : "Ferreira", "given" : "Soraya Maria Zandim MacIel Dias", "non-dropping-particle" : "", "parse-names" : false, "suffix" : "" }, { "dropping-particle" : "", "family" : "Domingos", "given" : "Giselle Pires", "non-dropping-particle" : "", "parse-names" : false, "suffix" : "" }, { "dropping-particle" : "", "family" : "Ferreira", "given" : "Diego Dos Santos", "non-dropping-particle" : "", "parse-names" : false, "suffix" : "" }, { "dropping-particle" : "", "family" : "Rocha", "given" : "Talita Guieiro Ribeiro", "non-dropping-particle" : "", "parse-names" : false, "suffix" : "" }, { "dropping-particle" : "", "family" : "Serakides", "given" : "Rog\u00e9ria", "non-dropping-particle" : "", "parse-names" : false, "suffix" : "" }, { "dropping-particle" : "", "family" : "Faria Rezende", "given" : "Cleuza Maria", "non-dropping-particle" : "De", "parse-names" : false, "suffix" : "" }, { "dropping-particle" : "", "family" : "Cardoso", "given" : "Valbert Nascimento", "non-dropping-particle" : "", "parse-names" : false, "suffix" : "" }, { "dropping-particle" : "", "family" : "Fernandes", "given" : "Simone Od\u00edlia Antunes", "non-dropping-particle" : "", "parse-names" : false, "suffix" : "" }, { "dropping-particle" : "", "family" : "Oliveira", "given" : "M\u00f4nica Cristina", "non-dropping-particle" : "", "parse-names" : false, "suffix" : "" } ], "container-title" : "Bioorganic and Medicinal Chemistry Letters", "id" : "ITEM-1", "issue" : "14", "issued" : { "date-parts" : [ [ "2012" ] ] }, "page" : "4605-4608", "publisher" : "Elsevier Ltd", "title" : "Technetium-99m-labeled ceftizoxime loaded long-circulating and pH-sensitive liposomes used to identify osteomyelitis", "type" : "article-journal", "volume" : "22" }, "uris" : [ "http://www.mendeley.com/documents/?uuid=f4adba77-be01-45a4-a0ca-2cc4b4958442", "http://www.mendeley.com/documents/?uuid=30753ef6-e50b-4561-ac56-db067dfde7cd" ] } ], "mendeley" : { "formattedCitation" : "[115]", "plainTextFormattedCitation" : "[115]", "previouslyFormattedCitation" : "[115]" }, "properties" : { "noteIndex" : 0 }, "schema" : "https://github.com/citation-style-language/schema/raw/master/csl-citation.json" }</w:instrText>
      </w:r>
      <w:r w:rsidR="00A412AB" w:rsidRPr="007721FB">
        <w:rPr>
          <w:rFonts w:ascii="Times New Roman" w:hAnsi="Times New Roman" w:cs="Times New Roman"/>
          <w:sz w:val="24"/>
          <w:szCs w:val="24"/>
        </w:rPr>
        <w:fldChar w:fldCharType="separate"/>
      </w:r>
      <w:r w:rsidR="00F1599C" w:rsidRPr="007721FB">
        <w:rPr>
          <w:rFonts w:ascii="Times New Roman" w:hAnsi="Times New Roman" w:cs="Times New Roman"/>
          <w:noProof/>
          <w:sz w:val="24"/>
          <w:szCs w:val="24"/>
        </w:rPr>
        <w:t>[115]</w:t>
      </w:r>
      <w:r w:rsidR="00A412AB" w:rsidRPr="007721FB">
        <w:rPr>
          <w:rFonts w:ascii="Times New Roman" w:hAnsi="Times New Roman" w:cs="Times New Roman"/>
          <w:sz w:val="24"/>
          <w:szCs w:val="24"/>
        </w:rPr>
        <w:fldChar w:fldCharType="end"/>
      </w:r>
      <w:r w:rsidR="00A902B4" w:rsidRPr="007721FB">
        <w:rPr>
          <w:rFonts w:ascii="Times New Roman" w:hAnsi="Times New Roman" w:cs="Times New Roman"/>
          <w:sz w:val="24"/>
          <w:szCs w:val="24"/>
        </w:rPr>
        <w:t>.</w:t>
      </w:r>
      <w:r w:rsidR="00C5392B" w:rsidRPr="007721FB">
        <w:rPr>
          <w:rFonts w:ascii="Times New Roman" w:hAnsi="Times New Roman" w:cs="Times New Roman"/>
          <w:sz w:val="24"/>
          <w:szCs w:val="24"/>
        </w:rPr>
        <w:t xml:space="preserve"> These liposomes undergo</w:t>
      </w:r>
      <w:r w:rsidR="00A902B4" w:rsidRPr="007721FB">
        <w:rPr>
          <w:rFonts w:ascii="Times New Roman" w:hAnsi="Times New Roman" w:cs="Times New Roman"/>
          <w:sz w:val="24"/>
          <w:szCs w:val="24"/>
        </w:rPr>
        <w:t xml:space="preserve"> structural</w:t>
      </w:r>
      <w:r w:rsidR="00C5392B" w:rsidRPr="007721FB">
        <w:rPr>
          <w:rFonts w:ascii="Times New Roman" w:hAnsi="Times New Roman" w:cs="Times New Roman"/>
          <w:sz w:val="24"/>
          <w:szCs w:val="24"/>
        </w:rPr>
        <w:t xml:space="preserve"> destabilization in acidic medium, locally releasing the radiotracer and thereby allowing </w:t>
      </w:r>
      <w:r w:rsidR="00193EF3" w:rsidRPr="007721FB">
        <w:rPr>
          <w:rFonts w:ascii="Times New Roman" w:hAnsi="Times New Roman" w:cs="Times New Roman"/>
          <w:sz w:val="24"/>
          <w:szCs w:val="24"/>
        </w:rPr>
        <w:t>accurate infection</w:t>
      </w:r>
      <w:r w:rsidR="00730AB6" w:rsidRPr="007721FB">
        <w:rPr>
          <w:rFonts w:ascii="Times New Roman" w:hAnsi="Times New Roman" w:cs="Times New Roman"/>
          <w:sz w:val="24"/>
          <w:szCs w:val="24"/>
        </w:rPr>
        <w:t xml:space="preserve"> </w:t>
      </w:r>
      <w:r w:rsidR="00C5392B" w:rsidRPr="007721FB">
        <w:rPr>
          <w:rFonts w:ascii="Times New Roman" w:hAnsi="Times New Roman" w:cs="Times New Roman"/>
          <w:sz w:val="24"/>
          <w:szCs w:val="24"/>
        </w:rPr>
        <w:t xml:space="preserve">imaging and </w:t>
      </w:r>
      <w:r w:rsidR="00193EF3" w:rsidRPr="007721FB">
        <w:rPr>
          <w:rFonts w:ascii="Times New Roman" w:hAnsi="Times New Roman" w:cs="Times New Roman"/>
          <w:sz w:val="24"/>
          <w:szCs w:val="24"/>
        </w:rPr>
        <w:t>treatment</w:t>
      </w:r>
      <w:r w:rsidR="00730AB6" w:rsidRPr="007721FB">
        <w:rPr>
          <w:rFonts w:ascii="Times New Roman" w:hAnsi="Times New Roman" w:cs="Times New Roman"/>
          <w:sz w:val="24"/>
          <w:szCs w:val="24"/>
        </w:rPr>
        <w:t xml:space="preserve">. </w:t>
      </w:r>
      <w:r w:rsidRPr="007721FB">
        <w:rPr>
          <w:rFonts w:ascii="Times New Roman" w:hAnsi="Times New Roman" w:cs="Times New Roman"/>
          <w:sz w:val="24"/>
          <w:szCs w:val="24"/>
        </w:rPr>
        <w:t xml:space="preserve">The obtained results indicate that </w:t>
      </w:r>
      <w:r w:rsidR="00B0121C" w:rsidRPr="007721FB">
        <w:rPr>
          <w:rFonts w:ascii="Times New Roman" w:hAnsi="Times New Roman" w:cs="Times New Roman"/>
          <w:sz w:val="24"/>
          <w:szCs w:val="24"/>
        </w:rPr>
        <w:t xml:space="preserve">the </w:t>
      </w:r>
      <w:r w:rsidRPr="007721FB">
        <w:rPr>
          <w:rFonts w:ascii="Times New Roman" w:hAnsi="Times New Roman" w:cs="Times New Roman"/>
          <w:sz w:val="24"/>
          <w:szCs w:val="24"/>
        </w:rPr>
        <w:t>radioactivity level in the infected tibia was 1.5-fold higher than in healthy tibia. Although this study demonstrated the positive effect of such theranostic liposomes, from the perspective of clinical application the use of radiotracers could entail some restrictions due to their known toxicity. With the advent of multimodal imaging technologies and non-radioactive probes such concept could be further investigated.</w:t>
      </w:r>
    </w:p>
    <w:p w14:paraId="66D46E50" w14:textId="1230CF7D" w:rsidR="00193EF3" w:rsidRPr="007721FB" w:rsidRDefault="00FE2E93" w:rsidP="00EE0E61">
      <w:pPr>
        <w:spacing w:after="0" w:line="240" w:lineRule="auto"/>
        <w:jc w:val="both"/>
        <w:rPr>
          <w:rFonts w:ascii="Times New Roman" w:hAnsi="Times New Roman" w:cs="Times New Roman"/>
          <w:sz w:val="24"/>
          <w:szCs w:val="24"/>
        </w:rPr>
      </w:pPr>
      <w:r w:rsidRPr="007721FB">
        <w:rPr>
          <w:rFonts w:ascii="Times New Roman" w:hAnsi="Times New Roman" w:cs="Times New Roman"/>
          <w:sz w:val="24"/>
          <w:szCs w:val="24"/>
        </w:rPr>
        <w:t xml:space="preserve">   </w:t>
      </w:r>
      <w:r w:rsidR="003237DB" w:rsidRPr="007721FB">
        <w:rPr>
          <w:rFonts w:ascii="Times New Roman" w:hAnsi="Times New Roman" w:cs="Times New Roman"/>
          <w:sz w:val="24"/>
          <w:szCs w:val="24"/>
        </w:rPr>
        <w:t>More recently,</w:t>
      </w:r>
      <w:r w:rsidRPr="007721FB">
        <w:rPr>
          <w:rFonts w:ascii="Times New Roman" w:hAnsi="Times New Roman" w:cs="Times New Roman"/>
          <w:sz w:val="24"/>
          <w:szCs w:val="24"/>
        </w:rPr>
        <w:t xml:space="preserve"> </w:t>
      </w:r>
      <w:r w:rsidR="00B0121C" w:rsidRPr="007721FB">
        <w:rPr>
          <w:rFonts w:ascii="Times New Roman" w:hAnsi="Times New Roman" w:cs="Times New Roman"/>
          <w:sz w:val="24"/>
          <w:szCs w:val="24"/>
        </w:rPr>
        <w:t>AL</w:t>
      </w:r>
      <w:r w:rsidR="00D7165C" w:rsidRPr="007721FB">
        <w:rPr>
          <w:rFonts w:ascii="Times New Roman" w:hAnsi="Times New Roman" w:cs="Times New Roman"/>
          <w:sz w:val="24"/>
          <w:szCs w:val="24"/>
        </w:rPr>
        <w:t xml:space="preserve">-coated </w:t>
      </w:r>
      <w:r w:rsidR="009F4CBE" w:rsidRPr="007721FB">
        <w:rPr>
          <w:rFonts w:ascii="Times New Roman" w:hAnsi="Times New Roman" w:cs="Times New Roman"/>
          <w:sz w:val="24"/>
          <w:szCs w:val="24"/>
        </w:rPr>
        <w:t>PEG-</w:t>
      </w:r>
      <w:r w:rsidR="00D7165C" w:rsidRPr="007721FB">
        <w:rPr>
          <w:rFonts w:ascii="Times New Roman" w:hAnsi="Times New Roman" w:cs="Times New Roman"/>
          <w:sz w:val="24"/>
          <w:szCs w:val="24"/>
        </w:rPr>
        <w:t>poly(lactic a</w:t>
      </w:r>
      <w:r w:rsidR="009F4CBE" w:rsidRPr="007721FB">
        <w:rPr>
          <w:rFonts w:ascii="Times New Roman" w:hAnsi="Times New Roman" w:cs="Times New Roman"/>
          <w:sz w:val="24"/>
          <w:szCs w:val="24"/>
        </w:rPr>
        <w:t>cid-co-glycolic acid) (PLGA)</w:t>
      </w:r>
      <w:r w:rsidR="00D7165C" w:rsidRPr="007721FB">
        <w:rPr>
          <w:rFonts w:ascii="Times New Roman" w:hAnsi="Times New Roman" w:cs="Times New Roman"/>
          <w:sz w:val="24"/>
          <w:szCs w:val="24"/>
        </w:rPr>
        <w:t xml:space="preserve"> micelles</w:t>
      </w:r>
      <w:r w:rsidRPr="007721FB">
        <w:rPr>
          <w:rFonts w:ascii="Times New Roman" w:hAnsi="Times New Roman" w:cs="Times New Roman"/>
          <w:sz w:val="24"/>
          <w:szCs w:val="24"/>
        </w:rPr>
        <w:t xml:space="preserve"> </w:t>
      </w:r>
      <w:r w:rsidR="00D7165C" w:rsidRPr="007721FB">
        <w:rPr>
          <w:rFonts w:ascii="Times New Roman" w:hAnsi="Times New Roman" w:cs="Times New Roman"/>
          <w:sz w:val="24"/>
          <w:szCs w:val="24"/>
        </w:rPr>
        <w:t>were used for bone-targeted delivery of the antibiotic vancomycin</w:t>
      </w:r>
      <w:r w:rsidR="007C5E68" w:rsidRPr="007721FB">
        <w:rPr>
          <w:rFonts w:ascii="Times New Roman" w:hAnsi="Times New Roman" w:cs="Times New Roman"/>
          <w:sz w:val="24"/>
          <w:szCs w:val="24"/>
        </w:rPr>
        <w:t xml:space="preserve"> </w:t>
      </w:r>
      <w:r w:rsidR="003477C9" w:rsidRPr="007721FB">
        <w:rPr>
          <w:rFonts w:ascii="Times New Roman" w:hAnsi="Times New Roman" w:cs="Times New Roman"/>
          <w:sz w:val="24"/>
          <w:szCs w:val="24"/>
        </w:rPr>
        <w:fldChar w:fldCharType="begin" w:fldLock="1"/>
      </w:r>
      <w:r w:rsidR="00F1599C" w:rsidRPr="007721FB">
        <w:rPr>
          <w:rFonts w:ascii="Times New Roman" w:hAnsi="Times New Roman" w:cs="Times New Roman"/>
          <w:sz w:val="24"/>
          <w:szCs w:val="24"/>
        </w:rPr>
        <w:instrText>ADDIN CSL_CITATION { "citationItems" : [ { "id" : "ITEM-1", "itemData" : { "DOI" : "10.1080/09205063.2015.1053170", "ISSN" : "1568-5624", "PMID" : "25994241", "abstract" : "Osteomyelitis is a bone infection disease which is caused by bacteria or other germs, and could cause serious impact on the health and working capacity of the patients. Alendronate (ALN) can chelate strongly with the calcium ion of hydroxyapatite (HA) which is commonly used to treat osteoporosis. Nanomedicine has attracted a lot of attention in that the nano-sized carrier can deliver drug molecules to specific site of interest with the aid of targeting moiety and achieve sustained release, resulting in improved therapeutic effect and reduced side effect. In this study, micelles self-assembled from poly(lactic acid-co-glycolic acid)-block-poly(ethylene glycol)-alendronate (PLGA-PEG-ALN) copolymer were prepared for bone-targeted delivery of vancomycin (Van). The chemical structure of PLGA-PEG-ALN was confirmed by proton nuclear magnetic resonance (1H-NMR) spectroscopy. The formation of the nanoparticles was characterized by dynamic light scattering, transmission electronic microscopy as well as the critical micelle concentration measurement. Release profiles from the micelles revealed that the conjugation of ALN to the surface of micelle did not pose adverse effect on the drug-loading capacity and release behaviors. The cytotoxicity of Van-loaded PLGA-PEG-ALN micelles as well as the blank micelles was evaluated via 3-(4,5-dimethylthiazol-2-yl)-2,5-diphenyltetrazolium bromide assay toward rat bone marrow stromal cells (rBMSCs) and human embryonic hepatocytes (L02 cells), and results showed that this Van-loaded micelle possesses appropriate cytotoxicity and is safe in the potential treatment of osteomyelitis. The in vitro affinity of PLGA-PEG-ALN micelles to the HA was also confirmed in vitro. The antibacterial effect of Van-loaded PLGA-PEG-ALN micelles was tested against Staphylococcus aureus (SA) which is the main pathogenic bacteria in osteomyelitis, and the results showed that the Van-loaded micelles can effectively inhibit the growth of SA. These results demonstrated that the PLGA-PEG-ALN micelles may be potentially used for the bone targeted delivery of Van.", "author" : [ { "dropping-particle" : "", "family" : "Y.", "given" : "Cong", "non-dropping-particle" : "", "parse-names" : false, "suffix" : "" }, { "dropping-particle" : "", "family" : "C.", "given" : "Quan", "non-dropping-particle" : "", "parse-names" : false, "suffix" : "" }, { "dropping-particle" : "", "family" : "M.", "given" : "Liu", "non-dropping-particle" : "", "parse-names" : false, "suffix" : "" }, { "dropping-particle" : "", "family" : "J.", "given" : "Liu", "non-dropping-particle" : "", "parse-names" : false, "suffix" : "" }, { "dropping-particle" : "", "family" : "G.", "given" : "Huang", "non-dropping-particle" : "", "parse-names" : false, "suffix" : "" }, { "dropping-particle" : "", "family" : "G.", "given" : "Tong", "non-dropping-particle" : "", "parse-names" : false, "suffix" : "" }, { "dropping-particle" : "", "family" : "Y.", "given" : "Yin", "non-dropping-particle" : "", "parse-names" : false, "suffix" : "" }, { "dropping-particle" : "", "family" : "C.", "given" : "Zhang", "non-dropping-particle" : "", "parse-names" : false, "suffix" : "" }, { "dropping-particle" : "", "family" : "Q.", "given" : "Jiang", "non-dropping-particle" : "", "parse-names" : false, "suffix" : "" } ], "container-title" : "Journal of Biomaterials Science, Polymer Edition", "id" : "ITEM-1", "issue" : "11", "issued" : { "date-parts" : [ [ "2015" ] ] }, "page" : "629-643", "title" : "Alendronate-decorated biodegradable polymeric micelles for potential bone-targeted delivery of vancomycin", "type" : "article-journal", "volume" : "26" }, "uris" : [ "http://www.mendeley.com/documents/?uuid=77a58a29-a34f-422e-9f30-716dec520e6e", "http://www.mendeley.com/documents/?uuid=f7b8266f-7de9-4ae8-93cd-8ddd14d4e5b0" ] } ], "mendeley" : { "formattedCitation" : "[116]", "plainTextFormattedCitation" : "[116]", "previouslyFormattedCitation" : "[116]" }, "properties" : { "noteIndex" : 0 }, "schema" : "https://github.com/citation-style-language/schema/raw/master/csl-citation.json" }</w:instrText>
      </w:r>
      <w:r w:rsidR="003477C9" w:rsidRPr="007721FB">
        <w:rPr>
          <w:rFonts w:ascii="Times New Roman" w:hAnsi="Times New Roman" w:cs="Times New Roman"/>
          <w:sz w:val="24"/>
          <w:szCs w:val="24"/>
        </w:rPr>
        <w:fldChar w:fldCharType="separate"/>
      </w:r>
      <w:r w:rsidR="00F1599C" w:rsidRPr="007721FB">
        <w:rPr>
          <w:rFonts w:ascii="Times New Roman" w:hAnsi="Times New Roman" w:cs="Times New Roman"/>
          <w:noProof/>
          <w:sz w:val="24"/>
          <w:szCs w:val="24"/>
        </w:rPr>
        <w:t>[116]</w:t>
      </w:r>
      <w:r w:rsidR="003477C9" w:rsidRPr="007721FB">
        <w:rPr>
          <w:rFonts w:ascii="Times New Roman" w:hAnsi="Times New Roman" w:cs="Times New Roman"/>
          <w:sz w:val="24"/>
          <w:szCs w:val="24"/>
        </w:rPr>
        <w:fldChar w:fldCharType="end"/>
      </w:r>
      <w:r w:rsidR="007C5E68" w:rsidRPr="007721FB">
        <w:rPr>
          <w:rFonts w:ascii="Times New Roman" w:hAnsi="Times New Roman" w:cs="Times New Roman"/>
          <w:sz w:val="24"/>
          <w:szCs w:val="24"/>
        </w:rPr>
        <w:t>.</w:t>
      </w:r>
      <w:r w:rsidR="00E17E3A" w:rsidRPr="007721FB">
        <w:rPr>
          <w:rFonts w:ascii="Times New Roman" w:hAnsi="Times New Roman" w:cs="Times New Roman"/>
          <w:sz w:val="24"/>
          <w:szCs w:val="24"/>
        </w:rPr>
        <w:t xml:space="preserve"> </w:t>
      </w:r>
      <w:r w:rsidRPr="007721FB">
        <w:rPr>
          <w:rFonts w:ascii="Times New Roman" w:hAnsi="Times New Roman" w:cs="Times New Roman"/>
          <w:sz w:val="24"/>
          <w:szCs w:val="24"/>
        </w:rPr>
        <w:t>These</w:t>
      </w:r>
      <w:r w:rsidR="00E17E3A" w:rsidRPr="007721FB">
        <w:rPr>
          <w:rFonts w:ascii="Times New Roman" w:hAnsi="Times New Roman" w:cs="Times New Roman"/>
          <w:sz w:val="24"/>
          <w:szCs w:val="24"/>
        </w:rPr>
        <w:t xml:space="preserve"> </w:t>
      </w:r>
      <w:r w:rsidRPr="007721FB">
        <w:rPr>
          <w:rFonts w:ascii="Times New Roman" w:hAnsi="Times New Roman" w:cs="Times New Roman"/>
          <w:sz w:val="24"/>
          <w:szCs w:val="24"/>
        </w:rPr>
        <w:t xml:space="preserve">micellar carriers </w:t>
      </w:r>
      <w:r w:rsidR="005865E4" w:rsidRPr="007721FB">
        <w:rPr>
          <w:rFonts w:ascii="Times New Roman" w:hAnsi="Times New Roman" w:cs="Times New Roman"/>
          <w:sz w:val="24"/>
          <w:szCs w:val="24"/>
        </w:rPr>
        <w:t>showed</w:t>
      </w:r>
      <w:r w:rsidR="00E17E3A" w:rsidRPr="007721FB">
        <w:rPr>
          <w:rFonts w:ascii="Times New Roman" w:hAnsi="Times New Roman" w:cs="Times New Roman"/>
          <w:sz w:val="24"/>
          <w:szCs w:val="24"/>
        </w:rPr>
        <w:t xml:space="preserve"> faster </w:t>
      </w:r>
      <w:r w:rsidR="007C5E68" w:rsidRPr="007721FB">
        <w:rPr>
          <w:rFonts w:ascii="Times New Roman" w:hAnsi="Times New Roman" w:cs="Times New Roman"/>
          <w:sz w:val="24"/>
          <w:szCs w:val="24"/>
        </w:rPr>
        <w:t>vancomycin</w:t>
      </w:r>
      <w:r w:rsidR="00E17E3A" w:rsidRPr="007721FB">
        <w:rPr>
          <w:rFonts w:ascii="Times New Roman" w:hAnsi="Times New Roman" w:cs="Times New Roman"/>
          <w:sz w:val="24"/>
          <w:szCs w:val="24"/>
        </w:rPr>
        <w:t xml:space="preserve"> release profiles</w:t>
      </w:r>
      <w:r w:rsidR="005865E4" w:rsidRPr="007721FB">
        <w:rPr>
          <w:rFonts w:ascii="Times New Roman" w:hAnsi="Times New Roman" w:cs="Times New Roman"/>
          <w:sz w:val="24"/>
          <w:szCs w:val="24"/>
        </w:rPr>
        <w:t xml:space="preserve"> at pH=5.0 when compared to that obtained under physiological conditions. </w:t>
      </w:r>
      <w:r w:rsidRPr="007721FB">
        <w:rPr>
          <w:rFonts w:ascii="Times New Roman" w:hAnsi="Times New Roman" w:cs="Times New Roman"/>
          <w:sz w:val="24"/>
          <w:szCs w:val="24"/>
        </w:rPr>
        <w:t>Interestingly</w:t>
      </w:r>
      <w:r w:rsidR="00BE0688" w:rsidRPr="007721FB">
        <w:rPr>
          <w:rFonts w:ascii="Times New Roman" w:hAnsi="Times New Roman" w:cs="Times New Roman"/>
          <w:sz w:val="24"/>
          <w:szCs w:val="24"/>
        </w:rPr>
        <w:t xml:space="preserve">, the binding affinity to </w:t>
      </w:r>
      <w:r w:rsidR="00A902B4" w:rsidRPr="007721FB">
        <w:rPr>
          <w:rFonts w:ascii="Times New Roman" w:hAnsi="Times New Roman" w:cs="Times New Roman"/>
          <w:sz w:val="24"/>
          <w:szCs w:val="24"/>
        </w:rPr>
        <w:t xml:space="preserve">hydroxyapatite </w:t>
      </w:r>
      <w:r w:rsidR="00BE0688" w:rsidRPr="007721FB">
        <w:rPr>
          <w:rFonts w:ascii="Times New Roman" w:hAnsi="Times New Roman" w:cs="Times New Roman"/>
          <w:sz w:val="24"/>
          <w:szCs w:val="24"/>
        </w:rPr>
        <w:t>was unaffected by external pH and therefore these micelles may constitute a suitable nanocarrier for</w:t>
      </w:r>
      <w:r w:rsidR="005865E4" w:rsidRPr="007721FB">
        <w:rPr>
          <w:rFonts w:ascii="Times New Roman" w:hAnsi="Times New Roman" w:cs="Times New Roman"/>
          <w:sz w:val="24"/>
          <w:szCs w:val="24"/>
        </w:rPr>
        <w:t xml:space="preserve"> </w:t>
      </w:r>
      <w:r w:rsidR="007C5E68" w:rsidRPr="007721FB">
        <w:rPr>
          <w:rFonts w:ascii="Times New Roman" w:hAnsi="Times New Roman" w:cs="Times New Roman"/>
          <w:sz w:val="24"/>
          <w:szCs w:val="24"/>
        </w:rPr>
        <w:t>stimuli-responsive</w:t>
      </w:r>
      <w:r w:rsidR="00BE0688" w:rsidRPr="007721FB">
        <w:rPr>
          <w:rFonts w:ascii="Times New Roman" w:hAnsi="Times New Roman" w:cs="Times New Roman"/>
          <w:sz w:val="24"/>
          <w:szCs w:val="24"/>
        </w:rPr>
        <w:t xml:space="preserve"> treatment of osteomyelitis.</w:t>
      </w:r>
      <w:r w:rsidRPr="007721FB">
        <w:rPr>
          <w:rFonts w:ascii="Times New Roman" w:hAnsi="Times New Roman" w:cs="Times New Roman"/>
          <w:sz w:val="24"/>
          <w:szCs w:val="24"/>
        </w:rPr>
        <w:t xml:space="preserve"> </w:t>
      </w:r>
      <w:r w:rsidR="00ED6EBD" w:rsidRPr="007721FB">
        <w:rPr>
          <w:rFonts w:ascii="Times New Roman" w:hAnsi="Times New Roman" w:cs="Times New Roman"/>
          <w:sz w:val="24"/>
          <w:szCs w:val="24"/>
        </w:rPr>
        <w:t>However,</w:t>
      </w:r>
      <w:r w:rsidR="00193EF3" w:rsidRPr="007721FB">
        <w:rPr>
          <w:rFonts w:ascii="Times New Roman" w:hAnsi="Times New Roman" w:cs="Times New Roman"/>
          <w:sz w:val="24"/>
          <w:szCs w:val="24"/>
        </w:rPr>
        <w:t xml:space="preserve"> it is important to emphasize that</w:t>
      </w:r>
      <w:r w:rsidR="00ED6EBD" w:rsidRPr="007721FB">
        <w:rPr>
          <w:rFonts w:ascii="Times New Roman" w:hAnsi="Times New Roman" w:cs="Times New Roman"/>
          <w:sz w:val="24"/>
          <w:szCs w:val="24"/>
        </w:rPr>
        <w:t xml:space="preserve"> for early </w:t>
      </w:r>
      <w:r w:rsidR="00D154D8" w:rsidRPr="007721FB">
        <w:rPr>
          <w:rFonts w:ascii="Times New Roman" w:hAnsi="Times New Roman" w:cs="Times New Roman"/>
          <w:sz w:val="24"/>
          <w:szCs w:val="24"/>
        </w:rPr>
        <w:t xml:space="preserve">stage </w:t>
      </w:r>
      <w:r w:rsidR="00ED6EBD" w:rsidRPr="007721FB">
        <w:rPr>
          <w:rFonts w:ascii="Times New Roman" w:hAnsi="Times New Roman" w:cs="Times New Roman"/>
          <w:sz w:val="24"/>
          <w:szCs w:val="24"/>
        </w:rPr>
        <w:t xml:space="preserve">osteomyelitis, the acidic environment may not be </w:t>
      </w:r>
      <w:r w:rsidRPr="007721FB">
        <w:rPr>
          <w:rFonts w:ascii="Times New Roman" w:hAnsi="Times New Roman" w:cs="Times New Roman"/>
          <w:sz w:val="24"/>
          <w:szCs w:val="24"/>
        </w:rPr>
        <w:t>sufficient to be used as a drug release trigger</w:t>
      </w:r>
      <w:r w:rsidR="00193EF3" w:rsidRPr="007721FB">
        <w:rPr>
          <w:rFonts w:ascii="Times New Roman" w:hAnsi="Times New Roman" w:cs="Times New Roman"/>
          <w:sz w:val="24"/>
          <w:szCs w:val="24"/>
        </w:rPr>
        <w:t>, thus</w:t>
      </w:r>
      <w:r w:rsidR="00F40B17" w:rsidRPr="007721FB">
        <w:rPr>
          <w:rFonts w:ascii="Times New Roman" w:hAnsi="Times New Roman" w:cs="Times New Roman"/>
          <w:sz w:val="24"/>
          <w:szCs w:val="24"/>
        </w:rPr>
        <w:t xml:space="preserve"> limiting</w:t>
      </w:r>
      <w:r w:rsidR="00A902B4" w:rsidRPr="007721FB">
        <w:rPr>
          <w:rFonts w:ascii="Times New Roman" w:hAnsi="Times New Roman" w:cs="Times New Roman"/>
          <w:sz w:val="24"/>
          <w:szCs w:val="24"/>
        </w:rPr>
        <w:t xml:space="preserve"> </w:t>
      </w:r>
      <w:r w:rsidRPr="007721FB">
        <w:rPr>
          <w:rFonts w:ascii="Times New Roman" w:hAnsi="Times New Roman" w:cs="Times New Roman"/>
          <w:sz w:val="24"/>
          <w:szCs w:val="24"/>
        </w:rPr>
        <w:t>drugs</w:t>
      </w:r>
      <w:r w:rsidR="00F43C19" w:rsidRPr="007721FB">
        <w:rPr>
          <w:rFonts w:ascii="Times New Roman" w:hAnsi="Times New Roman" w:cs="Times New Roman"/>
          <w:sz w:val="24"/>
          <w:szCs w:val="24"/>
        </w:rPr>
        <w:t xml:space="preserve"> therapeutic efficacy</w:t>
      </w:r>
      <w:r w:rsidRPr="007721FB">
        <w:rPr>
          <w:rFonts w:ascii="Times New Roman" w:hAnsi="Times New Roman" w:cs="Times New Roman"/>
          <w:sz w:val="24"/>
          <w:szCs w:val="24"/>
        </w:rPr>
        <w:t xml:space="preserve"> before disease progression</w:t>
      </w:r>
      <w:r w:rsidR="00ED6EBD" w:rsidRPr="007721FB">
        <w:rPr>
          <w:rFonts w:ascii="Times New Roman" w:hAnsi="Times New Roman" w:cs="Times New Roman"/>
          <w:sz w:val="24"/>
          <w:szCs w:val="24"/>
        </w:rPr>
        <w:t xml:space="preserve">. </w:t>
      </w:r>
    </w:p>
    <w:p w14:paraId="58CCC949" w14:textId="2610D1B4" w:rsidR="006109BE" w:rsidRPr="007721FB" w:rsidRDefault="00193EF3" w:rsidP="00EE0E61">
      <w:pPr>
        <w:spacing w:after="0" w:line="240" w:lineRule="auto"/>
        <w:jc w:val="both"/>
        <w:rPr>
          <w:rFonts w:ascii="Times New Roman" w:hAnsi="Times New Roman" w:cs="Times New Roman"/>
          <w:sz w:val="24"/>
          <w:szCs w:val="24"/>
        </w:rPr>
      </w:pPr>
      <w:r w:rsidRPr="007721FB">
        <w:rPr>
          <w:rFonts w:ascii="Times New Roman" w:hAnsi="Times New Roman" w:cs="Times New Roman"/>
          <w:sz w:val="24"/>
          <w:szCs w:val="24"/>
        </w:rPr>
        <w:t xml:space="preserve">   Such could be overcome by</w:t>
      </w:r>
      <w:r w:rsidR="00FE2E93" w:rsidRPr="007721FB">
        <w:rPr>
          <w:rFonts w:ascii="Times New Roman" w:hAnsi="Times New Roman" w:cs="Times New Roman"/>
          <w:sz w:val="24"/>
          <w:szCs w:val="24"/>
        </w:rPr>
        <w:t xml:space="preserve"> engineering</w:t>
      </w:r>
      <w:r w:rsidRPr="007721FB">
        <w:rPr>
          <w:rFonts w:ascii="Times New Roman" w:hAnsi="Times New Roman" w:cs="Times New Roman"/>
          <w:sz w:val="24"/>
          <w:szCs w:val="24"/>
        </w:rPr>
        <w:t xml:space="preserve"> </w:t>
      </w:r>
      <w:r w:rsidR="00F40B17" w:rsidRPr="007721FB">
        <w:rPr>
          <w:rFonts w:ascii="Times New Roman" w:hAnsi="Times New Roman" w:cs="Times New Roman"/>
          <w:sz w:val="24"/>
          <w:szCs w:val="24"/>
        </w:rPr>
        <w:t>h</w:t>
      </w:r>
      <w:r w:rsidR="00D74AE2" w:rsidRPr="007721FB">
        <w:rPr>
          <w:rFonts w:ascii="Times New Roman" w:hAnsi="Times New Roman" w:cs="Times New Roman"/>
          <w:sz w:val="24"/>
          <w:szCs w:val="24"/>
        </w:rPr>
        <w:t>ighly sensitive</w:t>
      </w:r>
      <w:r w:rsidR="00ED6EBD" w:rsidRPr="007721FB">
        <w:rPr>
          <w:rFonts w:ascii="Times New Roman" w:hAnsi="Times New Roman" w:cs="Times New Roman"/>
          <w:sz w:val="24"/>
          <w:szCs w:val="24"/>
        </w:rPr>
        <w:t xml:space="preserve"> pH-responsive </w:t>
      </w:r>
      <w:r w:rsidR="00D03737" w:rsidRPr="007721FB">
        <w:rPr>
          <w:rFonts w:ascii="Times New Roman" w:hAnsi="Times New Roman" w:cs="Times New Roman"/>
          <w:sz w:val="24"/>
          <w:szCs w:val="24"/>
        </w:rPr>
        <w:t>systems</w:t>
      </w:r>
      <w:r w:rsidR="00ED6EBD" w:rsidRPr="007721FB">
        <w:rPr>
          <w:rFonts w:ascii="Times New Roman" w:hAnsi="Times New Roman" w:cs="Times New Roman"/>
          <w:sz w:val="24"/>
          <w:szCs w:val="24"/>
        </w:rPr>
        <w:t xml:space="preserve"> </w:t>
      </w:r>
      <w:r w:rsidRPr="007721FB">
        <w:rPr>
          <w:rFonts w:ascii="Times New Roman" w:hAnsi="Times New Roman" w:cs="Times New Roman"/>
          <w:sz w:val="24"/>
          <w:szCs w:val="24"/>
        </w:rPr>
        <w:t>as those recently developed by</w:t>
      </w:r>
      <w:r w:rsidR="00D74AE2" w:rsidRPr="007721FB">
        <w:rPr>
          <w:rFonts w:ascii="Times New Roman" w:hAnsi="Times New Roman" w:cs="Times New Roman"/>
          <w:sz w:val="24"/>
          <w:szCs w:val="24"/>
        </w:rPr>
        <w:t xml:space="preserve"> </w:t>
      </w:r>
      <w:r w:rsidR="00921208" w:rsidRPr="007721FB">
        <w:rPr>
          <w:rFonts w:ascii="Times New Roman" w:hAnsi="Times New Roman" w:cs="Times New Roman"/>
          <w:sz w:val="24"/>
          <w:szCs w:val="24"/>
        </w:rPr>
        <w:t xml:space="preserve">Sethuraman </w:t>
      </w:r>
      <w:r w:rsidR="00D74AE2" w:rsidRPr="007721FB">
        <w:rPr>
          <w:rFonts w:ascii="Times New Roman" w:hAnsi="Times New Roman" w:cs="Times New Roman"/>
          <w:sz w:val="24"/>
          <w:szCs w:val="24"/>
        </w:rPr>
        <w:t>and co-workers</w:t>
      </w:r>
      <w:r w:rsidRPr="007721FB">
        <w:rPr>
          <w:rFonts w:ascii="Times New Roman" w:hAnsi="Times New Roman" w:cs="Times New Roman"/>
          <w:sz w:val="24"/>
          <w:szCs w:val="24"/>
        </w:rPr>
        <w:t xml:space="preserve">. These researchers </w:t>
      </w:r>
      <w:r w:rsidR="00D74AE2" w:rsidRPr="007721FB">
        <w:rPr>
          <w:rFonts w:ascii="Times New Roman" w:hAnsi="Times New Roman" w:cs="Times New Roman"/>
          <w:sz w:val="24"/>
          <w:szCs w:val="24"/>
        </w:rPr>
        <w:t>produced</w:t>
      </w:r>
      <w:r w:rsidR="00ED6EBD" w:rsidRPr="007721FB">
        <w:rPr>
          <w:rFonts w:ascii="Times New Roman" w:hAnsi="Times New Roman" w:cs="Times New Roman"/>
          <w:sz w:val="24"/>
          <w:szCs w:val="24"/>
        </w:rPr>
        <w:t xml:space="preserve"> </w:t>
      </w:r>
      <w:r w:rsidR="00D03737" w:rsidRPr="007721FB">
        <w:rPr>
          <w:rFonts w:ascii="Times New Roman" w:hAnsi="Times New Roman" w:cs="Times New Roman"/>
          <w:sz w:val="24"/>
          <w:szCs w:val="24"/>
        </w:rPr>
        <w:t>a two component</w:t>
      </w:r>
      <w:r w:rsidR="00A902B4" w:rsidRPr="007721FB">
        <w:rPr>
          <w:rFonts w:ascii="Times New Roman" w:hAnsi="Times New Roman" w:cs="Times New Roman"/>
          <w:sz w:val="24"/>
          <w:szCs w:val="24"/>
        </w:rPr>
        <w:t xml:space="preserve"> pH-mediated charge-shifting</w:t>
      </w:r>
      <w:r w:rsidR="00D03737" w:rsidRPr="007721FB">
        <w:rPr>
          <w:rFonts w:ascii="Times New Roman" w:hAnsi="Times New Roman" w:cs="Times New Roman"/>
          <w:sz w:val="24"/>
          <w:szCs w:val="24"/>
        </w:rPr>
        <w:t xml:space="preserve"> nanocarrier</w:t>
      </w:r>
      <w:r w:rsidR="00FE2E93" w:rsidRPr="007721FB">
        <w:rPr>
          <w:rFonts w:ascii="Times New Roman" w:hAnsi="Times New Roman" w:cs="Times New Roman"/>
          <w:sz w:val="24"/>
          <w:szCs w:val="24"/>
        </w:rPr>
        <w:t xml:space="preserve"> comprised by</w:t>
      </w:r>
      <w:r w:rsidR="00D03737" w:rsidRPr="007721FB">
        <w:rPr>
          <w:rFonts w:ascii="Times New Roman" w:hAnsi="Times New Roman" w:cs="Times New Roman"/>
          <w:sz w:val="24"/>
          <w:szCs w:val="24"/>
        </w:rPr>
        <w:t xml:space="preserve">: </w:t>
      </w:r>
      <w:r w:rsidR="00BD3F38" w:rsidRPr="007721FB">
        <w:rPr>
          <w:rFonts w:ascii="Times New Roman" w:hAnsi="Times New Roman" w:cs="Times New Roman"/>
          <w:sz w:val="24"/>
          <w:szCs w:val="24"/>
        </w:rPr>
        <w:t>(</w:t>
      </w:r>
      <w:r w:rsidR="00D03737" w:rsidRPr="007721FB">
        <w:rPr>
          <w:rFonts w:ascii="Times New Roman" w:hAnsi="Times New Roman" w:cs="Times New Roman"/>
          <w:sz w:val="24"/>
          <w:szCs w:val="24"/>
        </w:rPr>
        <w:t xml:space="preserve">i) PLA-b-PEG </w:t>
      </w:r>
      <w:r w:rsidR="00FE2E93" w:rsidRPr="007721FB">
        <w:rPr>
          <w:rFonts w:ascii="Times New Roman" w:hAnsi="Times New Roman" w:cs="Times New Roman"/>
          <w:sz w:val="24"/>
          <w:szCs w:val="24"/>
        </w:rPr>
        <w:t>diblock copolymers</w:t>
      </w:r>
      <w:r w:rsidR="00D03737" w:rsidRPr="007721FB">
        <w:rPr>
          <w:rFonts w:ascii="Times New Roman" w:hAnsi="Times New Roman" w:cs="Times New Roman"/>
          <w:sz w:val="24"/>
          <w:szCs w:val="24"/>
        </w:rPr>
        <w:t xml:space="preserve"> conjugated to TAT cell penetrating peptide</w:t>
      </w:r>
      <w:r w:rsidR="00FE2E93" w:rsidRPr="007721FB">
        <w:rPr>
          <w:rFonts w:ascii="Times New Roman" w:hAnsi="Times New Roman" w:cs="Times New Roman"/>
          <w:sz w:val="24"/>
          <w:szCs w:val="24"/>
        </w:rPr>
        <w:t xml:space="preserve"> and</w:t>
      </w:r>
      <w:r w:rsidR="00D03737" w:rsidRPr="007721FB">
        <w:rPr>
          <w:rFonts w:ascii="Times New Roman" w:hAnsi="Times New Roman" w:cs="Times New Roman"/>
          <w:sz w:val="24"/>
          <w:szCs w:val="24"/>
        </w:rPr>
        <w:t xml:space="preserve"> </w:t>
      </w:r>
      <w:r w:rsidR="00BD3F38" w:rsidRPr="007721FB">
        <w:rPr>
          <w:rFonts w:ascii="Times New Roman" w:hAnsi="Times New Roman" w:cs="Times New Roman"/>
          <w:sz w:val="24"/>
          <w:szCs w:val="24"/>
        </w:rPr>
        <w:t>(</w:t>
      </w:r>
      <w:r w:rsidR="00D03737" w:rsidRPr="007721FB">
        <w:rPr>
          <w:rFonts w:ascii="Times New Roman" w:hAnsi="Times New Roman" w:cs="Times New Roman"/>
          <w:sz w:val="24"/>
          <w:szCs w:val="24"/>
        </w:rPr>
        <w:t>ii) pH-sensitive diblock copolymer poly(L-cystine bisamide-g-sulfadiazine)-b-PEG (PCBS</w:t>
      </w:r>
      <w:r w:rsidR="00FD7CCD" w:rsidRPr="007721FB">
        <w:rPr>
          <w:rFonts w:ascii="Times New Roman" w:hAnsi="Times New Roman" w:cs="Times New Roman"/>
          <w:sz w:val="24"/>
          <w:szCs w:val="24"/>
        </w:rPr>
        <w:t>23K</w:t>
      </w:r>
      <w:r w:rsidR="00D03737" w:rsidRPr="007721FB">
        <w:rPr>
          <w:rFonts w:ascii="Times New Roman" w:hAnsi="Times New Roman" w:cs="Times New Roman"/>
          <w:sz w:val="24"/>
          <w:szCs w:val="24"/>
        </w:rPr>
        <w:t>-b-PEG</w:t>
      </w:r>
      <w:r w:rsidR="00FD7CCD" w:rsidRPr="007721FB">
        <w:rPr>
          <w:rFonts w:ascii="Times New Roman" w:hAnsi="Times New Roman" w:cs="Times New Roman"/>
          <w:sz w:val="24"/>
          <w:szCs w:val="24"/>
        </w:rPr>
        <w:t>5K</w:t>
      </w:r>
      <w:r w:rsidR="00D03737" w:rsidRPr="007721FB">
        <w:rPr>
          <w:rFonts w:ascii="Times New Roman" w:hAnsi="Times New Roman" w:cs="Times New Roman"/>
          <w:sz w:val="24"/>
          <w:szCs w:val="24"/>
        </w:rPr>
        <w:t>)</w:t>
      </w:r>
      <w:r w:rsidRPr="007721FB">
        <w:rPr>
          <w:rFonts w:ascii="Times New Roman" w:hAnsi="Times New Roman" w:cs="Times New Roman"/>
          <w:sz w:val="24"/>
          <w:szCs w:val="24"/>
        </w:rPr>
        <w:t xml:space="preserve"> </w:t>
      </w:r>
      <w:r w:rsidR="00D023C4" w:rsidRPr="007721FB">
        <w:rPr>
          <w:rFonts w:ascii="Times New Roman" w:hAnsi="Times New Roman" w:cs="Times New Roman"/>
          <w:sz w:val="24"/>
          <w:szCs w:val="24"/>
        </w:rPr>
        <w:fldChar w:fldCharType="begin" w:fldLock="1"/>
      </w:r>
      <w:r w:rsidR="00F1599C" w:rsidRPr="007721FB">
        <w:rPr>
          <w:rFonts w:ascii="Times New Roman" w:hAnsi="Times New Roman" w:cs="Times New Roman"/>
          <w:sz w:val="24"/>
          <w:szCs w:val="24"/>
        </w:rPr>
        <w:instrText>ADDIN CSL_CITATION { "citationItems" : [ { "id" : "ITEM-1", "itemData" : { "DOI" : "10.1007/s11095-007-9480-4", "ISBN" : "1109500794804", "ISSN" : "07248741", "PMID" : "17999164", "abstract" : "A new pH-sensitive micelle delivery system based on TAT cell penetrating peptide and biodegradable sulfonamide grafted disulfide polymer is presented. The system consists of two components: (1) A polymeric micelle made of Poly(L-lactic acid)-b-poly(ethylene glycol) (PLLA-b-PEG) conjugated to TAT (TAT-micelle), (2) A pH-sensitive diblock copolymer (poly(L-cystine bisamide-g-sulfadiazine))-b-PEG (PCBS-b-PEG). The anionic PCBS complexed with cationic TAT of TAT-micelles forms the final carrier. PCBS showed rapid degradation in the presence of cysteine. The TAT-micelles showed increase in particle size between pH 8.0 and 7.0 upon mixing with PCBS-b-PEG indicating complexation. As the pH was further decreased (pH 6.8 to 6.0) two populations were observed, one of normal TAT-micelles and the other of aggregated PCBS-b-PEG. Flow cytometry showed significantly higher uptake of TAT-micelles at pH 6.6 indicating deshielding compared to pH 7.4. The anticancer drug doxorubicin (DOX) was encapsulated into the TAT-micelles, and the in vitro cytotoxicity at different pHs was evaluated. The system was able to distinguish pHs 7.2 and 7.0 in terms of cytotoxicity.", "author" : [ { "dropping-particle" : "", "family" : "Sethuraman", "given" : "Vijay A.", "non-dropping-particle" : "", "parse-names" : false, "suffix" : "" }, { "dropping-particle" : "", "family" : "Lee", "given" : "Myung Cheon", "non-dropping-particle" : "", "parse-names" : false, "suffix" : "" }, { "dropping-particle" : "", "family" : "Bae", "given" : "You Han", "non-dropping-particle" : "", "parse-names" : false, "suffix" : "" } ], "container-title" : "Pharmaceutical Research", "id" : "ITEM-1", "issue" : "3", "issued" : { "date-parts" : [ [ "2008" ] ] }, "page" : "657-666", "title" : "A biodegradable pH-sensitive micelle system for targeting acidic solid tumors", "type" : "article-journal", "volume" : "25" }, "uris" : [ "http://www.mendeley.com/documents/?uuid=41451bf5-d875-4e8d-ba3a-5a47bdcc8128", "http://www.mendeley.com/documents/?uuid=be8ca17d-54c9-4d9e-b5e8-64463f6c4051" ] } ], "mendeley" : { "formattedCitation" : "[117]", "plainTextFormattedCitation" : "[117]", "previouslyFormattedCitation" : "[117]" }, "properties" : { "noteIndex" : 0 }, "schema" : "https://github.com/citation-style-language/schema/raw/master/csl-citation.json" }</w:instrText>
      </w:r>
      <w:r w:rsidR="00D023C4" w:rsidRPr="007721FB">
        <w:rPr>
          <w:rFonts w:ascii="Times New Roman" w:hAnsi="Times New Roman" w:cs="Times New Roman"/>
          <w:sz w:val="24"/>
          <w:szCs w:val="24"/>
        </w:rPr>
        <w:fldChar w:fldCharType="separate"/>
      </w:r>
      <w:r w:rsidR="00F1599C" w:rsidRPr="007721FB">
        <w:rPr>
          <w:rFonts w:ascii="Times New Roman" w:hAnsi="Times New Roman" w:cs="Times New Roman"/>
          <w:noProof/>
          <w:sz w:val="24"/>
          <w:szCs w:val="24"/>
        </w:rPr>
        <w:t>[117]</w:t>
      </w:r>
      <w:r w:rsidR="00D023C4" w:rsidRPr="007721FB">
        <w:rPr>
          <w:rFonts w:ascii="Times New Roman" w:hAnsi="Times New Roman" w:cs="Times New Roman"/>
          <w:sz w:val="24"/>
          <w:szCs w:val="24"/>
        </w:rPr>
        <w:fldChar w:fldCharType="end"/>
      </w:r>
      <w:r w:rsidRPr="007721FB">
        <w:rPr>
          <w:rFonts w:ascii="Times New Roman" w:hAnsi="Times New Roman" w:cs="Times New Roman"/>
          <w:sz w:val="24"/>
          <w:szCs w:val="24"/>
        </w:rPr>
        <w:t>.</w:t>
      </w:r>
      <w:r w:rsidR="00D03737" w:rsidRPr="007721FB">
        <w:rPr>
          <w:rFonts w:ascii="Times New Roman" w:hAnsi="Times New Roman" w:cs="Times New Roman"/>
          <w:sz w:val="24"/>
          <w:szCs w:val="24"/>
        </w:rPr>
        <w:t xml:space="preserve"> At physiological pH, sulfadiazine is negatively charged and shield</w:t>
      </w:r>
      <w:r w:rsidR="00A902B4" w:rsidRPr="007721FB">
        <w:rPr>
          <w:rFonts w:ascii="Times New Roman" w:hAnsi="Times New Roman" w:cs="Times New Roman"/>
          <w:sz w:val="24"/>
          <w:szCs w:val="24"/>
        </w:rPr>
        <w:t>s</w:t>
      </w:r>
      <w:r w:rsidR="00D03737" w:rsidRPr="007721FB">
        <w:rPr>
          <w:rFonts w:ascii="Times New Roman" w:hAnsi="Times New Roman" w:cs="Times New Roman"/>
          <w:sz w:val="24"/>
          <w:szCs w:val="24"/>
        </w:rPr>
        <w:t xml:space="preserve"> the TAT-micelle by </w:t>
      </w:r>
      <w:r w:rsidR="00D023C4" w:rsidRPr="007721FB">
        <w:rPr>
          <w:rFonts w:ascii="Times New Roman" w:hAnsi="Times New Roman" w:cs="Times New Roman"/>
          <w:sz w:val="24"/>
          <w:szCs w:val="24"/>
        </w:rPr>
        <w:t>electrostatic</w:t>
      </w:r>
      <w:r w:rsidR="00D03737" w:rsidRPr="007721FB">
        <w:rPr>
          <w:rFonts w:ascii="Times New Roman" w:hAnsi="Times New Roman" w:cs="Times New Roman"/>
          <w:sz w:val="24"/>
          <w:szCs w:val="24"/>
        </w:rPr>
        <w:t xml:space="preserve"> interactions</w:t>
      </w:r>
      <w:r w:rsidR="00A902B4" w:rsidRPr="007721FB">
        <w:rPr>
          <w:rFonts w:ascii="Times New Roman" w:hAnsi="Times New Roman" w:cs="Times New Roman"/>
          <w:sz w:val="24"/>
          <w:szCs w:val="24"/>
        </w:rPr>
        <w:t xml:space="preserve">. Upon a decrease in </w:t>
      </w:r>
      <w:r w:rsidR="00D03737" w:rsidRPr="007721FB">
        <w:rPr>
          <w:rFonts w:ascii="Times New Roman" w:hAnsi="Times New Roman" w:cs="Times New Roman"/>
          <w:sz w:val="24"/>
          <w:szCs w:val="24"/>
        </w:rPr>
        <w:t xml:space="preserve">pH, </w:t>
      </w:r>
      <w:r w:rsidR="00A902B4" w:rsidRPr="007721FB">
        <w:rPr>
          <w:rFonts w:ascii="Times New Roman" w:hAnsi="Times New Roman" w:cs="Times New Roman"/>
          <w:sz w:val="24"/>
          <w:szCs w:val="24"/>
        </w:rPr>
        <w:t>sulfadiazine becomes neutral</w:t>
      </w:r>
      <w:r w:rsidR="00D03737" w:rsidRPr="007721FB">
        <w:rPr>
          <w:rFonts w:ascii="Times New Roman" w:hAnsi="Times New Roman" w:cs="Times New Roman"/>
          <w:sz w:val="24"/>
          <w:szCs w:val="24"/>
        </w:rPr>
        <w:t xml:space="preserve"> and detaches from the TAT-micelle, exposing</w:t>
      </w:r>
      <w:r w:rsidR="001D233D" w:rsidRPr="007721FB">
        <w:rPr>
          <w:rFonts w:ascii="Times New Roman" w:hAnsi="Times New Roman" w:cs="Times New Roman"/>
          <w:sz w:val="24"/>
          <w:szCs w:val="24"/>
        </w:rPr>
        <w:t xml:space="preserve"> TAT for interaction with nearby cells, while the PCBS moiety is degraded by glutathione. This polymeric micelle </w:t>
      </w:r>
      <w:r w:rsidR="005B2E14" w:rsidRPr="007721FB">
        <w:rPr>
          <w:rFonts w:ascii="Times New Roman" w:hAnsi="Times New Roman" w:cs="Times New Roman"/>
          <w:sz w:val="24"/>
          <w:szCs w:val="24"/>
        </w:rPr>
        <w:t xml:space="preserve">markedly enhanced DOX cytotoxicity </w:t>
      </w:r>
      <w:r w:rsidR="00ED6EBD" w:rsidRPr="007721FB">
        <w:rPr>
          <w:rFonts w:ascii="Times New Roman" w:hAnsi="Times New Roman" w:cs="Times New Roman"/>
          <w:sz w:val="24"/>
          <w:szCs w:val="24"/>
        </w:rPr>
        <w:t xml:space="preserve">within 0.2 pH units </w:t>
      </w:r>
      <w:r w:rsidR="00D03737" w:rsidRPr="007721FB">
        <w:rPr>
          <w:rFonts w:ascii="Times New Roman" w:hAnsi="Times New Roman" w:cs="Times New Roman"/>
          <w:sz w:val="24"/>
          <w:szCs w:val="24"/>
        </w:rPr>
        <w:t>below of pH 7.2</w:t>
      </w:r>
      <w:r w:rsidR="00FE2E93" w:rsidRPr="007721FB">
        <w:rPr>
          <w:rFonts w:ascii="Times New Roman" w:hAnsi="Times New Roman" w:cs="Times New Roman"/>
          <w:sz w:val="24"/>
          <w:szCs w:val="24"/>
        </w:rPr>
        <w:t xml:space="preserve"> </w:t>
      </w:r>
      <w:r w:rsidR="00CB4647" w:rsidRPr="007721FB">
        <w:rPr>
          <w:rFonts w:ascii="Times New Roman" w:hAnsi="Times New Roman" w:cs="Times New Roman"/>
          <w:sz w:val="24"/>
          <w:szCs w:val="24"/>
        </w:rPr>
        <w:fldChar w:fldCharType="begin" w:fldLock="1"/>
      </w:r>
      <w:r w:rsidR="00F1599C" w:rsidRPr="007721FB">
        <w:rPr>
          <w:rFonts w:ascii="Times New Roman" w:hAnsi="Times New Roman" w:cs="Times New Roman"/>
          <w:sz w:val="24"/>
          <w:szCs w:val="24"/>
        </w:rPr>
        <w:instrText>ADDIN CSL_CITATION { "citationItems" : [ { "id" : "ITEM-1", "itemData" : { "DOI" : "10.1007/s11095-007-9480-4", "ISBN" : "1109500794804", "ISSN" : "07248741", "PMID" : "17999164", "abstract" : "A new pH-sensitive micelle delivery system based on TAT cell penetrating peptide and biodegradable sulfonamide grafted disulfide polymer is presented. The system consists of two components: (1) A polymeric micelle made of Poly(L-lactic acid)-b-poly(ethylene glycol) (PLLA-b-PEG) conjugated to TAT (TAT-micelle), (2) A pH-sensitive diblock copolymer (poly(L-cystine bisamide-g-sulfadiazine))-b-PEG (PCBS-b-PEG). The anionic PCBS complexed with cationic TAT of TAT-micelles forms the final carrier. PCBS showed rapid degradation in the presence of cysteine. The TAT-micelles showed increase in particle size between pH 8.0 and 7.0 upon mixing with PCBS-b-PEG indicating complexation. As the pH was further decreased (pH 6.8 to 6.0) two populations were observed, one of normal TAT-micelles and the other of aggregated PCBS-b-PEG. Flow cytometry showed significantly higher uptake of TAT-micelles at pH 6.6 indicating deshielding compared to pH 7.4. The anticancer drug doxorubicin (DOX) was encapsulated into the TAT-micelles, and the in vitro cytotoxicity at different pHs was evaluated. The system was able to distinguish pHs 7.2 and 7.0 in terms of cytotoxicity.", "author" : [ { "dropping-particle" : "", "family" : "Sethuraman", "given" : "Vijay A.", "non-dropping-particle" : "", "parse-names" : false, "suffix" : "" }, { "dropping-particle" : "", "family" : "Lee", "given" : "Myung Cheon", "non-dropping-particle" : "", "parse-names" : false, "suffix" : "" }, { "dropping-particle" : "", "family" : "Bae", "given" : "You Han", "non-dropping-particle" : "", "parse-names" : false, "suffix" : "" } ], "container-title" : "Pharmaceutical Research", "id" : "ITEM-1", "issue" : "3", "issued" : { "date-parts" : [ [ "2008" ] ] }, "page" : "657-666", "title" : "A biodegradable pH-sensitive micelle system for targeting acidic solid tumors", "type" : "article-journal", "volume" : "25" }, "uris" : [ "http://www.mendeley.com/documents/?uuid=be8ca17d-54c9-4d9e-b5e8-64463f6c4051", "http://www.mendeley.com/documents/?uuid=41451bf5-d875-4e8d-ba3a-5a47bdcc8128" ] } ], "mendeley" : { "formattedCitation" : "[117]", "plainTextFormattedCitation" : "[117]", "previouslyFormattedCitation" : "[117]" }, "properties" : { "noteIndex" : 0 }, "schema" : "https://github.com/citation-style-language/schema/raw/master/csl-citation.json" }</w:instrText>
      </w:r>
      <w:r w:rsidR="00CB4647" w:rsidRPr="007721FB">
        <w:rPr>
          <w:rFonts w:ascii="Times New Roman" w:hAnsi="Times New Roman" w:cs="Times New Roman"/>
          <w:sz w:val="24"/>
          <w:szCs w:val="24"/>
        </w:rPr>
        <w:fldChar w:fldCharType="separate"/>
      </w:r>
      <w:r w:rsidR="00F1599C" w:rsidRPr="007721FB">
        <w:rPr>
          <w:rFonts w:ascii="Times New Roman" w:hAnsi="Times New Roman" w:cs="Times New Roman"/>
          <w:noProof/>
          <w:sz w:val="24"/>
          <w:szCs w:val="24"/>
        </w:rPr>
        <w:t>[117]</w:t>
      </w:r>
      <w:r w:rsidR="00CB4647" w:rsidRPr="007721FB">
        <w:rPr>
          <w:rFonts w:ascii="Times New Roman" w:hAnsi="Times New Roman" w:cs="Times New Roman"/>
          <w:sz w:val="24"/>
          <w:szCs w:val="24"/>
        </w:rPr>
        <w:fldChar w:fldCharType="end"/>
      </w:r>
      <w:r w:rsidR="00FE2E93" w:rsidRPr="007721FB">
        <w:rPr>
          <w:rFonts w:ascii="Times New Roman" w:hAnsi="Times New Roman" w:cs="Times New Roman"/>
          <w:sz w:val="24"/>
          <w:szCs w:val="24"/>
        </w:rPr>
        <w:t>.</w:t>
      </w:r>
      <w:r w:rsidR="00ED6EBD" w:rsidRPr="007721FB">
        <w:rPr>
          <w:rFonts w:ascii="Times New Roman" w:hAnsi="Times New Roman" w:cs="Times New Roman"/>
          <w:sz w:val="24"/>
          <w:szCs w:val="24"/>
        </w:rPr>
        <w:t xml:space="preserve"> </w:t>
      </w:r>
      <w:r w:rsidR="00FE2E93" w:rsidRPr="007721FB">
        <w:rPr>
          <w:rFonts w:ascii="Times New Roman" w:hAnsi="Times New Roman" w:cs="Times New Roman"/>
          <w:sz w:val="24"/>
          <w:szCs w:val="24"/>
        </w:rPr>
        <w:t>T</w:t>
      </w:r>
      <w:r w:rsidR="00ED6EBD" w:rsidRPr="007721FB">
        <w:rPr>
          <w:rFonts w:ascii="Times New Roman" w:hAnsi="Times New Roman" w:cs="Times New Roman"/>
          <w:sz w:val="24"/>
          <w:szCs w:val="24"/>
        </w:rPr>
        <w:t>h</w:t>
      </w:r>
      <w:r w:rsidR="00BE0688" w:rsidRPr="007721FB">
        <w:rPr>
          <w:rFonts w:ascii="Times New Roman" w:hAnsi="Times New Roman" w:cs="Times New Roman"/>
          <w:sz w:val="24"/>
          <w:szCs w:val="24"/>
        </w:rPr>
        <w:t>is</w:t>
      </w:r>
      <w:r w:rsidR="00ED6EBD" w:rsidRPr="007721FB">
        <w:rPr>
          <w:rFonts w:ascii="Times New Roman" w:hAnsi="Times New Roman" w:cs="Times New Roman"/>
          <w:sz w:val="24"/>
          <w:szCs w:val="24"/>
        </w:rPr>
        <w:t xml:space="preserve"> </w:t>
      </w:r>
      <w:r w:rsidR="00D74AE2" w:rsidRPr="007721FB">
        <w:rPr>
          <w:rFonts w:ascii="Times New Roman" w:hAnsi="Times New Roman" w:cs="Times New Roman"/>
          <w:sz w:val="24"/>
          <w:szCs w:val="24"/>
        </w:rPr>
        <w:t xml:space="preserve">remarkably </w:t>
      </w:r>
      <w:r w:rsidR="00ED6EBD" w:rsidRPr="007721FB">
        <w:rPr>
          <w:rFonts w:ascii="Times New Roman" w:hAnsi="Times New Roman" w:cs="Times New Roman"/>
          <w:sz w:val="24"/>
          <w:szCs w:val="24"/>
        </w:rPr>
        <w:t xml:space="preserve">sensitive block may be an interesting design tweak for </w:t>
      </w:r>
      <w:r w:rsidR="00F43C19" w:rsidRPr="007721FB">
        <w:rPr>
          <w:rFonts w:ascii="Times New Roman" w:hAnsi="Times New Roman" w:cs="Times New Roman"/>
          <w:sz w:val="24"/>
          <w:szCs w:val="24"/>
        </w:rPr>
        <w:t>improving stimuli sensitivity</w:t>
      </w:r>
      <w:r w:rsidR="00ED6EBD" w:rsidRPr="007721FB">
        <w:rPr>
          <w:rFonts w:ascii="Times New Roman" w:hAnsi="Times New Roman" w:cs="Times New Roman"/>
          <w:sz w:val="24"/>
          <w:szCs w:val="24"/>
        </w:rPr>
        <w:t xml:space="preserve"> </w:t>
      </w:r>
      <w:r w:rsidR="00D74AE2" w:rsidRPr="007721FB">
        <w:rPr>
          <w:rFonts w:ascii="Times New Roman" w:hAnsi="Times New Roman" w:cs="Times New Roman"/>
          <w:sz w:val="24"/>
          <w:szCs w:val="24"/>
        </w:rPr>
        <w:t>during</w:t>
      </w:r>
      <w:r w:rsidR="00ED6EBD" w:rsidRPr="007721FB">
        <w:rPr>
          <w:rFonts w:ascii="Times New Roman" w:hAnsi="Times New Roman" w:cs="Times New Roman"/>
          <w:sz w:val="24"/>
          <w:szCs w:val="24"/>
        </w:rPr>
        <w:t xml:space="preserve"> the initial onset of osteomyelitis.</w:t>
      </w:r>
      <w:r w:rsidR="00CB4647" w:rsidRPr="007721FB">
        <w:rPr>
          <w:rFonts w:ascii="Times New Roman" w:hAnsi="Times New Roman" w:cs="Times New Roman"/>
          <w:sz w:val="24"/>
          <w:szCs w:val="24"/>
        </w:rPr>
        <w:t xml:space="preserve"> </w:t>
      </w:r>
    </w:p>
    <w:p w14:paraId="2272B95A" w14:textId="79C5573A" w:rsidR="000106AC" w:rsidRPr="007721FB" w:rsidRDefault="000106AC" w:rsidP="00D867DF">
      <w:pPr>
        <w:spacing w:after="0" w:line="240" w:lineRule="auto"/>
        <w:rPr>
          <w:rFonts w:ascii="Times New Roman" w:hAnsi="Times New Roman" w:cs="Times New Roman"/>
          <w:sz w:val="24"/>
          <w:szCs w:val="24"/>
        </w:rPr>
      </w:pPr>
    </w:p>
    <w:p w14:paraId="761B3C5A" w14:textId="489DEB4B" w:rsidR="009374C5" w:rsidRPr="007721FB" w:rsidRDefault="00461DB2" w:rsidP="00D867DF">
      <w:pPr>
        <w:spacing w:after="120" w:line="240" w:lineRule="auto"/>
        <w:jc w:val="both"/>
        <w:rPr>
          <w:rFonts w:ascii="Times New Roman" w:hAnsi="Times New Roman" w:cs="Times New Roman"/>
          <w:b/>
          <w:sz w:val="24"/>
          <w:szCs w:val="24"/>
        </w:rPr>
      </w:pPr>
      <w:bookmarkStart w:id="16" w:name="_Toc471752571"/>
      <w:bookmarkStart w:id="17" w:name="_Toc471829475"/>
      <w:r w:rsidRPr="007721FB">
        <w:rPr>
          <w:rFonts w:ascii="Times New Roman" w:hAnsi="Times New Roman" w:cs="Times New Roman"/>
          <w:b/>
          <w:sz w:val="24"/>
          <w:szCs w:val="24"/>
        </w:rPr>
        <w:t>3</w:t>
      </w:r>
      <w:r w:rsidR="009374C5" w:rsidRPr="007721FB">
        <w:rPr>
          <w:rFonts w:ascii="Times New Roman" w:hAnsi="Times New Roman" w:cs="Times New Roman"/>
          <w:b/>
          <w:sz w:val="24"/>
          <w:szCs w:val="24"/>
        </w:rPr>
        <w:t>.6 R</w:t>
      </w:r>
      <w:r w:rsidR="00D03C63" w:rsidRPr="007721FB">
        <w:rPr>
          <w:rFonts w:ascii="Times New Roman" w:hAnsi="Times New Roman" w:cs="Times New Roman"/>
          <w:b/>
          <w:sz w:val="24"/>
          <w:szCs w:val="24"/>
        </w:rPr>
        <w:t>edox-responsive</w:t>
      </w:r>
      <w:bookmarkEnd w:id="16"/>
      <w:bookmarkEnd w:id="17"/>
      <w:r w:rsidR="00186724" w:rsidRPr="007721FB">
        <w:rPr>
          <w:rFonts w:ascii="Times New Roman" w:hAnsi="Times New Roman" w:cs="Times New Roman"/>
          <w:b/>
          <w:sz w:val="24"/>
          <w:szCs w:val="24"/>
        </w:rPr>
        <w:t xml:space="preserve"> nanocarriers</w:t>
      </w:r>
    </w:p>
    <w:p w14:paraId="75F66CF1" w14:textId="6E49AE78" w:rsidR="007D21F8" w:rsidRPr="007721FB" w:rsidRDefault="003E5E1E" w:rsidP="00EE0E61">
      <w:pPr>
        <w:spacing w:after="0" w:line="240" w:lineRule="auto"/>
        <w:jc w:val="both"/>
        <w:rPr>
          <w:rFonts w:ascii="Times New Roman" w:hAnsi="Times New Roman" w:cs="Times New Roman"/>
          <w:sz w:val="24"/>
        </w:rPr>
      </w:pPr>
      <w:r w:rsidRPr="007721FB">
        <w:rPr>
          <w:rFonts w:ascii="Times New Roman" w:hAnsi="Times New Roman" w:cs="Times New Roman"/>
          <w:sz w:val="24"/>
          <w:szCs w:val="24"/>
        </w:rPr>
        <w:t xml:space="preserve">   </w:t>
      </w:r>
      <w:r w:rsidR="009374C5" w:rsidRPr="007721FB">
        <w:rPr>
          <w:rFonts w:ascii="Times New Roman" w:hAnsi="Times New Roman" w:cs="Times New Roman"/>
          <w:sz w:val="24"/>
          <w:szCs w:val="24"/>
        </w:rPr>
        <w:t>Redox</w:t>
      </w:r>
      <w:r w:rsidR="00B0121C" w:rsidRPr="007721FB">
        <w:rPr>
          <w:rFonts w:ascii="Times New Roman" w:hAnsi="Times New Roman" w:cs="Times New Roman"/>
          <w:sz w:val="24"/>
          <w:szCs w:val="24"/>
        </w:rPr>
        <w:t>-</w:t>
      </w:r>
      <w:r w:rsidR="005F69A4" w:rsidRPr="007721FB">
        <w:rPr>
          <w:rFonts w:ascii="Times New Roman" w:hAnsi="Times New Roman" w:cs="Times New Roman"/>
          <w:sz w:val="24"/>
          <w:szCs w:val="24"/>
        </w:rPr>
        <w:t>sensitive</w:t>
      </w:r>
      <w:r w:rsidR="008C3218" w:rsidRPr="007721FB">
        <w:rPr>
          <w:rFonts w:ascii="Times New Roman" w:hAnsi="Times New Roman" w:cs="Times New Roman"/>
          <w:sz w:val="24"/>
          <w:szCs w:val="24"/>
        </w:rPr>
        <w:t xml:space="preserve"> </w:t>
      </w:r>
      <w:r w:rsidR="00185579" w:rsidRPr="007721FB">
        <w:rPr>
          <w:rFonts w:ascii="Times New Roman" w:hAnsi="Times New Roman" w:cs="Times New Roman"/>
          <w:sz w:val="24"/>
          <w:szCs w:val="24"/>
        </w:rPr>
        <w:t>nanocarriers</w:t>
      </w:r>
      <w:r w:rsidR="005F69A4" w:rsidRPr="007721FB">
        <w:rPr>
          <w:rFonts w:ascii="Times New Roman" w:hAnsi="Times New Roman" w:cs="Times New Roman"/>
          <w:sz w:val="24"/>
          <w:szCs w:val="24"/>
        </w:rPr>
        <w:t xml:space="preserve"> are very interesting due to their ability to respo</w:t>
      </w:r>
      <w:r w:rsidR="008C3218" w:rsidRPr="007721FB">
        <w:rPr>
          <w:rFonts w:ascii="Times New Roman" w:hAnsi="Times New Roman" w:cs="Times New Roman"/>
          <w:sz w:val="24"/>
          <w:szCs w:val="24"/>
        </w:rPr>
        <w:t>nd to oxidat</w:t>
      </w:r>
      <w:r w:rsidR="002A0C88" w:rsidRPr="007721FB">
        <w:rPr>
          <w:rFonts w:ascii="Times New Roman" w:hAnsi="Times New Roman" w:cs="Times New Roman"/>
          <w:sz w:val="24"/>
          <w:szCs w:val="24"/>
        </w:rPr>
        <w:t xml:space="preserve">ive-reductive </w:t>
      </w:r>
      <w:r w:rsidR="00BB5E24" w:rsidRPr="007721FB">
        <w:rPr>
          <w:rFonts w:ascii="Times New Roman" w:hAnsi="Times New Roman" w:cs="Times New Roman"/>
          <w:sz w:val="24"/>
          <w:szCs w:val="24"/>
        </w:rPr>
        <w:t>environments</w:t>
      </w:r>
      <w:r w:rsidR="002A0C88" w:rsidRPr="007721FB">
        <w:rPr>
          <w:rFonts w:ascii="Times New Roman" w:hAnsi="Times New Roman" w:cs="Times New Roman"/>
          <w:sz w:val="24"/>
          <w:szCs w:val="24"/>
        </w:rPr>
        <w:t xml:space="preserve"> including those dependent on </w:t>
      </w:r>
      <w:r w:rsidR="002A0C88" w:rsidRPr="007721FB">
        <w:rPr>
          <w:rStyle w:val="apple-converted-space"/>
          <w:rFonts w:ascii="Times New Roman" w:hAnsi="Times New Roman" w:cs="Times New Roman"/>
          <w:color w:val="000000"/>
          <w:sz w:val="24"/>
          <w:szCs w:val="24"/>
          <w:shd w:val="clear" w:color="auto" w:fill="FFFFFF"/>
        </w:rPr>
        <w:t>glutathione (GSH)</w:t>
      </w:r>
      <w:r w:rsidR="00BB5E24" w:rsidRPr="007721FB">
        <w:rPr>
          <w:rStyle w:val="apple-converted-space"/>
          <w:rFonts w:ascii="Times New Roman" w:hAnsi="Times New Roman" w:cs="Times New Roman"/>
          <w:color w:val="000000"/>
          <w:sz w:val="24"/>
          <w:szCs w:val="24"/>
          <w:shd w:val="clear" w:color="auto" w:fill="FFFFFF"/>
        </w:rPr>
        <w:t xml:space="preserve">, </w:t>
      </w:r>
      <w:r w:rsidR="00301C32" w:rsidRPr="007721FB">
        <w:rPr>
          <w:rStyle w:val="apple-converted-space"/>
          <w:rFonts w:ascii="Times New Roman" w:hAnsi="Times New Roman" w:cs="Times New Roman"/>
          <w:color w:val="000000"/>
          <w:sz w:val="24"/>
          <w:szCs w:val="24"/>
          <w:shd w:val="clear" w:color="auto" w:fill="FFFFFF"/>
        </w:rPr>
        <w:t>thioredoxin</w:t>
      </w:r>
      <w:r w:rsidR="00BB5E24" w:rsidRPr="007721FB">
        <w:rPr>
          <w:rStyle w:val="apple-converted-space"/>
          <w:rFonts w:ascii="Times New Roman" w:hAnsi="Times New Roman" w:cs="Times New Roman"/>
          <w:color w:val="000000"/>
          <w:sz w:val="24"/>
          <w:szCs w:val="24"/>
          <w:shd w:val="clear" w:color="auto" w:fill="FFFFFF"/>
        </w:rPr>
        <w:t>, or</w:t>
      </w:r>
      <w:r w:rsidR="00301C32" w:rsidRPr="007721FB">
        <w:rPr>
          <w:rStyle w:val="apple-converted-space"/>
          <w:rFonts w:ascii="Times New Roman" w:hAnsi="Times New Roman" w:cs="Times New Roman"/>
          <w:color w:val="000000"/>
          <w:sz w:val="24"/>
          <w:szCs w:val="24"/>
          <w:shd w:val="clear" w:color="auto" w:fill="FFFFFF"/>
        </w:rPr>
        <w:t xml:space="preserve"> human serum</w:t>
      </w:r>
      <w:r w:rsidR="0078130C" w:rsidRPr="007721FB">
        <w:rPr>
          <w:rStyle w:val="apple-converted-space"/>
          <w:rFonts w:ascii="Times New Roman" w:hAnsi="Times New Roman" w:cs="Times New Roman"/>
          <w:color w:val="000000"/>
          <w:sz w:val="24"/>
          <w:szCs w:val="24"/>
          <w:shd w:val="clear" w:color="auto" w:fill="FFFFFF"/>
        </w:rPr>
        <w:t xml:space="preserve"> albumin (HAS-SH)</w:t>
      </w:r>
      <w:r w:rsidR="003643B7" w:rsidRPr="007721FB">
        <w:rPr>
          <w:rStyle w:val="apple-converted-space"/>
          <w:rFonts w:ascii="Times New Roman" w:hAnsi="Times New Roman" w:cs="Times New Roman"/>
          <w:color w:val="000000"/>
          <w:sz w:val="24"/>
          <w:szCs w:val="24"/>
          <w:shd w:val="clear" w:color="auto" w:fill="FFFFFF"/>
        </w:rPr>
        <w:t xml:space="preserve"> </w:t>
      </w:r>
      <w:r w:rsidR="002A0C88" w:rsidRPr="007721FB">
        <w:rPr>
          <w:rStyle w:val="apple-converted-space"/>
          <w:rFonts w:ascii="Times New Roman" w:hAnsi="Times New Roman" w:cs="Times New Roman"/>
          <w:color w:val="000000"/>
          <w:sz w:val="24"/>
          <w:szCs w:val="24"/>
          <w:shd w:val="clear" w:color="auto" w:fill="FFFFFF"/>
        </w:rPr>
        <w:t>concentration</w:t>
      </w:r>
      <w:r w:rsidR="00255452" w:rsidRPr="007721FB">
        <w:rPr>
          <w:rStyle w:val="apple-converted-space"/>
          <w:rFonts w:ascii="Times New Roman" w:hAnsi="Times New Roman" w:cs="Times New Roman"/>
          <w:color w:val="000000"/>
          <w:sz w:val="24"/>
          <w:szCs w:val="24"/>
          <w:shd w:val="clear" w:color="auto" w:fill="FFFFFF"/>
        </w:rPr>
        <w:t xml:space="preserve"> </w:t>
      </w:r>
      <w:r w:rsidR="00185579" w:rsidRPr="007721FB">
        <w:rPr>
          <w:rStyle w:val="apple-converted-space"/>
          <w:rFonts w:ascii="Times New Roman" w:hAnsi="Times New Roman" w:cs="Times New Roman"/>
          <w:color w:val="000000"/>
          <w:sz w:val="24"/>
          <w:szCs w:val="24"/>
          <w:shd w:val="clear" w:color="auto" w:fill="FFFFFF"/>
        </w:rPr>
        <w:fldChar w:fldCharType="begin" w:fldLock="1"/>
      </w:r>
      <w:r w:rsidR="00F1599C" w:rsidRPr="007721FB">
        <w:rPr>
          <w:rStyle w:val="apple-converted-space"/>
          <w:rFonts w:ascii="Times New Roman" w:hAnsi="Times New Roman" w:cs="Times New Roman"/>
          <w:color w:val="000000"/>
          <w:sz w:val="24"/>
          <w:szCs w:val="24"/>
          <w:shd w:val="clear" w:color="auto" w:fill="FFFFFF"/>
        </w:rPr>
        <w:instrText>ADDIN CSL_CITATION { "citationItems" : [ { "id" : "ITEM-1", "itemData" : { "DOI" : "10.1021/bm400501c", "author" : [ { "dropping-particle" : "", "family" : "Wu", "given" : "Chuanliu", "non-dropping-particle" : "", "parse-names" : false, "suffix" : "" }, { "dropping-particle" : "", "family" : "Wang", "given" : "Shuo", "non-dropping-particle" : "", "parse-names" : false, "suffix" : "" }, { "dropping-particle" : "", "family" : "Bruelisauer", "given" : "Lorine", "non-dropping-particle" : "", "parse-names" : false, "suffix" : "" }, { "dropping-particle" : "", "family" : "Leroux", "given" : "Jean-christophe", "non-dropping-particle" : "", "parse-names" : false, "suffix" : "" }, { "dropping-particle" : "", "family" : "Gauthier", "given" : "Marc A", "non-dropping-particle" : "", "parse-names" : false, "suffix" : "" } ], "container-title" : "Biomacromolecules", "id" : "ITEM-1", "issue" : "7", "issued" : { "date-parts" : [ [ "2013" ] ] }, "page" : "2383\u20132388", "title" : "Broad control of disulfide stability through microenvironmental effects and analysis in complex redox environments", "type" : "article-journal", "volume" : "14" }, "uris" : [ "http://www.mendeley.com/documents/?uuid=eeca8772-31b5-463f-9d1a-e85590d1a9d1", "http://www.mendeley.com/documents/?uuid=ea586940-facf-467f-83dd-26bb512ba117" ] }, { "id" : "ITEM-2", "itemData" : { "DOI" : "10.1016/j.freeradbiomed.2013.05.050", "ISSN" : "0891-5849", "author" : [ { "dropping-particle" : "", "family" : "Turell", "given" : "Luc\u00eda", "non-dropping-particle" : "", "parse-names" : false, "suffix" : "" }, { "dropping-particle" : "", "family" : "Radi", "given" : "Rafael", "non-dropping-particle" : "", "parse-names" : false, "suffix" : "" }, { "dropping-particle" : "", "family" : "Alvarez", "given" : "Beatriz", "non-dropping-particle" : "", "parse-names" : false, "suffix" : "" } ], "container-title" : "Free Radical Biology and Medicine", "id" : "ITEM-2", "issued" : { "date-parts" : [ [ "2013" ] ] }, "page" : "244-253", "publisher" : "Elsevier", "title" : "Free Radical Biology and Medicine The thiol pool in human plasma : The central contribution of albumin to redox processes", "type" : "article-journal", "volume" : "65" }, "uris" : [ "http://www.mendeley.com/documents/?uuid=49fe7b31-8c4b-4fc8-9b50-4d64d31776bc", "http://www.mendeley.com/documents/?uuid=37bd54db-22a0-4eb0-8858-83b72c88e6bd" ] } ], "mendeley" : { "formattedCitation" : "[118,119]", "plainTextFormattedCitation" : "[118,119]", "previouslyFormattedCitation" : "[118,119]" }, "properties" : { "noteIndex" : 0 }, "schema" : "https://github.com/citation-style-language/schema/raw/master/csl-citation.json" }</w:instrText>
      </w:r>
      <w:r w:rsidR="00185579" w:rsidRPr="007721FB">
        <w:rPr>
          <w:rStyle w:val="apple-converted-space"/>
          <w:rFonts w:ascii="Times New Roman" w:hAnsi="Times New Roman" w:cs="Times New Roman"/>
          <w:color w:val="000000"/>
          <w:sz w:val="24"/>
          <w:szCs w:val="24"/>
          <w:shd w:val="clear" w:color="auto" w:fill="FFFFFF"/>
        </w:rPr>
        <w:fldChar w:fldCharType="separate"/>
      </w:r>
      <w:r w:rsidR="00F1599C" w:rsidRPr="007721FB">
        <w:rPr>
          <w:rStyle w:val="apple-converted-space"/>
          <w:rFonts w:ascii="Times New Roman" w:hAnsi="Times New Roman" w:cs="Times New Roman"/>
          <w:noProof/>
          <w:color w:val="000000"/>
          <w:sz w:val="24"/>
          <w:szCs w:val="24"/>
          <w:shd w:val="clear" w:color="auto" w:fill="FFFFFF"/>
        </w:rPr>
        <w:t>[118,119]</w:t>
      </w:r>
      <w:r w:rsidR="00185579" w:rsidRPr="007721FB">
        <w:rPr>
          <w:rStyle w:val="apple-converted-space"/>
          <w:rFonts w:ascii="Times New Roman" w:hAnsi="Times New Roman" w:cs="Times New Roman"/>
          <w:color w:val="000000"/>
          <w:sz w:val="24"/>
          <w:szCs w:val="24"/>
          <w:shd w:val="clear" w:color="auto" w:fill="FFFFFF"/>
        </w:rPr>
        <w:fldChar w:fldCharType="end"/>
      </w:r>
      <w:r w:rsidR="002A0C88" w:rsidRPr="007721FB">
        <w:rPr>
          <w:rStyle w:val="apple-converted-space"/>
          <w:rFonts w:ascii="Times New Roman" w:hAnsi="Times New Roman" w:cs="Times New Roman"/>
          <w:color w:val="000000"/>
          <w:sz w:val="24"/>
          <w:szCs w:val="24"/>
          <w:shd w:val="clear" w:color="auto" w:fill="FFFFFF"/>
        </w:rPr>
        <w:t>.</w:t>
      </w:r>
      <w:r w:rsidR="002A0C88" w:rsidRPr="007721FB">
        <w:rPr>
          <w:rFonts w:ascii="Times New Roman" w:hAnsi="Times New Roman" w:cs="Times New Roman"/>
          <w:sz w:val="24"/>
          <w:szCs w:val="24"/>
        </w:rPr>
        <w:t xml:space="preserve"> Redox-responsive nanocarriers are designed to disassemble in the cytosol and release their bioactive cargo.</w:t>
      </w:r>
      <w:r w:rsidR="008C3218" w:rsidRPr="007721FB">
        <w:rPr>
          <w:rFonts w:ascii="Times New Roman" w:hAnsi="Times New Roman" w:cs="Times New Roman"/>
          <w:sz w:val="24"/>
          <w:szCs w:val="24"/>
        </w:rPr>
        <w:t xml:space="preserve"> </w:t>
      </w:r>
      <w:r w:rsidR="00491B77" w:rsidRPr="007721FB">
        <w:rPr>
          <w:rFonts w:ascii="Times New Roman" w:hAnsi="Times New Roman" w:cs="Times New Roman"/>
          <w:sz w:val="24"/>
          <w:szCs w:val="24"/>
        </w:rPr>
        <w:t>Such is an important aspect</w:t>
      </w:r>
      <w:r w:rsidR="00FD4253" w:rsidRPr="007721FB">
        <w:rPr>
          <w:rFonts w:ascii="Times New Roman" w:hAnsi="Times New Roman" w:cs="Times New Roman"/>
          <w:sz w:val="24"/>
          <w:szCs w:val="24"/>
        </w:rPr>
        <w:t xml:space="preserve"> for skeletal disorders</w:t>
      </w:r>
      <w:r w:rsidR="00491B77" w:rsidRPr="007721FB">
        <w:rPr>
          <w:rFonts w:ascii="Times New Roman" w:hAnsi="Times New Roman" w:cs="Times New Roman"/>
          <w:sz w:val="24"/>
          <w:szCs w:val="24"/>
        </w:rPr>
        <w:t xml:space="preserve"> considering that </w:t>
      </w:r>
      <w:r w:rsidR="003643B7" w:rsidRPr="007721FB">
        <w:rPr>
          <w:rFonts w:ascii="Times New Roman" w:hAnsi="Times New Roman" w:cs="Times New Roman"/>
          <w:sz w:val="24"/>
          <w:szCs w:val="24"/>
        </w:rPr>
        <w:t xml:space="preserve">some </w:t>
      </w:r>
      <w:r w:rsidR="00491B77" w:rsidRPr="007721FB">
        <w:rPr>
          <w:rFonts w:ascii="Times New Roman" w:hAnsi="Times New Roman" w:cs="Times New Roman"/>
          <w:sz w:val="24"/>
          <w:szCs w:val="24"/>
        </w:rPr>
        <w:t>bioactive therapeutics for bone</w:t>
      </w:r>
      <w:r w:rsidR="00FD4253" w:rsidRPr="007721FB">
        <w:rPr>
          <w:rFonts w:ascii="Times New Roman" w:hAnsi="Times New Roman" w:cs="Times New Roman"/>
          <w:sz w:val="24"/>
          <w:szCs w:val="24"/>
        </w:rPr>
        <w:t xml:space="preserve"> cells</w:t>
      </w:r>
      <w:r w:rsidR="00491B77" w:rsidRPr="007721FB">
        <w:rPr>
          <w:rFonts w:ascii="Times New Roman" w:hAnsi="Times New Roman" w:cs="Times New Roman"/>
          <w:sz w:val="24"/>
          <w:szCs w:val="24"/>
        </w:rPr>
        <w:t xml:space="preserve"> have intracellular molecular targets</w:t>
      </w:r>
      <w:r w:rsidR="00FD4253" w:rsidRPr="007721FB">
        <w:rPr>
          <w:rFonts w:ascii="Times New Roman" w:hAnsi="Times New Roman" w:cs="Times New Roman"/>
          <w:sz w:val="24"/>
          <w:szCs w:val="24"/>
        </w:rPr>
        <w:t xml:space="preserve"> </w:t>
      </w:r>
      <w:r w:rsidR="00380DD8" w:rsidRPr="007721FB">
        <w:rPr>
          <w:rFonts w:ascii="Times New Roman" w:hAnsi="Times New Roman" w:cs="Times New Roman"/>
          <w:sz w:val="24"/>
          <w:szCs w:val="24"/>
        </w:rPr>
        <w:fldChar w:fldCharType="begin" w:fldLock="1"/>
      </w:r>
      <w:r w:rsidR="00F1599C" w:rsidRPr="007721FB">
        <w:rPr>
          <w:rFonts w:ascii="Times New Roman" w:hAnsi="Times New Roman" w:cs="Times New Roman"/>
          <w:sz w:val="24"/>
          <w:szCs w:val="24"/>
        </w:rPr>
        <w:instrText>ADDIN CSL_CITATION { "citationItems" : [ { "id" : "ITEM-1", "itemData" : { "DOI" : "10.4065/83.9.1032", "author" : [ { "dropping-particle" : "", "family" : "Drake", "given" : "Matthew T.", "non-dropping-particle" : "", "parse-names" : false, "suffix" : "" }, { "dropping-particle" : "", "family" : "Clarke", "given" : "Bart L.", "non-dropping-particle" : "", "parse-names" : false, "suffix" : "" }, { "dropping-particle" : "", "family" : "Khosla", "given" : "Sundeep", "non-dropping-particle" : "", "parse-names" : false, "suffix" : "" } ], "container-title" : "Mayo Clinic Proceedings", "id" : "ITEM-1", "issue" : "9", "issued" : { "date-parts" : [ [ "2008" ] ] }, "page" : "1032-1045", "title" : "Bisphosphonates : Mechanism of Action and Role in Clinical Practice", "type" : "article-journal", "volume" : "83" }, "uris" : [ "http://www.mendeley.com/documents/?uuid=e02a065b-5b89-4a0f-8510-99508ee005b8", "http://www.mendeley.com/documents/?uuid=aa21ce9d-9786-4868-be19-be535debc856" ] }, { "id" : "ITEM-2", "itemData" : { "DOI" : "10.22203/eCM.v031a23", "ISSN" : "14732262", "author" : [ { "dropping-particle" : "", "family" : "Alencastre", "given" : "I. S.", "non-dropping-particle" : "", "parse-names" : false, "suffix" : "" }, { "dropping-particle" : "", "family" : "Sousa", "given" : "D. M.", "non-dropping-particle" : "", "parse-names" : false, "suffix" : "" }, { "dropping-particle" : "", "family" : "Alves", "given" : "C. J.", "non-dropping-particle" : "", "parse-names" : false, "suffix" : "" }, { "dropping-particle" : "", "family" : "Leit\u00e3o", "given" : "L.", "non-dropping-particle" : "", "parse-names" : false, "suffix" : "" }, { "dropping-particle" : "", "family" : "Neto", "given" : "E.", "non-dropping-particle" : "", "parse-names" : false, "suffix" : "" }, { "dropping-particle" : "", "family" : "Aguiar", "given" : "P.", "non-dropping-particle" : "", "parse-names" : false, "suffix" : "" }, { "dropping-particle" : "", "family" : "Lamghari", "given" : "Meriem", "non-dropping-particle" : "", "parse-names" : false, "suffix" : "" } ], "container-title" : "European Cells and Materials", "id" : "ITEM-2", "issued" : { "date-parts" : [ [ "2016" ] ] }, "page" : "355-381", "title" : "Delivery of pharmaceutics to bone: Nanotechnologies, high-throughput processing and in silico mathematical models", "type" : "article-journal", "volume" : "31" }, "uris" : [ "http://www.mendeley.com/documents/?uuid=aab045be-86a8-4cab-8b84-a83e297ee4a3", "http://www.mendeley.com/documents/?uuid=2a4122c7-da52-4c62-9b0b-487e5b6fe31a" ] } ], "mendeley" : { "formattedCitation" : "[14,120]", "plainTextFormattedCitation" : "[14,120]", "previouslyFormattedCitation" : "[14,120]" }, "properties" : { "noteIndex" : 0 }, "schema" : "https://github.com/citation-style-language/schema/raw/master/csl-citation.json" }</w:instrText>
      </w:r>
      <w:r w:rsidR="00380DD8" w:rsidRPr="007721FB">
        <w:rPr>
          <w:rFonts w:ascii="Times New Roman" w:hAnsi="Times New Roman" w:cs="Times New Roman"/>
          <w:sz w:val="24"/>
          <w:szCs w:val="24"/>
        </w:rPr>
        <w:fldChar w:fldCharType="separate"/>
      </w:r>
      <w:r w:rsidR="00F1599C" w:rsidRPr="007721FB">
        <w:rPr>
          <w:rFonts w:ascii="Times New Roman" w:hAnsi="Times New Roman" w:cs="Times New Roman"/>
          <w:noProof/>
          <w:sz w:val="24"/>
          <w:szCs w:val="24"/>
        </w:rPr>
        <w:t>[14,120]</w:t>
      </w:r>
      <w:r w:rsidR="00380DD8" w:rsidRPr="007721FB">
        <w:rPr>
          <w:rFonts w:ascii="Times New Roman" w:hAnsi="Times New Roman" w:cs="Times New Roman"/>
          <w:sz w:val="24"/>
          <w:szCs w:val="24"/>
        </w:rPr>
        <w:fldChar w:fldCharType="end"/>
      </w:r>
      <w:r w:rsidR="00FD4253" w:rsidRPr="007721FB">
        <w:rPr>
          <w:rFonts w:ascii="Times New Roman" w:hAnsi="Times New Roman" w:cs="Times New Roman"/>
          <w:sz w:val="24"/>
          <w:szCs w:val="24"/>
        </w:rPr>
        <w:t>.</w:t>
      </w:r>
      <w:r w:rsidR="00F46079" w:rsidRPr="007721FB">
        <w:rPr>
          <w:rFonts w:ascii="Times New Roman" w:hAnsi="Times New Roman" w:cs="Times New Roman"/>
          <w:sz w:val="24"/>
          <w:szCs w:val="24"/>
        </w:rPr>
        <w:t xml:space="preserve"> </w:t>
      </w:r>
      <w:r w:rsidR="00D41BE3" w:rsidRPr="007721FB">
        <w:rPr>
          <w:rFonts w:ascii="Times New Roman" w:hAnsi="Times New Roman" w:cs="Times New Roman"/>
          <w:color w:val="000000"/>
          <w:sz w:val="24"/>
          <w:szCs w:val="24"/>
          <w:shd w:val="clear" w:color="auto" w:fill="FFFFFF"/>
        </w:rPr>
        <w:t>Human cells i</w:t>
      </w:r>
      <w:r w:rsidR="00D7743F" w:rsidRPr="007721FB">
        <w:rPr>
          <w:rFonts w:ascii="Times New Roman" w:hAnsi="Times New Roman" w:cs="Times New Roman"/>
          <w:sz w:val="24"/>
          <w:szCs w:val="24"/>
        </w:rPr>
        <w:t>ntracellular compartments contain a high GSH concentration (2-10 mM), which is about 10</w:t>
      </w:r>
      <w:r w:rsidR="00D7743F" w:rsidRPr="007721FB">
        <w:rPr>
          <w:rFonts w:ascii="Times New Roman" w:hAnsi="Times New Roman" w:cs="Times New Roman"/>
          <w:sz w:val="24"/>
          <w:szCs w:val="24"/>
          <w:vertAlign w:val="superscript"/>
        </w:rPr>
        <w:t>3</w:t>
      </w:r>
      <w:r w:rsidR="00790D3A" w:rsidRPr="007721FB">
        <w:rPr>
          <w:rFonts w:ascii="Times New Roman" w:hAnsi="Times New Roman" w:cs="Times New Roman"/>
          <w:sz w:val="24"/>
          <w:szCs w:val="24"/>
        </w:rPr>
        <w:t>-fold</w:t>
      </w:r>
      <w:r w:rsidR="00D7743F" w:rsidRPr="007721FB">
        <w:rPr>
          <w:rFonts w:ascii="Times New Roman" w:hAnsi="Times New Roman" w:cs="Times New Roman"/>
          <w:sz w:val="24"/>
          <w:szCs w:val="24"/>
        </w:rPr>
        <w:t xml:space="preserve"> higher than </w:t>
      </w:r>
      <w:r w:rsidR="002A0C88" w:rsidRPr="007721FB">
        <w:rPr>
          <w:rFonts w:ascii="Times New Roman" w:hAnsi="Times New Roman" w:cs="Times New Roman"/>
          <w:sz w:val="24"/>
          <w:szCs w:val="24"/>
        </w:rPr>
        <w:t>that found in the</w:t>
      </w:r>
      <w:r w:rsidR="00D7743F" w:rsidRPr="007721FB">
        <w:rPr>
          <w:rFonts w:ascii="Times New Roman" w:hAnsi="Times New Roman" w:cs="Times New Roman"/>
          <w:sz w:val="24"/>
          <w:szCs w:val="24"/>
        </w:rPr>
        <w:t xml:space="preserve"> extracellular matrix and blood plasma (2-20 </w:t>
      </w:r>
      <w:r w:rsidR="00287B04" w:rsidRPr="007721FB">
        <w:rPr>
          <w:rFonts w:ascii="Times New Roman" w:hAnsi="Times New Roman" w:cs="Times New Roman"/>
          <w:sz w:val="24"/>
          <w:szCs w:val="24"/>
        </w:rPr>
        <w:t>µ</w:t>
      </w:r>
      <w:r w:rsidR="00D7743F" w:rsidRPr="007721FB">
        <w:rPr>
          <w:rFonts w:ascii="Times New Roman" w:hAnsi="Times New Roman" w:cs="Times New Roman"/>
          <w:sz w:val="24"/>
          <w:szCs w:val="24"/>
        </w:rPr>
        <w:t>M</w:t>
      </w:r>
      <w:r w:rsidR="00287B04" w:rsidRPr="007721FB">
        <w:rPr>
          <w:rFonts w:ascii="Times New Roman" w:hAnsi="Times New Roman" w:cs="Times New Roman"/>
          <w:sz w:val="24"/>
          <w:szCs w:val="24"/>
        </w:rPr>
        <w:t>)</w:t>
      </w:r>
      <w:r w:rsidR="00FD4253" w:rsidRPr="007721FB">
        <w:rPr>
          <w:rFonts w:ascii="Times New Roman" w:hAnsi="Times New Roman" w:cs="Times New Roman"/>
          <w:sz w:val="24"/>
          <w:szCs w:val="24"/>
        </w:rPr>
        <w:t xml:space="preserve"> </w:t>
      </w:r>
      <w:r w:rsidR="00034475" w:rsidRPr="007721FB">
        <w:rPr>
          <w:rFonts w:ascii="Times New Roman" w:hAnsi="Times New Roman" w:cs="Times New Roman"/>
          <w:sz w:val="24"/>
          <w:szCs w:val="24"/>
        </w:rPr>
        <w:fldChar w:fldCharType="begin" w:fldLock="1"/>
      </w:r>
      <w:r w:rsidR="00F1599C" w:rsidRPr="007721FB">
        <w:rPr>
          <w:rFonts w:ascii="Times New Roman" w:hAnsi="Times New Roman" w:cs="Times New Roman"/>
          <w:sz w:val="24"/>
          <w:szCs w:val="24"/>
        </w:rPr>
        <w:instrText>ADDIN CSL_CITATION { "citationItems" : [ { "id" : "ITEM-1", "itemData" : { "DOI" : "10.1016/j.jconrel.2011.01.030", "ISBN" : "0168-3659", "ISSN" : "01683659", "PMID" : "21295087", "abstract" : "The past couple of years have witnessed a tremendous progress in the development of glutathione-responsive nano-vehicles for targeted intracellular drug and gene delivery, as driven by the facts that (i) many therapeutics (e.g. anti-cancer drugs, photosensitizers, and anti-oxidants) and biotherapeutics (e.g. peptide and protein drugs, and siRNA) exert therapeutical effects only inside cells like the cytosol and cell nucleus, and (ii) several intracellular compartments such as cytosol, mitochondria, and cell nucleus contain a high concentration of glutathione (GSH) tripeptides (about 2-10 mM), which is 100 to 1000 times higher than that in the extracellular fluids and circulation (about 2-20 ??M). Glutathione has been recognized as an ideal and ubiquitous internal stimulus for rapid destabilization of nano-carriers inside cells to accomplish efficient intracellular drug release. In this paper, we will review recent results on GSH-responsive nano-vehicles in particular micelles, nanoparticles, capsules, polymersomes, nanogels, dendritic and macromolecular drug conjugates, and nano-sized nucleic acid complexes for controlled delivery of anti-cancer drugs (e.g. doxorubicin and paclitaxel), photosensitizers, anti-oxidants, peptides, protein drugs, and nucleic acids (e.g. DNA, siRNA, and antisense oligodeoxynucleotide). The unique disulfide chemistry has enabled novel and versatile designs of multifunctional delivery systems addressing both intracellular and extracellular barriers. We are convinced that GSH-responsive nano-carrier systems have enormous potential in targeted cancer therapy. ?? 2011 Elsevier B.V.", "author" : [ { "dropping-particle" : "", "family" : "Cheng", "given" : "Ru", "non-dropping-particle" : "", "parse-names" : false, "suffix" : "" }, { "dropping-particle" : "", "family" : "Feng", "given" : "Fang", "non-dropping-particle" : "", "parse-names" : false, "suffix" : "" }, { "dropping-particle" : "", "family" : "Meng", "given" : "Fenghua", "non-dropping-particle" : "", "parse-names" : false, "suffix" : "" }, { "dropping-particle" : "", "family" : "Deng", "given" : "Chao", "non-dropping-particle" : "", "parse-names" : false, "suffix" : "" }, { "dropping-particle" : "", "family" : "Feijen", "given" : "Jan", "non-dropping-particle" : "", "parse-names" : false, "suffix" : "" }, { "dropping-particle" : "", "family" : "Zhong", "given" : "Zhiyuan", "non-dropping-particle" : "", "parse-names" : false, "suffix" : "" } ], "container-title" : "Journal of Controlled Release", "id" : "ITEM-1", "issue" : "1", "issued" : { "date-parts" : [ [ "2011" ] ] }, "page" : "2-12", "publisher" : "Elsevier B.V.", "title" : "Glutathione-responsive nano-vehicles as a promising platform for targeted intracellular drug and gene delivery", "type" : "article-journal", "volume" : "152" }, "uris" : [ "http://www.mendeley.com/documents/?uuid=fb4974dd-993d-4b51-82f4-ca1724be1622", "http://www.mendeley.com/documents/?uuid=d85e5ae9-1355-4c07-a58e-bc0c3fd51315" ] } ], "mendeley" : { "formattedCitation" : "[121]", "plainTextFormattedCitation" : "[121]", "previouslyFormattedCitation" : "[121]" }, "properties" : { "noteIndex" : 0 }, "schema" : "https://github.com/citation-style-language/schema/raw/master/csl-citation.json" }</w:instrText>
      </w:r>
      <w:r w:rsidR="00034475" w:rsidRPr="007721FB">
        <w:rPr>
          <w:rFonts w:ascii="Times New Roman" w:hAnsi="Times New Roman" w:cs="Times New Roman"/>
          <w:sz w:val="24"/>
          <w:szCs w:val="24"/>
        </w:rPr>
        <w:fldChar w:fldCharType="separate"/>
      </w:r>
      <w:r w:rsidR="00F1599C" w:rsidRPr="007721FB">
        <w:rPr>
          <w:rFonts w:ascii="Times New Roman" w:hAnsi="Times New Roman" w:cs="Times New Roman"/>
          <w:noProof/>
          <w:sz w:val="24"/>
          <w:szCs w:val="24"/>
        </w:rPr>
        <w:t>[121]</w:t>
      </w:r>
      <w:r w:rsidR="00034475" w:rsidRPr="007721FB">
        <w:rPr>
          <w:rFonts w:ascii="Times New Roman" w:hAnsi="Times New Roman" w:cs="Times New Roman"/>
          <w:sz w:val="24"/>
          <w:szCs w:val="24"/>
        </w:rPr>
        <w:fldChar w:fldCharType="end"/>
      </w:r>
      <w:r w:rsidR="00FD4253" w:rsidRPr="007721FB">
        <w:rPr>
          <w:rFonts w:ascii="Times New Roman" w:hAnsi="Times New Roman" w:cs="Times New Roman"/>
          <w:sz w:val="24"/>
          <w:szCs w:val="24"/>
        </w:rPr>
        <w:t>.</w:t>
      </w:r>
      <w:r w:rsidR="00287B04" w:rsidRPr="007721FB">
        <w:rPr>
          <w:rFonts w:ascii="Times New Roman" w:hAnsi="Times New Roman" w:cs="Times New Roman"/>
          <w:sz w:val="24"/>
          <w:szCs w:val="24"/>
        </w:rPr>
        <w:t xml:space="preserve"> </w:t>
      </w:r>
      <w:r w:rsidR="007B0450" w:rsidRPr="007721FB">
        <w:rPr>
          <w:rFonts w:ascii="Times New Roman" w:hAnsi="Times New Roman" w:cs="Times New Roman"/>
          <w:color w:val="000000"/>
          <w:sz w:val="24"/>
          <w:szCs w:val="24"/>
          <w:shd w:val="clear" w:color="auto" w:fill="FFFFFF"/>
        </w:rPr>
        <w:t>However, some studies suggest that reductive conditions may already be present at the endosome during receptor-mediated endocytosis</w:t>
      </w:r>
      <w:r w:rsidR="00FD4253" w:rsidRPr="007721FB">
        <w:rPr>
          <w:rFonts w:ascii="Times New Roman" w:hAnsi="Times New Roman" w:cs="Times New Roman"/>
          <w:color w:val="000000"/>
          <w:sz w:val="24"/>
          <w:szCs w:val="24"/>
          <w:shd w:val="clear" w:color="auto" w:fill="FFFFFF"/>
        </w:rPr>
        <w:t xml:space="preserve"> </w:t>
      </w:r>
      <w:r w:rsidR="007B0450" w:rsidRPr="007721FB">
        <w:rPr>
          <w:rFonts w:ascii="Times New Roman" w:hAnsi="Times New Roman" w:cs="Times New Roman"/>
          <w:color w:val="000000"/>
          <w:sz w:val="24"/>
          <w:szCs w:val="24"/>
          <w:shd w:val="clear" w:color="auto" w:fill="FFFFFF"/>
        </w:rPr>
        <w:fldChar w:fldCharType="begin" w:fldLock="1"/>
      </w:r>
      <w:r w:rsidR="00F1599C" w:rsidRPr="007721FB">
        <w:rPr>
          <w:rFonts w:ascii="Times New Roman" w:hAnsi="Times New Roman" w:cs="Times New Roman"/>
          <w:color w:val="000000"/>
          <w:sz w:val="24"/>
          <w:szCs w:val="24"/>
          <w:shd w:val="clear" w:color="auto" w:fill="FFFFFF"/>
        </w:rPr>
        <w:instrText>ADDIN CSL_CITATION { "citationItems" : [ { "id" : "ITEM-1", "itemData" : { "DOI" : "10.1073/pnas.0601455103", "ISBN" : "0027-8424 (Print)\\r0027-8424 (Linking)", "ISSN" : "0027-8424", "PMID" : "16950881", "abstract" : "Despite functional evidence for disulfide bond-reducing activity in endosomal compartments, the mechanistic details pertaining to such process (e.g., kinetics and sites of disulfide reduction) remain largely controversial. To address these questions directly, we have synthesized a previously uncharacterized fluorescent folate conjugate, folate-(BODIPY FL)-SS-rhodamine (folate-FRET), that changes fluorescence from red to green upon disulfide bond reduction. Using this construct, we have observed that disulfide reduction: (i) occurs with a half-time of 6 h after folate-FRET endocytosis, (ii) begins in endosomes and does not depend significantly on redox machinery located on the cell surface or within the lysosome or the Golgi apparatus, (iii) occurs independently of endocytic vesicle trafficking along microtubules, and (iv) yields products that are subsequently sorted into distinct endosomes and trafficked in different directions. Finally, colocalization of folate and transferrin receptors suggest that conclusions derived from this study may apply to other endocytic pathways.", "author" : [ { "dropping-particle" : "", "family" : "Yang", "given" : "Jun", "non-dropping-particle" : "", "parse-names" : false, "suffix" : "" }, { "dropping-particle" : "", "family" : "Chen", "given" : "Hongtao", "non-dropping-particle" : "", "parse-names" : false, "suffix" : "" }, { "dropping-particle" : "", "family" : "Vlahov", "given" : "Iontcho R", "non-dropping-particle" : "", "parse-names" : false, "suffix" : "" }, { "dropping-particle" : "", "family" : "Cheng", "given" : "Ji-Xin", "non-dropping-particle" : "", "parse-names" : false, "suffix" : "" }, { "dropping-particle" : "", "family" : "Low", "given" : "Philip S", "non-dropping-particle" : "", "parse-names" : false, "suffix" : "" } ], "container-title" : "Proceedings of the National Academy of Sciences of the United States of America", "id" : "ITEM-1", "issue" : "37", "issued" : { "date-parts" : [ [ "2006" ] ] }, "page" : "13872-13877", "title" : "Evaluation of disulfide reduction during receptor-mediated endocytosis by using FRET imaging.", "type" : "article-journal", "volume" : "103" }, "uris" : [ "http://www.mendeley.com/documents/?uuid=e7311a7e-3adf-48a0-b80d-1307971b8a88", "http://www.mendeley.com/documents/?uuid=02bb9ecb-e1b0-4a81-80b1-6f31a4c5e374" ] } ], "mendeley" : { "formattedCitation" : "[122]", "plainTextFormattedCitation" : "[122]", "previouslyFormattedCitation" : "[122]" }, "properties" : { "noteIndex" : 0 }, "schema" : "https://github.com/citation-style-language/schema/raw/master/csl-citation.json" }</w:instrText>
      </w:r>
      <w:r w:rsidR="007B0450" w:rsidRPr="007721FB">
        <w:rPr>
          <w:rFonts w:ascii="Times New Roman" w:hAnsi="Times New Roman" w:cs="Times New Roman"/>
          <w:color w:val="000000"/>
          <w:sz w:val="24"/>
          <w:szCs w:val="24"/>
          <w:shd w:val="clear" w:color="auto" w:fill="FFFFFF"/>
        </w:rPr>
        <w:fldChar w:fldCharType="separate"/>
      </w:r>
      <w:r w:rsidR="00F1599C" w:rsidRPr="007721FB">
        <w:rPr>
          <w:rFonts w:ascii="Times New Roman" w:hAnsi="Times New Roman" w:cs="Times New Roman"/>
          <w:noProof/>
          <w:color w:val="000000"/>
          <w:sz w:val="24"/>
          <w:szCs w:val="24"/>
          <w:shd w:val="clear" w:color="auto" w:fill="FFFFFF"/>
        </w:rPr>
        <w:t>[122]</w:t>
      </w:r>
      <w:r w:rsidR="007B0450" w:rsidRPr="007721FB">
        <w:rPr>
          <w:rFonts w:ascii="Times New Roman" w:hAnsi="Times New Roman" w:cs="Times New Roman"/>
          <w:color w:val="000000"/>
          <w:sz w:val="24"/>
          <w:szCs w:val="24"/>
          <w:shd w:val="clear" w:color="auto" w:fill="FFFFFF"/>
        </w:rPr>
        <w:fldChar w:fldCharType="end"/>
      </w:r>
      <w:r w:rsidR="00FD4253" w:rsidRPr="007721FB">
        <w:rPr>
          <w:rFonts w:ascii="Times New Roman" w:hAnsi="Times New Roman" w:cs="Times New Roman"/>
          <w:color w:val="000000"/>
          <w:sz w:val="24"/>
          <w:szCs w:val="24"/>
          <w:shd w:val="clear" w:color="auto" w:fill="FFFFFF"/>
        </w:rPr>
        <w:t>.</w:t>
      </w:r>
      <w:r w:rsidR="007B0450" w:rsidRPr="007721FB">
        <w:rPr>
          <w:rFonts w:ascii="Times New Roman" w:hAnsi="Times New Roman" w:cs="Times New Roman"/>
          <w:color w:val="000000"/>
          <w:sz w:val="24"/>
          <w:szCs w:val="24"/>
          <w:shd w:val="clear" w:color="auto" w:fill="FFFFFF"/>
        </w:rPr>
        <w:t xml:space="preserve"> </w:t>
      </w:r>
      <w:r w:rsidR="00287B04" w:rsidRPr="007721FB">
        <w:rPr>
          <w:rFonts w:ascii="Times New Roman" w:hAnsi="Times New Roman" w:cs="Times New Roman"/>
          <w:sz w:val="24"/>
          <w:szCs w:val="24"/>
        </w:rPr>
        <w:t xml:space="preserve">This difference in redox-potential inside cells is </w:t>
      </w:r>
      <w:r w:rsidR="00867C0B" w:rsidRPr="007721FB">
        <w:rPr>
          <w:rFonts w:ascii="Times New Roman" w:hAnsi="Times New Roman" w:cs="Times New Roman"/>
          <w:sz w:val="24"/>
          <w:szCs w:val="24"/>
        </w:rPr>
        <w:t xml:space="preserve">typically </w:t>
      </w:r>
      <w:r w:rsidR="00287B04" w:rsidRPr="007721FB">
        <w:rPr>
          <w:rFonts w:ascii="Times New Roman" w:hAnsi="Times New Roman" w:cs="Times New Roman"/>
          <w:sz w:val="24"/>
          <w:szCs w:val="24"/>
        </w:rPr>
        <w:t xml:space="preserve">exploited by designing nanocarriers </w:t>
      </w:r>
      <w:r w:rsidR="00CE331E" w:rsidRPr="007721FB">
        <w:rPr>
          <w:rFonts w:ascii="Times New Roman" w:hAnsi="Times New Roman" w:cs="Times New Roman"/>
          <w:sz w:val="24"/>
          <w:szCs w:val="24"/>
        </w:rPr>
        <w:t>containing</w:t>
      </w:r>
      <w:r w:rsidR="00287B04" w:rsidRPr="007721FB">
        <w:rPr>
          <w:rFonts w:ascii="Times New Roman" w:hAnsi="Times New Roman" w:cs="Times New Roman"/>
          <w:sz w:val="24"/>
          <w:szCs w:val="24"/>
        </w:rPr>
        <w:t xml:space="preserve"> </w:t>
      </w:r>
      <w:r w:rsidR="00CE331E" w:rsidRPr="007721FB">
        <w:rPr>
          <w:rFonts w:ascii="Times New Roman" w:hAnsi="Times New Roman" w:cs="Times New Roman"/>
          <w:sz w:val="24"/>
          <w:szCs w:val="24"/>
        </w:rPr>
        <w:t>reduction-sensitive linkers</w:t>
      </w:r>
      <w:r w:rsidR="00287B04" w:rsidRPr="007721FB">
        <w:rPr>
          <w:rFonts w:ascii="Times New Roman" w:hAnsi="Times New Roman" w:cs="Times New Roman"/>
          <w:sz w:val="24"/>
          <w:szCs w:val="24"/>
        </w:rPr>
        <w:t xml:space="preserve"> that </w:t>
      </w:r>
      <w:r w:rsidR="00FD4253" w:rsidRPr="007721FB">
        <w:rPr>
          <w:rFonts w:ascii="Times New Roman" w:hAnsi="Times New Roman" w:cs="Times New Roman"/>
          <w:sz w:val="24"/>
          <w:szCs w:val="24"/>
        </w:rPr>
        <w:t xml:space="preserve">are cleaved </w:t>
      </w:r>
      <w:r w:rsidR="000A7DBE" w:rsidRPr="007721FB">
        <w:rPr>
          <w:rFonts w:ascii="Times New Roman" w:hAnsi="Times New Roman" w:cs="Times New Roman"/>
          <w:sz w:val="24"/>
          <w:szCs w:val="24"/>
        </w:rPr>
        <w:t>upon cellular uptake</w:t>
      </w:r>
      <w:r w:rsidR="00287B04" w:rsidRPr="007721FB">
        <w:rPr>
          <w:rFonts w:ascii="Times New Roman" w:hAnsi="Times New Roman" w:cs="Times New Roman"/>
          <w:sz w:val="24"/>
          <w:szCs w:val="24"/>
        </w:rPr>
        <w:t>, thus releasing cargo only in intracellular conditions.</w:t>
      </w:r>
      <w:r w:rsidR="00520284" w:rsidRPr="007721FB">
        <w:rPr>
          <w:rFonts w:ascii="Times New Roman" w:hAnsi="Times New Roman" w:cs="Times New Roman"/>
          <w:sz w:val="24"/>
          <w:szCs w:val="24"/>
        </w:rPr>
        <w:t xml:space="preserve"> The disulfide bond is the most commonly used redox-sensitive linker</w:t>
      </w:r>
      <w:r w:rsidR="00BB5E24" w:rsidRPr="007721FB">
        <w:rPr>
          <w:rFonts w:ascii="Times New Roman" w:hAnsi="Times New Roman" w:cs="Times New Roman"/>
          <w:color w:val="000000"/>
          <w:sz w:val="24"/>
          <w:szCs w:val="24"/>
          <w:shd w:val="clear" w:color="auto" w:fill="FFFFFF"/>
        </w:rPr>
        <w:t>.</w:t>
      </w:r>
      <w:r w:rsidR="00520284" w:rsidRPr="007721FB">
        <w:rPr>
          <w:rFonts w:ascii="Times New Roman" w:hAnsi="Times New Roman" w:cs="Times New Roman"/>
          <w:color w:val="000000"/>
          <w:sz w:val="24"/>
          <w:szCs w:val="24"/>
          <w:shd w:val="clear" w:color="auto" w:fill="FFFFFF"/>
        </w:rPr>
        <w:t xml:space="preserve"> </w:t>
      </w:r>
      <w:r w:rsidR="00BB5E24" w:rsidRPr="007721FB">
        <w:rPr>
          <w:rFonts w:ascii="Times New Roman" w:hAnsi="Times New Roman" w:cs="Times New Roman"/>
          <w:color w:val="000000"/>
          <w:sz w:val="24"/>
          <w:szCs w:val="24"/>
          <w:shd w:val="clear" w:color="auto" w:fill="FFFFFF"/>
        </w:rPr>
        <w:t>H</w:t>
      </w:r>
      <w:r w:rsidR="00520284" w:rsidRPr="007721FB">
        <w:rPr>
          <w:rFonts w:ascii="Times New Roman" w:hAnsi="Times New Roman" w:cs="Times New Roman"/>
          <w:color w:val="000000"/>
          <w:sz w:val="24"/>
          <w:szCs w:val="24"/>
          <w:shd w:val="clear" w:color="auto" w:fill="FFFFFF"/>
        </w:rPr>
        <w:t>owever</w:t>
      </w:r>
      <w:r w:rsidR="00BB5E24" w:rsidRPr="007721FB">
        <w:rPr>
          <w:rFonts w:ascii="Times New Roman" w:hAnsi="Times New Roman" w:cs="Times New Roman"/>
          <w:color w:val="000000"/>
          <w:sz w:val="24"/>
          <w:szCs w:val="24"/>
          <w:shd w:val="clear" w:color="auto" w:fill="FFFFFF"/>
        </w:rPr>
        <w:t>, the library of redox-responsible chemical modifications that can be imprinted in nanocarriers structure is increasing with</w:t>
      </w:r>
      <w:r w:rsidR="00520284" w:rsidRPr="007721FB">
        <w:rPr>
          <w:rFonts w:ascii="Times New Roman" w:hAnsi="Times New Roman" w:cs="Times New Roman"/>
          <w:color w:val="000000"/>
          <w:sz w:val="24"/>
          <w:szCs w:val="24"/>
          <w:shd w:val="clear" w:color="auto" w:fill="FFFFFF"/>
        </w:rPr>
        <w:t xml:space="preserve"> other </w:t>
      </w:r>
      <w:r w:rsidR="00BB5E24" w:rsidRPr="007721FB">
        <w:rPr>
          <w:rFonts w:ascii="Times New Roman" w:hAnsi="Times New Roman" w:cs="Times New Roman"/>
          <w:color w:val="000000"/>
          <w:sz w:val="24"/>
          <w:szCs w:val="24"/>
          <w:shd w:val="clear" w:color="auto" w:fill="FFFFFF"/>
        </w:rPr>
        <w:t xml:space="preserve">responsive </w:t>
      </w:r>
      <w:r w:rsidR="00D713A1" w:rsidRPr="007721FB">
        <w:rPr>
          <w:rFonts w:ascii="Times New Roman" w:hAnsi="Times New Roman" w:cs="Times New Roman"/>
          <w:color w:val="000000"/>
          <w:sz w:val="24"/>
          <w:szCs w:val="24"/>
          <w:shd w:val="clear" w:color="auto" w:fill="FFFFFF"/>
        </w:rPr>
        <w:t>moieties</w:t>
      </w:r>
      <w:r w:rsidR="00BB5E24" w:rsidRPr="007721FB">
        <w:rPr>
          <w:rFonts w:ascii="Times New Roman" w:hAnsi="Times New Roman" w:cs="Times New Roman"/>
          <w:color w:val="000000"/>
          <w:sz w:val="24"/>
          <w:szCs w:val="24"/>
          <w:shd w:val="clear" w:color="auto" w:fill="FFFFFF"/>
        </w:rPr>
        <w:t xml:space="preserve"> such as diseleinide</w:t>
      </w:r>
      <w:r w:rsidR="0066480F" w:rsidRPr="007721FB">
        <w:rPr>
          <w:rFonts w:ascii="Times New Roman" w:hAnsi="Times New Roman" w:cs="Times New Roman"/>
          <w:color w:val="000000"/>
          <w:sz w:val="24"/>
          <w:szCs w:val="24"/>
          <w:shd w:val="clear" w:color="auto" w:fill="FFFFFF"/>
        </w:rPr>
        <w:t>, ditellurium</w:t>
      </w:r>
      <w:r w:rsidR="007044BD" w:rsidRPr="007721FB">
        <w:rPr>
          <w:rFonts w:ascii="Times New Roman" w:hAnsi="Times New Roman" w:cs="Times New Roman"/>
          <w:color w:val="000000"/>
          <w:sz w:val="24"/>
          <w:szCs w:val="24"/>
          <w:shd w:val="clear" w:color="auto" w:fill="FFFFFF"/>
        </w:rPr>
        <w:t xml:space="preserve"> </w:t>
      </w:r>
      <w:r w:rsidR="007044BD" w:rsidRPr="007721FB">
        <w:rPr>
          <w:rFonts w:ascii="Times New Roman" w:hAnsi="Times New Roman" w:cs="Times New Roman"/>
          <w:color w:val="000000"/>
          <w:sz w:val="24"/>
          <w:szCs w:val="24"/>
          <w:shd w:val="clear" w:color="auto" w:fill="FFFFFF"/>
        </w:rPr>
        <w:fldChar w:fldCharType="begin" w:fldLock="1"/>
      </w:r>
      <w:r w:rsidR="00F1599C" w:rsidRPr="007721FB">
        <w:rPr>
          <w:rFonts w:ascii="Times New Roman" w:hAnsi="Times New Roman" w:cs="Times New Roman"/>
          <w:color w:val="000000"/>
          <w:sz w:val="24"/>
          <w:szCs w:val="24"/>
          <w:shd w:val="clear" w:color="auto" w:fill="FFFFFF"/>
        </w:rPr>
        <w:instrText>ADDIN CSL_CITATION { "citationItems" : [ { "id" : "ITEM-1", "itemData" : { "author" : [ { "dropping-particle" : "", "family" : "Zhang", "given" : "Xiaoyong", "non-dropping-particle" : "", "parse-names" : false, "suffix" : "" }, { "dropping-particle" : "", "family" : "Han", "given" : "Lu", "non-dropping-particle" : "", "parse-names" : false, "suffix" : "" }, { "dropping-particle" : "", "family" : "Liu", "given" : "Meiying", "non-dropping-particle" : "", "parse-names" : false, "suffix" : "" }, { "dropping-particle" : "", "family" : "Wang", "given" : "Ke", "non-dropping-particle" : "", "parse-names" : false, "suffix" : "" }, { "dropping-particle" : "", "family" : "Tao", "given" : "Lei", "non-dropping-particle" : "", "parse-names" : false, "suffix" : "" }, { "dropping-particle" : "", "family" : "Wan", "given" : "Qing", "non-dropping-particle" : "", "parse-names" : false, "suffix" : "" }, { "dropping-particle" : "", "family" : "Wei", "given" : "Yen", "non-dropping-particle" : "", "parse-names" : false, "suffix" : "" } ], "container-title" : "Materials Chemistry Frontiers", "id" : "ITEM-1", "issue" : "5", "issued" : { "date-parts" : [ [ "2017" ] ] }, "page" : "807-822", "publisher" : "Royal Society of Chemistry", "title" : "Recent progress and advances in redox-responsive polymers as controlled delivery nanoplatforms", "type" : "article-journal", "volume" : "1" }, "uris" : [ "http://www.mendeley.com/documents/?uuid=4b164f76-0bb2-409a-8a3c-9add807f0c23" ] } ], "mendeley" : { "formattedCitation" : "[123]", "plainTextFormattedCitation" : "[123]", "previouslyFormattedCitation" : "[123]" }, "properties" : { "noteIndex" : 22 }, "schema" : "https://github.com/citation-style-language/schema/raw/master/csl-citation.json" }</w:instrText>
      </w:r>
      <w:r w:rsidR="007044BD" w:rsidRPr="007721FB">
        <w:rPr>
          <w:rFonts w:ascii="Times New Roman" w:hAnsi="Times New Roman" w:cs="Times New Roman"/>
          <w:color w:val="000000"/>
          <w:sz w:val="24"/>
          <w:szCs w:val="24"/>
          <w:shd w:val="clear" w:color="auto" w:fill="FFFFFF"/>
        </w:rPr>
        <w:fldChar w:fldCharType="separate"/>
      </w:r>
      <w:r w:rsidR="00F1599C" w:rsidRPr="007721FB">
        <w:rPr>
          <w:rFonts w:ascii="Times New Roman" w:hAnsi="Times New Roman" w:cs="Times New Roman"/>
          <w:noProof/>
          <w:color w:val="000000"/>
          <w:sz w:val="24"/>
          <w:szCs w:val="24"/>
          <w:shd w:val="clear" w:color="auto" w:fill="FFFFFF"/>
        </w:rPr>
        <w:t>[123]</w:t>
      </w:r>
      <w:r w:rsidR="007044BD" w:rsidRPr="007721FB">
        <w:rPr>
          <w:rFonts w:ascii="Times New Roman" w:hAnsi="Times New Roman" w:cs="Times New Roman"/>
          <w:color w:val="000000"/>
          <w:sz w:val="24"/>
          <w:szCs w:val="24"/>
          <w:shd w:val="clear" w:color="auto" w:fill="FFFFFF"/>
        </w:rPr>
        <w:fldChar w:fldCharType="end"/>
      </w:r>
      <w:r w:rsidR="0066480F" w:rsidRPr="007721FB">
        <w:rPr>
          <w:rFonts w:ascii="Times New Roman" w:hAnsi="Times New Roman" w:cs="Times New Roman"/>
          <w:color w:val="000000"/>
          <w:sz w:val="24"/>
          <w:szCs w:val="24"/>
          <w:shd w:val="clear" w:color="auto" w:fill="FFFFFF"/>
        </w:rPr>
        <w:t xml:space="preserve"> and</w:t>
      </w:r>
      <w:r w:rsidR="00BB5E24" w:rsidRPr="007721FB">
        <w:rPr>
          <w:rFonts w:ascii="Times New Roman" w:hAnsi="Times New Roman" w:cs="Times New Roman"/>
          <w:color w:val="000000"/>
          <w:sz w:val="24"/>
          <w:szCs w:val="24"/>
          <w:shd w:val="clear" w:color="auto" w:fill="FFFFFF"/>
        </w:rPr>
        <w:t xml:space="preserve"> maleimide-arylthiol bonds gaining increased attention</w:t>
      </w:r>
      <w:r w:rsidR="00D713A1" w:rsidRPr="007721FB">
        <w:rPr>
          <w:rFonts w:ascii="Times New Roman" w:hAnsi="Times New Roman" w:cs="Times New Roman"/>
          <w:color w:val="000000"/>
          <w:sz w:val="24"/>
          <w:szCs w:val="24"/>
          <w:shd w:val="clear" w:color="auto" w:fill="FFFFFF"/>
        </w:rPr>
        <w:t xml:space="preserve"> in recent years</w:t>
      </w:r>
      <w:r w:rsidR="00FD4253" w:rsidRPr="007721FB">
        <w:rPr>
          <w:rFonts w:ascii="Times New Roman" w:hAnsi="Times New Roman" w:cs="Times New Roman"/>
          <w:color w:val="000000"/>
          <w:sz w:val="24"/>
          <w:szCs w:val="24"/>
          <w:shd w:val="clear" w:color="auto" w:fill="FFFFFF"/>
        </w:rPr>
        <w:t xml:space="preserve"> </w:t>
      </w:r>
      <w:r w:rsidR="000636CF" w:rsidRPr="007721FB">
        <w:rPr>
          <w:rFonts w:ascii="Times New Roman" w:hAnsi="Times New Roman" w:cs="Times New Roman"/>
          <w:color w:val="000000"/>
          <w:sz w:val="24"/>
          <w:szCs w:val="24"/>
          <w:shd w:val="clear" w:color="auto" w:fill="FFFFFF"/>
        </w:rPr>
        <w:fldChar w:fldCharType="begin" w:fldLock="1"/>
      </w:r>
      <w:r w:rsidR="00F1599C" w:rsidRPr="007721FB">
        <w:rPr>
          <w:rFonts w:ascii="Times New Roman" w:hAnsi="Times New Roman" w:cs="Times New Roman"/>
          <w:color w:val="000000"/>
          <w:sz w:val="24"/>
          <w:szCs w:val="24"/>
          <w:shd w:val="clear" w:color="auto" w:fill="FFFFFF"/>
        </w:rPr>
        <w:instrText>ADDIN CSL_CITATION { "citationItems" : [ { "id" : "ITEM-1", "itemData" : { "DOI" : "10.1039/c2py20576a", "ISBN" : "1759-9954\\n1759-9962", "ISSN" : "1759-9954", "PMID" : "23766781", "abstract" : "We have recently reported that retro Michael-type addition reactions can be employed for producing labile chemical linkages with tunable sensitivity to physiologically relevant reducing potentials. We reasoned that such strategies would also be useful in the design of glutathione-sensitive hydrogels for a variety of targeted delivery and tissue engineering applications. In this report, we describe hydrogels in which maleimide-functionalized low molecular weight heparin (LMWH) is crosslinked with various thiol-functionalized poly(ethylene glycol) (PEG) multi-arm star polymers. Judicious selection of the chemical identity of the thiol permits tuning of degradation via previously unstudied, but versatile chemical methods. Thiol pKa and hydrophobicity affected both the gelation and degradation of these hydrogels. Maleimide-thiol crosslinking reactions and retro Michael-type addition reactions were verified with (1)H NMR during the crosslinking and degradation of hydrogels. PEGs esterified with phenylthiol derivatives, specifically 4-mercaptophenylpropionic acid or 2,2-dimethyl-3-(4-mercaptophenyl)propionic acid, induced sensitivity to glutathione as shown by a decrease in hydrogel degradation time of 4-fold and 5-fold respectively, measured via spectrophotometric quantification of LMWH. The degradation proceeded through the retro Michael-type addition of the succinimide thioether linkage, with apparent pseudo-first order reaction constants derived from oscillatory rheology experiments of 0.039 \u00b1 0.006 h(-1) and 0.031 \u00b1 0.003 h(-1). The pseudo-first order retro reaction constants were approximately an order of magnitude slower than the degradation rate constants for hydrogels crosslinked via disulfide linkages, indicating the potential use of these Michael-type addition products for reduction-mediated release and/or degradation, with increased blood stability and prolonged drug delivery timescales compared to disulfide moieties.", "author" : [ { "dropping-particle" : "", "family" : "Baldwin", "given" : "Aaron D.", "non-dropping-particle" : "", "parse-names" : false, "suffix" : "" }, { "dropping-particle" : "", "family" : "Kiick", "given" : "Kristi L.", "non-dropping-particle" : "", "parse-names" : false, "suffix" : "" } ], "container-title" : "Polymer Chemistry", "id" : "ITEM-1", "issue" : "1", "issued" : { "date-parts" : [ [ "2012" ] ] }, "page" : "133-143", "title" : "Reversible maleimide\u2013thiol adducts yield glutathione-sensitive poly(ethylene glycol)\u2013heparin hydrogels", "type" : "article-journal", "volume" : "4" }, "uris" : [ "http://www.mendeley.com/documents/?uuid=68d27466-384b-4aaa-833e-c5b4cb7ecc9b", "http://www.mendeley.com/documents/?uuid=b3543433-3923-49b0-b266-dd427fd962e8" ] }, { "id" : "ITEM-2", "itemData" : { "DOI" : "10.1089/ars.2013.5733", "ISSN" : "1557-7716", "PMID" : "24279980", "abstract" : "SIGNIFICANCE: The therapeutic effects of current micellar and vesicular drug formulations are restricted by slow and inefficient drug release at the pathological site. The development of smart polymeric nanocarriers that release drugs upon arriving at the target site has received a tremendous amount of attention for cancer therapy.\\n\\nRECENT ADVANCES: Taking advantage of a high reducing potential in the tumor tissues and in particular inside the tumor cells, various reduction-sensitive polymeric micelles and vesicles have been designed and explored for triggered anticancer drug release. These reduction-responsive nanosystems have demonstrated several unique features, such as good stability under physiological conditions, fast response to intracellular reducing environment, triggering drug release right in the cytosol and cell nucleus, and significantly improved antitumor activity, compared to traditional reduction-insensitive counterparts.\\n\\nCRITICAL ISSUES: Although reduction-sensitive micelles and polymersomes have accomplished rapid intracellular drug release and enhanced in vitro antitumor effect, their fate inside the cells including the mechanism, site, and rate of reduction reaction remains unclear. Moreover, the systemic fate and performance of reduction-sensitive polymeric drug formulations have to be investigated.\\n\\nFUTURE DIRECTIONS: Biophysical studies should be carried out to gain insight into the degradation and drug release behaviors of reduction-responsive nanocarriers inside the tumor cells. Furthermore, novel ligand-decorated reduction-sensitive nanoparticulate drug formulations should be designed and explored for targeted cancer therapy in vivo.", "author" : [ { "dropping-particle" : "", "family" : "Sun", "given" : "Huanli", "non-dropping-particle" : "", "parse-names" : false, "suffix" : "" }, { "dropping-particle" : "", "family" : "Meng", "given" : "Fenghua", "non-dropping-particle" : "", "parse-names" : false, "suffix" : "" }, { "dropping-particle" : "", "family" : "Cheng", "given" : "Ru", "non-dropping-particle" : "", "parse-names" : false, "suffix" : "" }, { "dropping-particle" : "", "family" : "Deng", "given" : "Chao", "non-dropping-particle" : "", "parse-names" : false, "suffix" : "" }, { "dropping-particle" : "", "family" : "Zhong", "given" : "Zhiyuan", "non-dropping-particle" : "", "parse-names" : false, "suffix" : "" } ], "container-title" : "Antioxidants &amp; redox signaling", "id" : "ITEM-2", "issue" : "5", "issued" : { "date-parts" : [ [ "2014" ] ] }, "page" : "755-67", "title" : "Reduction-responsive polymeric micelles and vesicles for triggered intracellular drug release.", "type" : "article-journal", "volume" : "21" }, "uris" : [ "http://www.mendeley.com/documents/?uuid=a2dbfcb9-e764-4234-8603-1c4c3b081a32", "http://www.mendeley.com/documents/?uuid=b8781838-3aba-4c40-808f-a06a62928f24" ] } ], "mendeley" : { "formattedCitation" : "[124,125]", "plainTextFormattedCitation" : "[124,125]", "previouslyFormattedCitation" : "[124,125]" }, "properties" : { "noteIndex" : 0 }, "schema" : "https://github.com/citation-style-language/schema/raw/master/csl-citation.json" }</w:instrText>
      </w:r>
      <w:r w:rsidR="000636CF" w:rsidRPr="007721FB">
        <w:rPr>
          <w:rFonts w:ascii="Times New Roman" w:hAnsi="Times New Roman" w:cs="Times New Roman"/>
          <w:color w:val="000000"/>
          <w:sz w:val="24"/>
          <w:szCs w:val="24"/>
          <w:shd w:val="clear" w:color="auto" w:fill="FFFFFF"/>
        </w:rPr>
        <w:fldChar w:fldCharType="separate"/>
      </w:r>
      <w:r w:rsidR="00F1599C" w:rsidRPr="007721FB">
        <w:rPr>
          <w:rFonts w:ascii="Times New Roman" w:hAnsi="Times New Roman" w:cs="Times New Roman"/>
          <w:noProof/>
          <w:color w:val="000000"/>
          <w:sz w:val="24"/>
          <w:szCs w:val="24"/>
          <w:shd w:val="clear" w:color="auto" w:fill="FFFFFF"/>
        </w:rPr>
        <w:t>[124,125]</w:t>
      </w:r>
      <w:r w:rsidR="000636CF" w:rsidRPr="007721FB">
        <w:rPr>
          <w:rFonts w:ascii="Times New Roman" w:hAnsi="Times New Roman" w:cs="Times New Roman"/>
          <w:color w:val="000000"/>
          <w:sz w:val="24"/>
          <w:szCs w:val="24"/>
          <w:shd w:val="clear" w:color="auto" w:fill="FFFFFF"/>
        </w:rPr>
        <w:fldChar w:fldCharType="end"/>
      </w:r>
      <w:r w:rsidR="00D713A1" w:rsidRPr="007721FB">
        <w:rPr>
          <w:rFonts w:ascii="Times New Roman" w:hAnsi="Times New Roman" w:cs="Times New Roman"/>
          <w:color w:val="000000"/>
          <w:sz w:val="24"/>
          <w:szCs w:val="24"/>
          <w:shd w:val="clear" w:color="auto" w:fill="FFFFFF"/>
        </w:rPr>
        <w:t>.</w:t>
      </w:r>
      <w:r w:rsidR="000636CF" w:rsidRPr="007721FB">
        <w:rPr>
          <w:rFonts w:ascii="Times New Roman" w:hAnsi="Times New Roman" w:cs="Times New Roman"/>
          <w:sz w:val="24"/>
          <w:szCs w:val="24"/>
        </w:rPr>
        <w:t xml:space="preserve"> </w:t>
      </w:r>
      <w:r w:rsidR="00D713A1" w:rsidRPr="007721FB">
        <w:rPr>
          <w:rFonts w:ascii="Times New Roman" w:hAnsi="Times New Roman" w:cs="Times New Roman"/>
          <w:sz w:val="24"/>
          <w:szCs w:val="24"/>
        </w:rPr>
        <w:t>Such c</w:t>
      </w:r>
      <w:r w:rsidR="006F6062" w:rsidRPr="007721FB">
        <w:rPr>
          <w:rFonts w:ascii="Times New Roman" w:hAnsi="Times New Roman" w:cs="Times New Roman"/>
          <w:sz w:val="24"/>
          <w:szCs w:val="24"/>
        </w:rPr>
        <w:t>hemical</w:t>
      </w:r>
      <w:r w:rsidR="00BB5E24" w:rsidRPr="007721FB">
        <w:rPr>
          <w:rFonts w:ascii="Times New Roman" w:hAnsi="Times New Roman" w:cs="Times New Roman"/>
          <w:sz w:val="24"/>
          <w:szCs w:val="24"/>
        </w:rPr>
        <w:t xml:space="preserve"> imprinting of</w:t>
      </w:r>
      <w:r w:rsidR="00567C31" w:rsidRPr="007721FB">
        <w:rPr>
          <w:rFonts w:ascii="Times New Roman" w:hAnsi="Times New Roman" w:cs="Times New Roman"/>
          <w:sz w:val="24"/>
          <w:szCs w:val="24"/>
        </w:rPr>
        <w:t xml:space="preserve"> </w:t>
      </w:r>
      <w:r w:rsidR="00BB5E24" w:rsidRPr="007721FB">
        <w:rPr>
          <w:rFonts w:ascii="Times New Roman" w:hAnsi="Times New Roman" w:cs="Times New Roman"/>
          <w:sz w:val="24"/>
          <w:szCs w:val="24"/>
        </w:rPr>
        <w:t xml:space="preserve">redox-responsive moieties in nanocarriers structure can be achieved by </w:t>
      </w:r>
      <w:r w:rsidR="00FD4253" w:rsidRPr="007721FB">
        <w:rPr>
          <w:rFonts w:ascii="Times New Roman" w:hAnsi="Times New Roman" w:cs="Times New Roman"/>
          <w:sz w:val="24"/>
          <w:szCs w:val="24"/>
        </w:rPr>
        <w:t>three</w:t>
      </w:r>
      <w:r w:rsidR="00BB5E24" w:rsidRPr="007721FB">
        <w:rPr>
          <w:rFonts w:ascii="Times New Roman" w:hAnsi="Times New Roman" w:cs="Times New Roman"/>
          <w:sz w:val="24"/>
          <w:szCs w:val="24"/>
        </w:rPr>
        <w:t xml:space="preserve"> main ways:</w:t>
      </w:r>
      <w:r w:rsidR="000A7DBE" w:rsidRPr="007721FB">
        <w:rPr>
          <w:rFonts w:ascii="Times New Roman" w:hAnsi="Times New Roman" w:cs="Times New Roman"/>
          <w:sz w:val="24"/>
          <w:szCs w:val="24"/>
        </w:rPr>
        <w:t xml:space="preserve"> </w:t>
      </w:r>
      <w:r w:rsidR="00BB5E24" w:rsidRPr="007721FB">
        <w:rPr>
          <w:rFonts w:ascii="Times New Roman" w:hAnsi="Times New Roman" w:cs="Times New Roman"/>
          <w:sz w:val="24"/>
          <w:szCs w:val="24"/>
        </w:rPr>
        <w:t>(</w:t>
      </w:r>
      <w:r w:rsidR="000A7DBE" w:rsidRPr="007721FB">
        <w:rPr>
          <w:rFonts w:ascii="Times New Roman" w:hAnsi="Times New Roman" w:cs="Times New Roman"/>
          <w:sz w:val="24"/>
          <w:szCs w:val="24"/>
        </w:rPr>
        <w:t xml:space="preserve">i) </w:t>
      </w:r>
      <w:r w:rsidR="00BB5E24" w:rsidRPr="007721FB">
        <w:rPr>
          <w:rFonts w:ascii="Times New Roman" w:hAnsi="Times New Roman" w:cs="Times New Roman"/>
          <w:sz w:val="24"/>
          <w:szCs w:val="24"/>
        </w:rPr>
        <w:t xml:space="preserve">grafting of </w:t>
      </w:r>
      <w:r w:rsidR="00FB43A8" w:rsidRPr="007721FB">
        <w:rPr>
          <w:rFonts w:ascii="Times New Roman" w:hAnsi="Times New Roman" w:cs="Times New Roman"/>
          <w:sz w:val="24"/>
          <w:szCs w:val="24"/>
        </w:rPr>
        <w:t>bioreducible</w:t>
      </w:r>
      <w:r w:rsidR="000A7DBE" w:rsidRPr="007721FB">
        <w:rPr>
          <w:rFonts w:ascii="Times New Roman" w:hAnsi="Times New Roman" w:cs="Times New Roman"/>
          <w:sz w:val="24"/>
          <w:szCs w:val="24"/>
        </w:rPr>
        <w:t xml:space="preserve"> linkers</w:t>
      </w:r>
      <w:r w:rsidR="00FB43A8" w:rsidRPr="007721FB">
        <w:rPr>
          <w:rFonts w:ascii="Times New Roman" w:hAnsi="Times New Roman" w:cs="Times New Roman"/>
          <w:sz w:val="24"/>
          <w:szCs w:val="24"/>
        </w:rPr>
        <w:t xml:space="preserve"> on</w:t>
      </w:r>
      <w:r w:rsidR="000A7DBE" w:rsidRPr="007721FB">
        <w:rPr>
          <w:rFonts w:ascii="Times New Roman" w:hAnsi="Times New Roman" w:cs="Times New Roman"/>
          <w:sz w:val="24"/>
          <w:szCs w:val="24"/>
        </w:rPr>
        <w:t xml:space="preserve"> </w:t>
      </w:r>
      <w:r w:rsidR="00BB5E24" w:rsidRPr="007721FB">
        <w:rPr>
          <w:rFonts w:ascii="Times New Roman" w:hAnsi="Times New Roman" w:cs="Times New Roman"/>
          <w:sz w:val="24"/>
          <w:szCs w:val="24"/>
        </w:rPr>
        <w:t>the repeating monomers of polymeric backbones</w:t>
      </w:r>
      <w:r w:rsidR="000A7DBE" w:rsidRPr="007721FB">
        <w:rPr>
          <w:rFonts w:ascii="Times New Roman" w:hAnsi="Times New Roman" w:cs="Times New Roman"/>
          <w:sz w:val="24"/>
          <w:szCs w:val="24"/>
        </w:rPr>
        <w:t>,</w:t>
      </w:r>
      <w:r w:rsidR="00BB5E24" w:rsidRPr="007721FB">
        <w:rPr>
          <w:rFonts w:ascii="Times New Roman" w:hAnsi="Times New Roman" w:cs="Times New Roman"/>
          <w:sz w:val="24"/>
          <w:szCs w:val="24"/>
        </w:rPr>
        <w:t xml:space="preserve"> which</w:t>
      </w:r>
      <w:r w:rsidR="000A7DBE" w:rsidRPr="007721FB">
        <w:rPr>
          <w:rFonts w:ascii="Times New Roman" w:hAnsi="Times New Roman" w:cs="Times New Roman"/>
          <w:sz w:val="24"/>
          <w:szCs w:val="24"/>
        </w:rPr>
        <w:t xml:space="preserve"> readily </w:t>
      </w:r>
      <w:r w:rsidR="00BB5E24" w:rsidRPr="007721FB">
        <w:rPr>
          <w:rFonts w:ascii="Times New Roman" w:hAnsi="Times New Roman" w:cs="Times New Roman"/>
          <w:sz w:val="24"/>
          <w:szCs w:val="24"/>
        </w:rPr>
        <w:t>prom</w:t>
      </w:r>
      <w:r w:rsidR="00567C31" w:rsidRPr="007721FB">
        <w:rPr>
          <w:rFonts w:ascii="Times New Roman" w:hAnsi="Times New Roman" w:cs="Times New Roman"/>
          <w:sz w:val="24"/>
          <w:szCs w:val="24"/>
        </w:rPr>
        <w:t>p</w:t>
      </w:r>
      <w:r w:rsidR="00BB5E24" w:rsidRPr="007721FB">
        <w:rPr>
          <w:rFonts w:ascii="Times New Roman" w:hAnsi="Times New Roman" w:cs="Times New Roman"/>
          <w:sz w:val="24"/>
          <w:szCs w:val="24"/>
        </w:rPr>
        <w:t xml:space="preserve">t nanocarrier </w:t>
      </w:r>
      <w:r w:rsidR="00FB43A8" w:rsidRPr="007721FB">
        <w:rPr>
          <w:rFonts w:ascii="Times New Roman" w:hAnsi="Times New Roman" w:cs="Times New Roman"/>
          <w:sz w:val="24"/>
          <w:szCs w:val="24"/>
        </w:rPr>
        <w:t xml:space="preserve">intracellular </w:t>
      </w:r>
      <w:r w:rsidR="000A7DBE" w:rsidRPr="007721FB">
        <w:rPr>
          <w:rFonts w:ascii="Times New Roman" w:hAnsi="Times New Roman" w:cs="Times New Roman"/>
          <w:sz w:val="24"/>
          <w:szCs w:val="24"/>
        </w:rPr>
        <w:t xml:space="preserve">disintegration; </w:t>
      </w:r>
      <w:r w:rsidR="00BB5E24" w:rsidRPr="007721FB">
        <w:rPr>
          <w:rFonts w:ascii="Times New Roman" w:hAnsi="Times New Roman" w:cs="Times New Roman"/>
          <w:sz w:val="24"/>
          <w:szCs w:val="24"/>
        </w:rPr>
        <w:t>(</w:t>
      </w:r>
      <w:r w:rsidR="000A7DBE" w:rsidRPr="007721FB">
        <w:rPr>
          <w:rFonts w:ascii="Times New Roman" w:hAnsi="Times New Roman" w:cs="Times New Roman"/>
          <w:sz w:val="24"/>
          <w:szCs w:val="24"/>
        </w:rPr>
        <w:t xml:space="preserve">ii) </w:t>
      </w:r>
      <w:r w:rsidR="00567C31" w:rsidRPr="007721FB">
        <w:rPr>
          <w:rFonts w:ascii="Times New Roman" w:hAnsi="Times New Roman" w:cs="Times New Roman"/>
          <w:sz w:val="24"/>
          <w:szCs w:val="24"/>
        </w:rPr>
        <w:t xml:space="preserve">grafting </w:t>
      </w:r>
      <w:r w:rsidR="000A7DBE" w:rsidRPr="007721FB">
        <w:rPr>
          <w:rFonts w:ascii="Times New Roman" w:hAnsi="Times New Roman" w:cs="Times New Roman"/>
          <w:sz w:val="24"/>
          <w:szCs w:val="24"/>
        </w:rPr>
        <w:t>disulfide bonds as</w:t>
      </w:r>
      <w:r w:rsidR="00567C31" w:rsidRPr="007721FB">
        <w:rPr>
          <w:rFonts w:ascii="Times New Roman" w:hAnsi="Times New Roman" w:cs="Times New Roman"/>
          <w:sz w:val="24"/>
          <w:szCs w:val="24"/>
        </w:rPr>
        <w:t xml:space="preserve"> terminal</w:t>
      </w:r>
      <w:r w:rsidR="000A7DBE" w:rsidRPr="007721FB">
        <w:rPr>
          <w:rFonts w:ascii="Times New Roman" w:hAnsi="Times New Roman" w:cs="Times New Roman"/>
          <w:sz w:val="24"/>
          <w:szCs w:val="24"/>
        </w:rPr>
        <w:t xml:space="preserve"> crosslinkers </w:t>
      </w:r>
      <w:r w:rsidR="00BB5E24" w:rsidRPr="007721FB">
        <w:rPr>
          <w:rFonts w:ascii="Times New Roman" w:hAnsi="Times New Roman" w:cs="Times New Roman"/>
          <w:sz w:val="24"/>
          <w:szCs w:val="24"/>
        </w:rPr>
        <w:t>between different polymer blocks in copolymer-based nanocarriers</w:t>
      </w:r>
      <w:r w:rsidR="00255452" w:rsidRPr="007721FB">
        <w:rPr>
          <w:rFonts w:ascii="Times New Roman" w:hAnsi="Times New Roman" w:cs="Times New Roman"/>
          <w:sz w:val="24"/>
          <w:szCs w:val="24"/>
        </w:rPr>
        <w:t>,</w:t>
      </w:r>
      <w:r w:rsidR="00FD4253" w:rsidRPr="007721FB">
        <w:rPr>
          <w:rFonts w:ascii="Times New Roman" w:hAnsi="Times New Roman" w:cs="Times New Roman"/>
          <w:sz w:val="24"/>
          <w:szCs w:val="24"/>
        </w:rPr>
        <w:t xml:space="preserve"> that can lead to micelles disassembly </w:t>
      </w:r>
      <w:r w:rsidR="00E6501A" w:rsidRPr="007721FB">
        <w:rPr>
          <w:rFonts w:ascii="Times New Roman" w:hAnsi="Times New Roman" w:cs="Times New Roman"/>
          <w:sz w:val="24"/>
          <w:szCs w:val="24"/>
        </w:rPr>
        <w:fldChar w:fldCharType="begin" w:fldLock="1"/>
      </w:r>
      <w:r w:rsidR="00F1599C" w:rsidRPr="007721FB">
        <w:rPr>
          <w:rFonts w:ascii="Times New Roman" w:hAnsi="Times New Roman" w:cs="Times New Roman"/>
          <w:sz w:val="24"/>
          <w:szCs w:val="24"/>
        </w:rPr>
        <w:instrText>ADDIN CSL_CITATION { "citationItems" : [ { "id" : "ITEM-1", "itemData" : { "DOI" : "10.1089/ars.2013.5733", "ISSN" : "1557-7716", "PMID" : "24279980", "abstract" : "SIGNIFICANCE: The therapeutic effects of current micellar and vesicular drug formulations are restricted by slow and inefficient drug release at the pathological site. The development of smart polymeric nanocarriers that release drugs upon arriving at the target site has received a tremendous amount of attention for cancer therapy.\\n\\nRECENT ADVANCES: Taking advantage of a high reducing potential in the tumor tissues and in particular inside the tumor cells, various reduction-sensitive polymeric micelles and vesicles have been designed and explored for triggered anticancer drug release. These reduction-responsive nanosystems have demonstrated several unique features, such as good stability under physiological conditions, fast response to intracellular reducing environment, triggering drug release right in the cytosol and cell nucleus, and significantly improved antitumor activity, compared to traditional reduction-insensitive counterparts.\\n\\nCRITICAL ISSUES: Although reduction-sensitive micelles and polymersomes have accomplished rapid intracellular drug release and enhanced in vitro antitumor effect, their fate inside the cells including the mechanism, site, and rate of reduction reaction remains unclear. Moreover, the systemic fate and performance of reduction-sensitive polymeric drug formulations have to be investigated.\\n\\nFUTURE DIRECTIONS: Biophysical studies should be carried out to gain insight into the degradation and drug release behaviors of reduction-responsive nanocarriers inside the tumor cells. Furthermore, novel ligand-decorated reduction-sensitive nanoparticulate drug formulations should be designed and explored for targeted cancer therapy in vivo.", "author" : [ { "dropping-particle" : "", "family" : "Sun", "given" : "Huanli", "non-dropping-particle" : "", "parse-names" : false, "suffix" : "" }, { "dropping-particle" : "", "family" : "Meng", "given" : "Fenghua", "non-dropping-particle" : "", "parse-names" : false, "suffix" : "" }, { "dropping-particle" : "", "family" : "Cheng", "given" : "Ru", "non-dropping-particle" : "", "parse-names" : false, "suffix" : "" }, { "dropping-particle" : "", "family" : "Deng", "given" : "Chao", "non-dropping-particle" : "", "parse-names" : false, "suffix" : "" }, { "dropping-particle" : "", "family" : "Zhong", "given" : "Zhiyuan", "non-dropping-particle" : "", "parse-names" : false, "suffix" : "" } ], "container-title" : "Antioxidants &amp; redox signaling", "id" : "ITEM-1", "issue" : "5", "issued" : { "date-parts" : [ [ "2014" ] ] }, "page" : "755-67", "title" : "Reduction-responsive polymeric micelles and vesicles for triggered intracellular drug release.", "type" : "article-journal", "volume" : "21" }, "uris" : [ "http://www.mendeley.com/documents/?uuid=b8781838-3aba-4c40-808f-a06a62928f24", "http://www.mendeley.com/documents/?uuid=a2dbfcb9-e764-4234-8603-1c4c3b081a32" ] } ], "mendeley" : { "formattedCitation" : "[125]", "plainTextFormattedCitation" : "[125]", "previouslyFormattedCitation" : "[125]" }, "properties" : { "noteIndex" : 0 }, "schema" : "https://github.com/citation-style-language/schema/raw/master/csl-citation.json" }</w:instrText>
      </w:r>
      <w:r w:rsidR="00E6501A" w:rsidRPr="007721FB">
        <w:rPr>
          <w:rFonts w:ascii="Times New Roman" w:hAnsi="Times New Roman" w:cs="Times New Roman"/>
          <w:sz w:val="24"/>
          <w:szCs w:val="24"/>
        </w:rPr>
        <w:fldChar w:fldCharType="separate"/>
      </w:r>
      <w:r w:rsidR="00F1599C" w:rsidRPr="007721FB">
        <w:rPr>
          <w:rFonts w:ascii="Times New Roman" w:hAnsi="Times New Roman" w:cs="Times New Roman"/>
          <w:noProof/>
          <w:sz w:val="24"/>
          <w:szCs w:val="24"/>
        </w:rPr>
        <w:t>[125]</w:t>
      </w:r>
      <w:r w:rsidR="00E6501A" w:rsidRPr="007721FB">
        <w:rPr>
          <w:rFonts w:ascii="Times New Roman" w:hAnsi="Times New Roman" w:cs="Times New Roman"/>
          <w:sz w:val="24"/>
          <w:szCs w:val="24"/>
        </w:rPr>
        <w:fldChar w:fldCharType="end"/>
      </w:r>
      <w:r w:rsidR="00FD4253" w:rsidRPr="007721FB">
        <w:rPr>
          <w:rFonts w:ascii="Times New Roman" w:hAnsi="Times New Roman" w:cs="Times New Roman"/>
          <w:sz w:val="24"/>
          <w:szCs w:val="24"/>
        </w:rPr>
        <w:t xml:space="preserve"> and (iii) precision chemical modification of polymer monomeric units with redox-responsive moieties linked to drugs</w:t>
      </w:r>
      <w:r w:rsidR="00255452" w:rsidRPr="007721FB">
        <w:rPr>
          <w:rFonts w:ascii="Times New Roman" w:hAnsi="Times New Roman" w:cs="Times New Roman"/>
          <w:sz w:val="24"/>
          <w:szCs w:val="24"/>
        </w:rPr>
        <w:t xml:space="preserve"> (polymer-drug conjugate)</w:t>
      </w:r>
      <w:r w:rsidR="00FD4253" w:rsidRPr="007721FB">
        <w:rPr>
          <w:rFonts w:ascii="Times New Roman" w:hAnsi="Times New Roman" w:cs="Times New Roman"/>
          <w:sz w:val="24"/>
          <w:szCs w:val="24"/>
        </w:rPr>
        <w:t>, which upon the stimulus are promptly released.</w:t>
      </w:r>
      <w:r w:rsidR="00567C31" w:rsidRPr="007721FB">
        <w:rPr>
          <w:rFonts w:ascii="Times New Roman" w:hAnsi="Times New Roman" w:cs="Times New Roman"/>
          <w:sz w:val="24"/>
          <w:szCs w:val="24"/>
        </w:rPr>
        <w:t xml:space="preserve"> These</w:t>
      </w:r>
      <w:r w:rsidR="00E6501A" w:rsidRPr="007721FB">
        <w:rPr>
          <w:rFonts w:ascii="Times New Roman" w:hAnsi="Times New Roman" w:cs="Times New Roman"/>
          <w:sz w:val="24"/>
          <w:szCs w:val="24"/>
        </w:rPr>
        <w:t xml:space="preserve"> strategies have</w:t>
      </w:r>
      <w:r w:rsidR="00BB5E24" w:rsidRPr="007721FB">
        <w:rPr>
          <w:rFonts w:ascii="Times New Roman" w:hAnsi="Times New Roman" w:cs="Times New Roman"/>
          <w:sz w:val="24"/>
          <w:szCs w:val="24"/>
        </w:rPr>
        <w:t xml:space="preserve"> been extensivel</w:t>
      </w:r>
      <w:r w:rsidR="00C43B8C" w:rsidRPr="007721FB">
        <w:rPr>
          <w:rFonts w:ascii="Times New Roman" w:hAnsi="Times New Roman" w:cs="Times New Roman"/>
          <w:sz w:val="24"/>
          <w:szCs w:val="24"/>
        </w:rPr>
        <w:t>y used for formulation of redox-</w:t>
      </w:r>
      <w:r w:rsidR="00BB5E24" w:rsidRPr="007721FB">
        <w:rPr>
          <w:rFonts w:ascii="Times New Roman" w:hAnsi="Times New Roman" w:cs="Times New Roman"/>
          <w:sz w:val="24"/>
          <w:szCs w:val="24"/>
        </w:rPr>
        <w:t xml:space="preserve">responsive polymeric micelles for delivery of </w:t>
      </w:r>
      <w:r w:rsidR="00C43B8C" w:rsidRPr="007721FB">
        <w:rPr>
          <w:rFonts w:ascii="Times New Roman" w:hAnsi="Times New Roman" w:cs="Times New Roman"/>
          <w:sz w:val="24"/>
          <w:szCs w:val="24"/>
        </w:rPr>
        <w:t>pharmaceutics</w:t>
      </w:r>
      <w:r w:rsidR="00BB5E24" w:rsidRPr="007721FB">
        <w:rPr>
          <w:rFonts w:ascii="Times New Roman" w:hAnsi="Times New Roman" w:cs="Times New Roman"/>
          <w:sz w:val="24"/>
          <w:szCs w:val="24"/>
        </w:rPr>
        <w:t xml:space="preserve"> under redox-conditions, either through core</w:t>
      </w:r>
      <w:r w:rsidR="00567C31" w:rsidRPr="007721FB">
        <w:rPr>
          <w:rFonts w:ascii="Times New Roman" w:hAnsi="Times New Roman" w:cs="Times New Roman"/>
          <w:sz w:val="24"/>
          <w:szCs w:val="24"/>
        </w:rPr>
        <w:t xml:space="preserve"> or shell disulfide-based </w:t>
      </w:r>
      <w:r w:rsidR="00BB5E24" w:rsidRPr="007721FB">
        <w:rPr>
          <w:rFonts w:ascii="Times New Roman" w:hAnsi="Times New Roman" w:cs="Times New Roman"/>
          <w:sz w:val="24"/>
          <w:szCs w:val="24"/>
        </w:rPr>
        <w:t>crosslinking</w:t>
      </w:r>
      <w:r w:rsidR="004D4EC5" w:rsidRPr="007721FB">
        <w:rPr>
          <w:rFonts w:ascii="Times New Roman" w:hAnsi="Times New Roman" w:cs="Times New Roman"/>
          <w:sz w:val="24"/>
          <w:szCs w:val="24"/>
        </w:rPr>
        <w:t>, which can greatly</w:t>
      </w:r>
      <w:r w:rsidR="00C43B8C" w:rsidRPr="007721FB">
        <w:rPr>
          <w:rFonts w:ascii="Times New Roman" w:hAnsi="Times New Roman" w:cs="Times New Roman"/>
          <w:sz w:val="24"/>
          <w:szCs w:val="24"/>
        </w:rPr>
        <w:t xml:space="preserve"> improve polymeric micelles stab</w:t>
      </w:r>
      <w:r w:rsidR="004D4EC5" w:rsidRPr="007721FB">
        <w:rPr>
          <w:rFonts w:ascii="Times New Roman" w:hAnsi="Times New Roman" w:cs="Times New Roman"/>
          <w:sz w:val="24"/>
          <w:szCs w:val="24"/>
        </w:rPr>
        <w:t>ility</w:t>
      </w:r>
      <w:r w:rsidR="00DF1EB9" w:rsidRPr="007721FB">
        <w:rPr>
          <w:rFonts w:ascii="Times New Roman" w:hAnsi="Times New Roman" w:cs="Times New Roman"/>
          <w:sz w:val="24"/>
          <w:szCs w:val="24"/>
        </w:rPr>
        <w:t xml:space="preserve"> </w:t>
      </w:r>
      <w:r w:rsidR="00DF1EB9" w:rsidRPr="007721FB">
        <w:rPr>
          <w:rFonts w:ascii="Times New Roman" w:hAnsi="Times New Roman" w:cs="Times New Roman"/>
          <w:sz w:val="24"/>
          <w:szCs w:val="24"/>
        </w:rPr>
        <w:fldChar w:fldCharType="begin" w:fldLock="1"/>
      </w:r>
      <w:r w:rsidR="00F1599C" w:rsidRPr="007721FB">
        <w:rPr>
          <w:rFonts w:ascii="Times New Roman" w:hAnsi="Times New Roman" w:cs="Times New Roman"/>
          <w:sz w:val="24"/>
          <w:szCs w:val="24"/>
        </w:rPr>
        <w:instrText>ADDIN CSL_CITATION { "citationItems" : [ { "id" : "ITEM-1", "itemData" : { "DOI" : "10.1016/j.nantod.2015.01.005", "ISBN" : "4924180338011", "ISSN" : "1878044X", "PMID" : "25893004", "abstract" : "Polymeric micelles (PM) are extensively used to improve the delivery of hydrophobic drugs. Many different PM have been designed and evaluated over the years, and some of them have steadily progressed through clinical trials. Increasing evidence suggests, however, that for prolonged circulation times and for efficient EPR-mediated drug targeting to tumors and to sites of inflammation, PM need to be stabilized, to prevent premature disintegration. Core-crosslinking is among the most popular methods to improve the in vivo stability of PM, and a number of core-crosslinked polymeric micelles (CCPM) have demonstrated promising efficacy in animal models. The latter is particularly true for CCPM in which (pro-) drugs are covalently entrapped. This ensures proper drug retention in the micelles during systemic circulation, efficient drug delivery to pathological sites via EPR, and tailorable drug release kinetics at the target site. We here summarize recent advances in the CCPM field, addressing the chemistry involved in preparing them, their in vitro and in vivo performance, potential biomedical applications, and guidelines for efficient clinical translation.", "author" : [ { "dropping-particle" : "", "family" : "Talelli", "given" : "Marina", "non-dropping-particle" : "", "parse-names" : false, "suffix" : "" }, { "dropping-particle" : "", "family" : "Barz", "given" : "Matthias", "non-dropping-particle" : "", "parse-names" : false, "suffix" : "" }, { "dropping-particle" : "", "family" : "Rijcken", "given" : "Cristianne J F", "non-dropping-particle" : "", "parse-names" : false, "suffix" : "" }, { "dropping-particle" : "", "family" : "Kiessling", "given" : "Fabian", "non-dropping-particle" : "", "parse-names" : false, "suffix" : "" }, { "dropping-particle" : "", "family" : "Hennink", "given" : "Wim E.", "non-dropping-particle" : "", "parse-names" : false, "suffix" : "" }, { "dropping-particle" : "", "family" : "Lammers", "given" : "Twan", "non-dropping-particle" : "", "parse-names" : false, "suffix" : "" } ], "container-title" : "Nano Today", "id" : "ITEM-1", "issue" : "1", "issued" : { "date-parts" : [ [ "2015" ] ] }, "page" : "93-117", "publisher" : "Elsevier Ltd", "title" : "Core-crosslinked polymeric micelles: Principles, preparation, biomedical applications and clinical translation", "type" : "article-journal", "volume" : "10" }, "uris" : [ "http://www.mendeley.com/documents/?uuid=2133bcf6-c3bc-4903-b60b-4c0280bc2915", "http://www.mendeley.com/documents/?uuid=2f20c89e-9e5c-47c4-89f6-d1bfa119c6e0" ] } ], "mendeley" : { "formattedCitation" : "[126]", "plainTextFormattedCitation" : "[126]", "previouslyFormattedCitation" : "[126]" }, "properties" : { "noteIndex" : 0 }, "schema" : "https://github.com/citation-style-language/schema/raw/master/csl-citation.json" }</w:instrText>
      </w:r>
      <w:r w:rsidR="00DF1EB9" w:rsidRPr="007721FB">
        <w:rPr>
          <w:rFonts w:ascii="Times New Roman" w:hAnsi="Times New Roman" w:cs="Times New Roman"/>
          <w:sz w:val="24"/>
          <w:szCs w:val="24"/>
        </w:rPr>
        <w:fldChar w:fldCharType="separate"/>
      </w:r>
      <w:r w:rsidR="00F1599C" w:rsidRPr="007721FB">
        <w:rPr>
          <w:rFonts w:ascii="Times New Roman" w:hAnsi="Times New Roman" w:cs="Times New Roman"/>
          <w:noProof/>
          <w:sz w:val="24"/>
          <w:szCs w:val="24"/>
        </w:rPr>
        <w:t>[126]</w:t>
      </w:r>
      <w:r w:rsidR="00DF1EB9" w:rsidRPr="007721FB">
        <w:rPr>
          <w:rFonts w:ascii="Times New Roman" w:hAnsi="Times New Roman" w:cs="Times New Roman"/>
          <w:sz w:val="24"/>
          <w:szCs w:val="24"/>
        </w:rPr>
        <w:fldChar w:fldCharType="end"/>
      </w:r>
      <w:r w:rsidR="00FD4253" w:rsidRPr="007721FB">
        <w:rPr>
          <w:rFonts w:ascii="Times New Roman" w:hAnsi="Times New Roman" w:cs="Times New Roman"/>
          <w:sz w:val="24"/>
          <w:szCs w:val="24"/>
        </w:rPr>
        <w:t xml:space="preserve">. However, it is important to emphasize </w:t>
      </w:r>
      <w:r w:rsidR="00B0121C" w:rsidRPr="007721FB">
        <w:rPr>
          <w:rFonts w:ascii="Times New Roman" w:hAnsi="Times New Roman" w:cs="Times New Roman"/>
          <w:sz w:val="24"/>
          <w:szCs w:val="24"/>
        </w:rPr>
        <w:t xml:space="preserve">that </w:t>
      </w:r>
      <w:r w:rsidR="00255452" w:rsidRPr="007721FB">
        <w:rPr>
          <w:rFonts w:ascii="Times New Roman" w:hAnsi="Times New Roman" w:cs="Times New Roman"/>
          <w:sz w:val="24"/>
          <w:szCs w:val="24"/>
        </w:rPr>
        <w:t xml:space="preserve">few </w:t>
      </w:r>
      <w:r w:rsidR="001D29B8" w:rsidRPr="007721FB">
        <w:rPr>
          <w:rFonts w:ascii="Times New Roman" w:hAnsi="Times New Roman" w:cs="Times New Roman"/>
          <w:sz w:val="24"/>
          <w:szCs w:val="24"/>
        </w:rPr>
        <w:t>redox-responsive carriers</w:t>
      </w:r>
      <w:r w:rsidR="00255452" w:rsidRPr="007721FB">
        <w:rPr>
          <w:rFonts w:ascii="Times New Roman" w:hAnsi="Times New Roman" w:cs="Times New Roman"/>
          <w:sz w:val="24"/>
          <w:szCs w:val="24"/>
        </w:rPr>
        <w:t xml:space="preserve"> have been </w:t>
      </w:r>
      <w:r w:rsidR="00FD4253" w:rsidRPr="007721FB">
        <w:rPr>
          <w:rFonts w:ascii="Times New Roman" w:hAnsi="Times New Roman" w:cs="Times New Roman"/>
          <w:sz w:val="24"/>
          <w:szCs w:val="24"/>
        </w:rPr>
        <w:t>used for the treatment of bone diseases other than cancer.</w:t>
      </w:r>
    </w:p>
    <w:p w14:paraId="25AE0992" w14:textId="62C4ADA9" w:rsidR="00412AE5" w:rsidRPr="007721FB" w:rsidRDefault="003E5E1E" w:rsidP="00EE0E61">
      <w:pPr>
        <w:spacing w:after="0" w:line="240" w:lineRule="auto"/>
        <w:jc w:val="both"/>
        <w:rPr>
          <w:rFonts w:ascii="Times New Roman" w:hAnsi="Times New Roman" w:cs="Times New Roman"/>
          <w:sz w:val="24"/>
          <w:szCs w:val="24"/>
        </w:rPr>
      </w:pPr>
      <w:r w:rsidRPr="007721FB">
        <w:rPr>
          <w:rFonts w:ascii="Times New Roman" w:hAnsi="Times New Roman" w:cs="Times New Roman"/>
          <w:sz w:val="24"/>
        </w:rPr>
        <w:t xml:space="preserve">   </w:t>
      </w:r>
      <w:r w:rsidR="00CD20BF" w:rsidRPr="007721FB">
        <w:rPr>
          <w:rFonts w:ascii="Times New Roman" w:hAnsi="Times New Roman" w:cs="Times New Roman"/>
          <w:sz w:val="24"/>
        </w:rPr>
        <w:t>F</w:t>
      </w:r>
      <w:r w:rsidR="00FD4253" w:rsidRPr="007721FB">
        <w:rPr>
          <w:rFonts w:ascii="Times New Roman" w:hAnsi="Times New Roman" w:cs="Times New Roman"/>
          <w:sz w:val="24"/>
        </w:rPr>
        <w:t>or treatment of osteosarcoma</w:t>
      </w:r>
      <w:r w:rsidR="00B0121C" w:rsidRPr="007721FB">
        <w:rPr>
          <w:rFonts w:ascii="Times New Roman" w:hAnsi="Times New Roman" w:cs="Times New Roman"/>
          <w:sz w:val="24"/>
        </w:rPr>
        <w:t>,</w:t>
      </w:r>
      <w:r w:rsidR="007D21F8" w:rsidRPr="007721FB">
        <w:rPr>
          <w:rFonts w:ascii="Times New Roman" w:hAnsi="Times New Roman" w:cs="Times New Roman"/>
          <w:sz w:val="24"/>
        </w:rPr>
        <w:t xml:space="preserve"> Maciel</w:t>
      </w:r>
      <w:r w:rsidR="001702EE" w:rsidRPr="007721FB">
        <w:rPr>
          <w:rFonts w:ascii="Times New Roman" w:hAnsi="Times New Roman" w:cs="Times New Roman"/>
          <w:sz w:val="24"/>
        </w:rPr>
        <w:t xml:space="preserve"> and colleagues</w:t>
      </w:r>
      <w:r w:rsidR="007D21F8" w:rsidRPr="007721FB">
        <w:rPr>
          <w:rFonts w:ascii="Times New Roman" w:hAnsi="Times New Roman" w:cs="Times New Roman"/>
          <w:sz w:val="24"/>
        </w:rPr>
        <w:t xml:space="preserve"> designed a facile method for preparing redox-responsive alginate nanogels by crosslinking with cystamine through mini</w:t>
      </w:r>
      <w:r w:rsidR="00255452" w:rsidRPr="007721FB">
        <w:rPr>
          <w:rFonts w:ascii="Times New Roman" w:hAnsi="Times New Roman" w:cs="Times New Roman"/>
          <w:sz w:val="24"/>
        </w:rPr>
        <w:t>-</w:t>
      </w:r>
      <w:r w:rsidR="007D21F8" w:rsidRPr="007721FB">
        <w:rPr>
          <w:rFonts w:ascii="Times New Roman" w:hAnsi="Times New Roman" w:cs="Times New Roman"/>
          <w:sz w:val="24"/>
        </w:rPr>
        <w:t>emulsion</w:t>
      </w:r>
      <w:r w:rsidR="00FD4253" w:rsidRPr="007721FB">
        <w:rPr>
          <w:rFonts w:ascii="Times New Roman" w:hAnsi="Times New Roman" w:cs="Times New Roman"/>
          <w:sz w:val="24"/>
        </w:rPr>
        <w:t xml:space="preserve"> </w:t>
      </w:r>
      <w:r w:rsidR="007D21F8" w:rsidRPr="007721FB">
        <w:rPr>
          <w:rFonts w:ascii="Times New Roman" w:hAnsi="Times New Roman" w:cs="Times New Roman"/>
          <w:sz w:val="24"/>
        </w:rPr>
        <w:fldChar w:fldCharType="begin" w:fldLock="1"/>
      </w:r>
      <w:r w:rsidR="00F1599C" w:rsidRPr="007721FB">
        <w:rPr>
          <w:rFonts w:ascii="Times New Roman" w:hAnsi="Times New Roman" w:cs="Times New Roman"/>
          <w:sz w:val="24"/>
        </w:rPr>
        <w:instrText>ADDIN CSL_CITATION { "citationItems" : [ { "id" : "ITEM-1", "itemData" : { "DOI" : "10.1021/bm400768m", "ISBN" : "1525-7797", "ISSN" : "15257797", "PMID" : "23927460", "abstract" : "Although doxorubicin (Dox) has been widely used in the treatment of different types of cancer, its insufficient cellular uptake and intracellular release is still a limitation. Herein, we report an easy process for the preparation of redox-sensitive nanogels that were shown to be highly efficient in the intracellular delivery of Dox. The nanogels (AG/Cys) were obtained through in situ cross-linking of alginate (AG) using cystamine (Cys) as a cross-linker via a miniemulsion method. Dox was loaded into the AG/Cys nanogels by simply mixing it in aqueous solution with the nanogels, that is, by the establishment of electrostatic interactions between the anionic AG and the cationic Dox. The results demonstrated that the AG/Cys nanogels are cytocompatible, have a high drug encapsulation efficiency (95.2 \u00b1 4.7%), show an in vitro accelerated release of Dox in conditions that mimic the intracellular reductive conditions, and can quickly be taken up by CAL-72 cells (an osteosarcoma cell line), resulting in higher Dox intracellular accumulation and a remarkable cell death extension when compared with free Dox. The developed nanogels can be used as a tool to overcome the problem of Dox resistance in anticancer treatments and possibly be used for the delivery of other cationic drugs in applications beyond cancer.", "author" : [ { "dropping-particle" : "", "family" : "Maciel", "given" : "Dina", "non-dropping-particle" : "", "parse-names" : false, "suffix" : "" }, { "dropping-particle" : "", "family" : "Figueira", "given" : "Priscilla", "non-dropping-particle" : "", "parse-names" : false, "suffix" : "" }, { "dropping-particle" : "", "family" : "Xiao", "given" : "Shili", "non-dropping-particle" : "", "parse-names" : false, "suffix" : "" }, { "dropping-particle" : "", "family" : "Hu", "given" : "Dengmai", "non-dropping-particle" : "", "parse-names" : false, "suffix" : "" }, { "dropping-particle" : "", "family" : "Shi", "given" : "Xiangyang", "non-dropping-particle" : "", "parse-names" : false, "suffix" : "" }, { "dropping-particle" : "", "family" : "Rodrigues", "given" : "Jo??o", "non-dropping-particle" : "", "parse-names" : false, "suffix" : "" }, { "dropping-particle" : "", "family" : "Tom??s", "given" : "Helena", "non-dropping-particle" : "", "parse-names" : false, "suffix" : "" }, { "dropping-particle" : "", "family" : "Li", "given" : "Yulin", "non-dropping-particle" : "", "parse-names" : false, "suffix" : "" } ], "container-title" : "Biomacromolecules", "id" : "ITEM-1", "issue" : "9", "issued" : { "date-parts" : [ [ "2013" ] ] }, "page" : "3140-3146", "title" : "Redox-responsive alginate nanogels with enhanced anticancer cytotoxicity", "type" : "article-journal", "volume" : "14" }, "uris" : [ "http://www.mendeley.com/documents/?uuid=24621053-4f4d-4e78-9177-38a42ba0505c", "http://www.mendeley.com/documents/?uuid=42eaff99-4cdf-4eaa-af04-90b0991220e5" ] } ], "mendeley" : { "formattedCitation" : "[127]", "plainTextFormattedCitation" : "[127]", "previouslyFormattedCitation" : "[127]" }, "properties" : { "noteIndex" : 0 }, "schema" : "https://github.com/citation-style-language/schema/raw/master/csl-citation.json" }</w:instrText>
      </w:r>
      <w:r w:rsidR="007D21F8" w:rsidRPr="007721FB">
        <w:rPr>
          <w:rFonts w:ascii="Times New Roman" w:hAnsi="Times New Roman" w:cs="Times New Roman"/>
          <w:sz w:val="24"/>
        </w:rPr>
        <w:fldChar w:fldCharType="separate"/>
      </w:r>
      <w:r w:rsidR="00F1599C" w:rsidRPr="007721FB">
        <w:rPr>
          <w:rFonts w:ascii="Times New Roman" w:hAnsi="Times New Roman" w:cs="Times New Roman"/>
          <w:noProof/>
          <w:sz w:val="24"/>
        </w:rPr>
        <w:t>[127]</w:t>
      </w:r>
      <w:r w:rsidR="007D21F8" w:rsidRPr="007721FB">
        <w:rPr>
          <w:rFonts w:ascii="Times New Roman" w:hAnsi="Times New Roman" w:cs="Times New Roman"/>
          <w:sz w:val="24"/>
        </w:rPr>
        <w:fldChar w:fldCharType="end"/>
      </w:r>
      <w:r w:rsidR="00FD4253" w:rsidRPr="007721FB">
        <w:rPr>
          <w:rFonts w:ascii="Times New Roman" w:hAnsi="Times New Roman" w:cs="Times New Roman"/>
          <w:sz w:val="24"/>
        </w:rPr>
        <w:t>.</w:t>
      </w:r>
      <w:r w:rsidR="00131198" w:rsidRPr="007721FB">
        <w:rPr>
          <w:rFonts w:ascii="Times New Roman" w:hAnsi="Times New Roman" w:cs="Times New Roman"/>
          <w:sz w:val="24"/>
        </w:rPr>
        <w:t xml:space="preserve"> Then,</w:t>
      </w:r>
      <w:r w:rsidR="00FD4253" w:rsidRPr="007721FB">
        <w:rPr>
          <w:rFonts w:ascii="Times New Roman" w:hAnsi="Times New Roman" w:cs="Times New Roman"/>
          <w:sz w:val="24"/>
        </w:rPr>
        <w:t xml:space="preserve"> cytotoxic drug</w:t>
      </w:r>
      <w:r w:rsidR="00131198" w:rsidRPr="007721FB">
        <w:rPr>
          <w:rFonts w:ascii="Times New Roman" w:hAnsi="Times New Roman" w:cs="Times New Roman"/>
          <w:sz w:val="24"/>
        </w:rPr>
        <w:t xml:space="preserve"> </w:t>
      </w:r>
      <w:r w:rsidR="00FD4253" w:rsidRPr="007721FB">
        <w:rPr>
          <w:rFonts w:ascii="Times New Roman" w:hAnsi="Times New Roman" w:cs="Times New Roman"/>
          <w:sz w:val="24"/>
        </w:rPr>
        <w:t>l</w:t>
      </w:r>
      <w:r w:rsidR="007D21F8" w:rsidRPr="007721FB">
        <w:rPr>
          <w:rFonts w:ascii="Times New Roman" w:hAnsi="Times New Roman" w:cs="Times New Roman"/>
          <w:sz w:val="24"/>
        </w:rPr>
        <w:t>oading was achieved by</w:t>
      </w:r>
      <w:r w:rsidR="00B1407E" w:rsidRPr="007721FB">
        <w:rPr>
          <w:rFonts w:ascii="Times New Roman" w:hAnsi="Times New Roman" w:cs="Times New Roman"/>
          <w:sz w:val="24"/>
        </w:rPr>
        <w:t xml:space="preserve"> incorporating </w:t>
      </w:r>
      <w:r w:rsidR="00FD4253" w:rsidRPr="007721FB">
        <w:rPr>
          <w:rFonts w:ascii="Times New Roman" w:hAnsi="Times New Roman" w:cs="Times New Roman"/>
          <w:sz w:val="24"/>
        </w:rPr>
        <w:t>DOX</w:t>
      </w:r>
      <w:r w:rsidR="007D21F8" w:rsidRPr="007721FB">
        <w:rPr>
          <w:rFonts w:ascii="Times New Roman" w:hAnsi="Times New Roman" w:cs="Times New Roman"/>
          <w:sz w:val="24"/>
        </w:rPr>
        <w:t xml:space="preserve"> in aqueous solution </w:t>
      </w:r>
      <w:r w:rsidR="00B1407E" w:rsidRPr="007721FB">
        <w:rPr>
          <w:rFonts w:ascii="Times New Roman" w:hAnsi="Times New Roman" w:cs="Times New Roman"/>
          <w:sz w:val="24"/>
        </w:rPr>
        <w:t>with</w:t>
      </w:r>
      <w:r w:rsidR="007D21F8" w:rsidRPr="007721FB">
        <w:rPr>
          <w:rFonts w:ascii="Times New Roman" w:hAnsi="Times New Roman" w:cs="Times New Roman"/>
          <w:sz w:val="24"/>
        </w:rPr>
        <w:t xml:space="preserve"> nanogels, resulting in high encapsulation efficiency (95.2 ± 4.7%). </w:t>
      </w:r>
      <w:r w:rsidR="00B1407E" w:rsidRPr="007721FB">
        <w:rPr>
          <w:rFonts w:ascii="Times New Roman" w:hAnsi="Times New Roman" w:cs="Times New Roman"/>
          <w:sz w:val="24"/>
        </w:rPr>
        <w:t>T</w:t>
      </w:r>
      <w:r w:rsidR="007D21F8" w:rsidRPr="007721FB">
        <w:rPr>
          <w:rFonts w:ascii="Times New Roman" w:hAnsi="Times New Roman" w:cs="Times New Roman"/>
          <w:sz w:val="24"/>
        </w:rPr>
        <w:t>hese biocompatible nanogels significantly increase</w:t>
      </w:r>
      <w:r w:rsidR="00255452" w:rsidRPr="007721FB">
        <w:rPr>
          <w:rFonts w:ascii="Times New Roman" w:hAnsi="Times New Roman" w:cs="Times New Roman"/>
          <w:sz w:val="24"/>
        </w:rPr>
        <w:t>d</w:t>
      </w:r>
      <w:r w:rsidR="007D21F8" w:rsidRPr="007721FB">
        <w:rPr>
          <w:rFonts w:ascii="Times New Roman" w:hAnsi="Times New Roman" w:cs="Times New Roman"/>
          <w:sz w:val="24"/>
        </w:rPr>
        <w:t xml:space="preserve"> DOX intracellular concentration</w:t>
      </w:r>
      <w:r w:rsidR="00B1407E" w:rsidRPr="007721FB">
        <w:rPr>
          <w:rFonts w:ascii="Times New Roman" w:hAnsi="Times New Roman" w:cs="Times New Roman"/>
          <w:sz w:val="24"/>
        </w:rPr>
        <w:t xml:space="preserve"> and </w:t>
      </w:r>
      <w:r w:rsidR="007D21F8" w:rsidRPr="007721FB">
        <w:rPr>
          <w:rFonts w:ascii="Times New Roman" w:hAnsi="Times New Roman" w:cs="Times New Roman"/>
          <w:sz w:val="24"/>
        </w:rPr>
        <w:t>enhanc</w:t>
      </w:r>
      <w:r w:rsidR="00B1407E" w:rsidRPr="007721FB">
        <w:rPr>
          <w:rFonts w:ascii="Times New Roman" w:hAnsi="Times New Roman" w:cs="Times New Roman"/>
          <w:sz w:val="24"/>
        </w:rPr>
        <w:t>e</w:t>
      </w:r>
      <w:r w:rsidR="001D29B8" w:rsidRPr="007721FB">
        <w:rPr>
          <w:rFonts w:ascii="Times New Roman" w:hAnsi="Times New Roman" w:cs="Times New Roman"/>
          <w:sz w:val="24"/>
        </w:rPr>
        <w:t>d</w:t>
      </w:r>
      <w:r w:rsidR="007D21F8" w:rsidRPr="007721FB">
        <w:rPr>
          <w:rFonts w:ascii="Times New Roman" w:hAnsi="Times New Roman" w:cs="Times New Roman"/>
          <w:sz w:val="24"/>
        </w:rPr>
        <w:t xml:space="preserve"> cytotoxicity </w:t>
      </w:r>
      <w:r w:rsidR="00B1407E" w:rsidRPr="007721FB">
        <w:rPr>
          <w:rFonts w:ascii="Times New Roman" w:hAnsi="Times New Roman" w:cs="Times New Roman"/>
          <w:sz w:val="24"/>
        </w:rPr>
        <w:t>in</w:t>
      </w:r>
      <w:r w:rsidR="007D21F8" w:rsidRPr="007721FB">
        <w:rPr>
          <w:rFonts w:ascii="Times New Roman" w:hAnsi="Times New Roman" w:cs="Times New Roman"/>
          <w:sz w:val="24"/>
        </w:rPr>
        <w:t xml:space="preserve"> osteosarcoma cells (CAL-72).</w:t>
      </w:r>
      <w:r w:rsidR="007D21F8" w:rsidRPr="007721FB">
        <w:rPr>
          <w:rFonts w:ascii="Times New Roman" w:hAnsi="Times New Roman" w:cs="Times New Roman"/>
          <w:sz w:val="24"/>
          <w:szCs w:val="24"/>
        </w:rPr>
        <w:t xml:space="preserve"> </w:t>
      </w:r>
      <w:r w:rsidR="00412AE5" w:rsidRPr="007721FB">
        <w:rPr>
          <w:rFonts w:ascii="Times New Roman" w:hAnsi="Times New Roman" w:cs="Times New Roman"/>
          <w:sz w:val="24"/>
          <w:szCs w:val="24"/>
        </w:rPr>
        <w:t>A</w:t>
      </w:r>
      <w:r w:rsidR="007D21F8" w:rsidRPr="007721FB">
        <w:rPr>
          <w:rFonts w:ascii="Times New Roman" w:hAnsi="Times New Roman" w:cs="Times New Roman"/>
          <w:sz w:val="24"/>
          <w:szCs w:val="24"/>
        </w:rPr>
        <w:t>nother</w:t>
      </w:r>
      <w:r w:rsidR="00C34B3C" w:rsidRPr="007721FB">
        <w:rPr>
          <w:rFonts w:ascii="Times New Roman" w:hAnsi="Times New Roman" w:cs="Times New Roman"/>
          <w:sz w:val="24"/>
          <w:szCs w:val="24"/>
        </w:rPr>
        <w:t xml:space="preserve"> </w:t>
      </w:r>
      <w:r w:rsidR="00FF08B5" w:rsidRPr="007721FB">
        <w:rPr>
          <w:rFonts w:ascii="Times New Roman" w:hAnsi="Times New Roman" w:cs="Times New Roman"/>
          <w:sz w:val="24"/>
          <w:szCs w:val="24"/>
        </w:rPr>
        <w:t xml:space="preserve">interesting approach for bone cancer </w:t>
      </w:r>
      <w:r w:rsidR="00B1407E" w:rsidRPr="007721FB">
        <w:rPr>
          <w:rFonts w:ascii="Times New Roman" w:hAnsi="Times New Roman" w:cs="Times New Roman"/>
          <w:sz w:val="24"/>
          <w:szCs w:val="24"/>
        </w:rPr>
        <w:t>is that proposed by</w:t>
      </w:r>
      <w:r w:rsidR="00FF08B5" w:rsidRPr="007721FB">
        <w:rPr>
          <w:rFonts w:ascii="Times New Roman" w:hAnsi="Times New Roman" w:cs="Times New Roman"/>
          <w:sz w:val="24"/>
          <w:szCs w:val="24"/>
        </w:rPr>
        <w:t xml:space="preserve"> Yao </w:t>
      </w:r>
      <w:r w:rsidR="00B1407E" w:rsidRPr="007721FB">
        <w:rPr>
          <w:rFonts w:ascii="Times New Roman" w:hAnsi="Times New Roman" w:cs="Times New Roman"/>
          <w:sz w:val="24"/>
          <w:szCs w:val="24"/>
        </w:rPr>
        <w:t>and co-worker</w:t>
      </w:r>
      <w:r w:rsidR="00412AE5" w:rsidRPr="007721FB">
        <w:rPr>
          <w:rFonts w:ascii="Times New Roman" w:hAnsi="Times New Roman" w:cs="Times New Roman"/>
          <w:sz w:val="24"/>
          <w:szCs w:val="24"/>
        </w:rPr>
        <w:t xml:space="preserve">s </w:t>
      </w:r>
      <w:r w:rsidR="00FF08B5" w:rsidRPr="007721FB">
        <w:rPr>
          <w:rFonts w:ascii="Times New Roman" w:hAnsi="Times New Roman" w:cs="Times New Roman"/>
          <w:sz w:val="24"/>
          <w:szCs w:val="24"/>
        </w:rPr>
        <w:t>wh</w:t>
      </w:r>
      <w:r w:rsidR="00B1407E" w:rsidRPr="007721FB">
        <w:rPr>
          <w:rFonts w:ascii="Times New Roman" w:hAnsi="Times New Roman" w:cs="Times New Roman"/>
          <w:sz w:val="24"/>
          <w:szCs w:val="24"/>
        </w:rPr>
        <w:t>ich</w:t>
      </w:r>
      <w:r w:rsidR="00FF08B5" w:rsidRPr="007721FB">
        <w:rPr>
          <w:rFonts w:ascii="Times New Roman" w:hAnsi="Times New Roman" w:cs="Times New Roman"/>
          <w:sz w:val="24"/>
          <w:szCs w:val="24"/>
        </w:rPr>
        <w:t xml:space="preserve"> designed </w:t>
      </w:r>
      <w:r w:rsidR="00255452" w:rsidRPr="007721FB">
        <w:rPr>
          <w:rFonts w:ascii="Times New Roman" w:hAnsi="Times New Roman" w:cs="Times New Roman"/>
          <w:sz w:val="24"/>
          <w:szCs w:val="24"/>
        </w:rPr>
        <w:t>glutathione</w:t>
      </w:r>
      <w:r w:rsidR="00FF08B5" w:rsidRPr="007721FB">
        <w:rPr>
          <w:rFonts w:ascii="Times New Roman" w:hAnsi="Times New Roman" w:cs="Times New Roman"/>
          <w:sz w:val="24"/>
          <w:szCs w:val="24"/>
        </w:rPr>
        <w:t>-responsive self-assembl</w:t>
      </w:r>
      <w:r w:rsidR="00B1407E" w:rsidRPr="007721FB">
        <w:rPr>
          <w:rFonts w:ascii="Times New Roman" w:hAnsi="Times New Roman" w:cs="Times New Roman"/>
          <w:sz w:val="24"/>
          <w:szCs w:val="24"/>
        </w:rPr>
        <w:t>ed</w:t>
      </w:r>
      <w:r w:rsidR="00FF08B5" w:rsidRPr="007721FB">
        <w:rPr>
          <w:rFonts w:ascii="Times New Roman" w:hAnsi="Times New Roman" w:cs="Times New Roman"/>
          <w:sz w:val="24"/>
          <w:szCs w:val="24"/>
        </w:rPr>
        <w:t xml:space="preserve"> micelles </w:t>
      </w:r>
      <w:r w:rsidR="005606F9" w:rsidRPr="007721FB">
        <w:rPr>
          <w:rFonts w:ascii="Times New Roman" w:hAnsi="Times New Roman" w:cs="Times New Roman"/>
          <w:sz w:val="24"/>
          <w:szCs w:val="24"/>
        </w:rPr>
        <w:t>(size</w:t>
      </w:r>
      <w:r w:rsidR="004C1FA6" w:rsidRPr="007721FB">
        <w:rPr>
          <w:rFonts w:ascii="Times New Roman" w:hAnsi="Times New Roman" w:cs="Times New Roman"/>
          <w:sz w:val="24"/>
          <w:szCs w:val="24"/>
        </w:rPr>
        <w:t>:</w:t>
      </w:r>
      <w:r w:rsidR="005606F9" w:rsidRPr="007721FB">
        <w:rPr>
          <w:rFonts w:ascii="Times New Roman" w:hAnsi="Times New Roman" w:cs="Times New Roman"/>
          <w:sz w:val="24"/>
          <w:szCs w:val="24"/>
        </w:rPr>
        <w:t xml:space="preserve"> 169.8 nm, </w:t>
      </w:r>
      <w:r w:rsidR="00D86923" w:rsidRPr="007721FB">
        <w:rPr>
          <w:rFonts w:ascii="Times New Roman" w:hAnsi="Times New Roman" w:cs="Times New Roman"/>
          <w:sz w:val="24"/>
          <w:szCs w:val="24"/>
        </w:rPr>
        <w:t>ζ-</w:t>
      </w:r>
      <w:r w:rsidR="005606F9" w:rsidRPr="007721FB">
        <w:rPr>
          <w:rFonts w:ascii="Times New Roman" w:hAnsi="Times New Roman" w:cs="Times New Roman"/>
          <w:sz w:val="24"/>
          <w:szCs w:val="24"/>
        </w:rPr>
        <w:t>potential</w:t>
      </w:r>
      <w:r w:rsidR="005D2D65" w:rsidRPr="007721FB">
        <w:rPr>
          <w:rFonts w:ascii="Times New Roman" w:hAnsi="Times New Roman" w:cs="Times New Roman"/>
          <w:sz w:val="24"/>
          <w:szCs w:val="24"/>
        </w:rPr>
        <w:t xml:space="preserve">: </w:t>
      </w:r>
      <w:r w:rsidR="005606F9" w:rsidRPr="007721FB">
        <w:rPr>
          <w:rFonts w:ascii="Times New Roman" w:hAnsi="Times New Roman" w:cs="Times New Roman"/>
          <w:sz w:val="24"/>
          <w:szCs w:val="24"/>
        </w:rPr>
        <w:t xml:space="preserve">+20.23 mV) </w:t>
      </w:r>
      <w:r w:rsidR="00FF08B5" w:rsidRPr="007721FB">
        <w:rPr>
          <w:rFonts w:ascii="Times New Roman" w:hAnsi="Times New Roman" w:cs="Times New Roman"/>
          <w:sz w:val="24"/>
          <w:szCs w:val="24"/>
        </w:rPr>
        <w:t xml:space="preserve">based on </w:t>
      </w:r>
      <w:r w:rsidR="005606F9" w:rsidRPr="007721FB">
        <w:rPr>
          <w:rFonts w:ascii="Times New Roman" w:hAnsi="Times New Roman" w:cs="Times New Roman"/>
          <w:sz w:val="24"/>
          <w:szCs w:val="24"/>
        </w:rPr>
        <w:t>disulfide crosslinked stearyl</w:t>
      </w:r>
      <w:r w:rsidR="00255452" w:rsidRPr="007721FB">
        <w:rPr>
          <w:rFonts w:ascii="Times New Roman" w:hAnsi="Times New Roman" w:cs="Times New Roman"/>
          <w:sz w:val="24"/>
          <w:szCs w:val="24"/>
        </w:rPr>
        <w:t xml:space="preserve"> </w:t>
      </w:r>
      <w:r w:rsidR="00B1407E" w:rsidRPr="007721FB">
        <w:rPr>
          <w:rFonts w:ascii="Times New Roman" w:hAnsi="Times New Roman" w:cs="Times New Roman"/>
          <w:sz w:val="24"/>
          <w:szCs w:val="24"/>
        </w:rPr>
        <w:t xml:space="preserve">cationic polypeptide copolymers </w:t>
      </w:r>
      <w:r w:rsidR="005606F9" w:rsidRPr="007721FB">
        <w:rPr>
          <w:rFonts w:ascii="Times New Roman" w:hAnsi="Times New Roman" w:cs="Times New Roman"/>
          <w:sz w:val="24"/>
          <w:szCs w:val="24"/>
        </w:rPr>
        <w:t>containing arginine and histidine</w:t>
      </w:r>
      <w:r w:rsidR="00FF08B5" w:rsidRPr="007721FB">
        <w:rPr>
          <w:rFonts w:ascii="Times New Roman" w:hAnsi="Times New Roman" w:cs="Times New Roman"/>
          <w:sz w:val="24"/>
          <w:szCs w:val="24"/>
        </w:rPr>
        <w:t xml:space="preserve"> for </w:t>
      </w:r>
      <w:r w:rsidR="00B1407E" w:rsidRPr="007721FB">
        <w:rPr>
          <w:rFonts w:ascii="Times New Roman" w:hAnsi="Times New Roman" w:cs="Times New Roman"/>
          <w:sz w:val="24"/>
          <w:szCs w:val="24"/>
        </w:rPr>
        <w:t>co-</w:t>
      </w:r>
      <w:r w:rsidR="00FF08B5" w:rsidRPr="007721FB">
        <w:rPr>
          <w:rFonts w:ascii="Times New Roman" w:hAnsi="Times New Roman" w:cs="Times New Roman"/>
          <w:sz w:val="24"/>
          <w:szCs w:val="24"/>
        </w:rPr>
        <w:t>delivery of D</w:t>
      </w:r>
      <w:r w:rsidR="00255452" w:rsidRPr="007721FB">
        <w:rPr>
          <w:rFonts w:ascii="Times New Roman" w:hAnsi="Times New Roman" w:cs="Times New Roman"/>
          <w:sz w:val="24"/>
          <w:szCs w:val="24"/>
        </w:rPr>
        <w:t>OX</w:t>
      </w:r>
      <w:r w:rsidR="00FF08B5" w:rsidRPr="007721FB">
        <w:rPr>
          <w:rFonts w:ascii="Times New Roman" w:hAnsi="Times New Roman" w:cs="Times New Roman"/>
          <w:sz w:val="24"/>
          <w:szCs w:val="24"/>
        </w:rPr>
        <w:t xml:space="preserve"> and microRNA-34a to androgen-independent prostate cancer cells both </w:t>
      </w:r>
      <w:r w:rsidR="00FF08B5" w:rsidRPr="007721FB">
        <w:rPr>
          <w:rFonts w:ascii="Times New Roman" w:hAnsi="Times New Roman" w:cs="Times New Roman"/>
          <w:i/>
          <w:sz w:val="24"/>
          <w:szCs w:val="24"/>
        </w:rPr>
        <w:t>in vitro</w:t>
      </w:r>
      <w:r w:rsidR="00FF08B5" w:rsidRPr="007721FB">
        <w:rPr>
          <w:rFonts w:ascii="Times New Roman" w:hAnsi="Times New Roman" w:cs="Times New Roman"/>
          <w:sz w:val="24"/>
          <w:szCs w:val="24"/>
        </w:rPr>
        <w:t xml:space="preserve"> and </w:t>
      </w:r>
      <w:r w:rsidR="00FF08B5" w:rsidRPr="007721FB">
        <w:rPr>
          <w:rFonts w:ascii="Times New Roman" w:hAnsi="Times New Roman" w:cs="Times New Roman"/>
          <w:i/>
          <w:sz w:val="24"/>
          <w:szCs w:val="24"/>
        </w:rPr>
        <w:t>in vivo</w:t>
      </w:r>
      <w:r w:rsidR="00FF08B5" w:rsidRPr="007721FB">
        <w:rPr>
          <w:rFonts w:ascii="Times New Roman" w:hAnsi="Times New Roman" w:cs="Times New Roman"/>
          <w:sz w:val="24"/>
          <w:szCs w:val="24"/>
        </w:rPr>
        <w:t xml:space="preserve"> </w:t>
      </w:r>
      <w:r w:rsidR="00FF08B5" w:rsidRPr="007721FB">
        <w:rPr>
          <w:rFonts w:ascii="Times New Roman" w:hAnsi="Times New Roman" w:cs="Times New Roman"/>
          <w:sz w:val="24"/>
          <w:szCs w:val="24"/>
        </w:rPr>
        <w:fldChar w:fldCharType="begin" w:fldLock="1"/>
      </w:r>
      <w:r w:rsidR="00F1599C" w:rsidRPr="007721FB">
        <w:rPr>
          <w:rFonts w:ascii="Times New Roman" w:hAnsi="Times New Roman" w:cs="Times New Roman"/>
          <w:sz w:val="24"/>
          <w:szCs w:val="24"/>
        </w:rPr>
        <w:instrText>ADDIN CSL_CITATION { "citationItems" : [ { "id" : "ITEM-1", "itemData" : { "DOI" : "10.1016/j.jconrel.2016.04.034", "ISBN" : "0168-3659", "ISSN" : "18734995", "PMID" : "27126903", "abstract" : "The co-delivery of chemotherapeutic drugs and microRNAs (miR) represents a promising strategy for tumor therapy due to the synergistic effect achieved. In the present study, hydrophobic doxorubicin (DOX) and negatively charged miR-34a were simultaneously delivered via a reducible self-assembling disulfide cross-linked stearyl-peptide-based micellar system (SHRss) using poly(l-arginine)-poly(l-histidine)-stearoyl as the copolymer building unit. The nanoscale SHRss micelles exhibited a low critical micelle concentration (CMC) with positive surface charge. In addition, the present micellar system facilitated the escape of miR-34a from the endosome and release of DOX into the cell nucleus, leading to the downregulation of silent information regulator 1 (SIRT1) expression and inhibition of DU145 and PC3 androgen-independent prostate cancer cell proliferation. In addition, DOX and miR-34a, delivered by SHRss micelles, passively targeted tumor tissue. Furthermore, a synergistic anti-proliferative effect was observed compared with DOX or miR-34a treatment alone in vivo. Our results demonstrate that the SHRss micelles developed in the present study represent a promising approach for combined delivery of gene agents and hydrophobic chemotherapeutic drugs in cancer therapy.", "author" : [ { "dropping-particle" : "", "family" : "Yao", "given" : "Chong", "non-dropping-particle" : "", "parse-names" : false, "suffix" : "" }, { "dropping-particle" : "", "family" : "Liu", "given" : "Jiyong", "non-dropping-particle" : "", "parse-names" : false, "suffix" : "" }, { "dropping-particle" : "", "family" : "Wu", "given" : "Xin", "non-dropping-particle" : "", "parse-names" : false, "suffix" : "" }, { "dropping-particle" : "", "family" : "Tai", "given" : "Zongguang", "non-dropping-particle" : "", "parse-names" : false, "suffix" : "" }, { "dropping-particle" : "", "family" : "Gao", "given" : "Yuan", "non-dropping-particle" : "", "parse-names" : false, "suffix" : "" }, { "dropping-particle" : "", "family" : "Zhu", "given" : "Quangang", "non-dropping-particle" : "", "parse-names" : false, "suffix" : "" }, { "dropping-particle" : "", "family" : "Li", "given" : "Jiafei", "non-dropping-particle" : "", "parse-names" : false, "suffix" : "" }, { "dropping-particle" : "", "family" : "Zhang", "given" : "Lijuan", "non-dropping-particle" : "", "parse-names" : false, "suffix" : "" }, { "dropping-particle" : "", "family" : "Hu", "given" : "Chuling", "non-dropping-particle" : "", "parse-names" : false, "suffix" : "" }, { "dropping-particle" : "", "family" : "Gu", "given" : "Fenfen", "non-dropping-particle" : "", "parse-names" : false, "suffix" : "" }, { "dropping-particle" : "", "family" : "Gao", "given" : "Jing", "non-dropping-particle" : "", "parse-names" : false, "suffix" : "" }, { "dropping-particle" : "", "family" : "Gao", "given" : "Shen", "non-dropping-particle" : "", "parse-names" : false, "suffix" : "" } ], "container-title" : "Journal of Controlled Release", "id" : "ITEM-1", "issued" : { "date-parts" : [ [ "2016" ] ] }, "page" : "203-214", "publisher" : "Elsevier B.V.", "title" : "Reducible self-assembling cationic polypeptide-based micelles mediate co-delivery of doxorubicin and microRNA-34a for androgen-independent prostate cancer therapy", "type" : "article-journal", "volume" : "232" }, "uris" : [ "http://www.mendeley.com/documents/?uuid=3d34fb00-59ce-4c4b-b8ae-81fd750d8a46", "http://www.mendeley.com/documents/?uuid=2f1f067b-8933-49cc-a408-e8c22f96b5c3" ] } ], "mendeley" : { "formattedCitation" : "[128]", "plainTextFormattedCitation" : "[128]", "previouslyFormattedCitation" : "[128]" }, "properties" : { "noteIndex" : 0 }, "schema" : "https://github.com/citation-style-language/schema/raw/master/csl-citation.json" }</w:instrText>
      </w:r>
      <w:r w:rsidR="00FF08B5" w:rsidRPr="007721FB">
        <w:rPr>
          <w:rFonts w:ascii="Times New Roman" w:hAnsi="Times New Roman" w:cs="Times New Roman"/>
          <w:sz w:val="24"/>
          <w:szCs w:val="24"/>
        </w:rPr>
        <w:fldChar w:fldCharType="separate"/>
      </w:r>
      <w:r w:rsidR="00F1599C" w:rsidRPr="007721FB">
        <w:rPr>
          <w:rFonts w:ascii="Times New Roman" w:hAnsi="Times New Roman" w:cs="Times New Roman"/>
          <w:noProof/>
          <w:sz w:val="24"/>
          <w:szCs w:val="24"/>
        </w:rPr>
        <w:t>[128]</w:t>
      </w:r>
      <w:r w:rsidR="00FF08B5" w:rsidRPr="007721FB">
        <w:rPr>
          <w:rFonts w:ascii="Times New Roman" w:hAnsi="Times New Roman" w:cs="Times New Roman"/>
          <w:sz w:val="24"/>
          <w:szCs w:val="24"/>
        </w:rPr>
        <w:fldChar w:fldCharType="end"/>
      </w:r>
      <w:r w:rsidR="00255452" w:rsidRPr="007721FB">
        <w:rPr>
          <w:rFonts w:ascii="Times New Roman" w:hAnsi="Times New Roman" w:cs="Times New Roman"/>
          <w:sz w:val="24"/>
          <w:szCs w:val="24"/>
        </w:rPr>
        <w:t>.</w:t>
      </w:r>
      <w:r w:rsidR="00B1407E" w:rsidRPr="007721FB">
        <w:rPr>
          <w:rFonts w:ascii="Times New Roman" w:hAnsi="Times New Roman" w:cs="Times New Roman"/>
          <w:sz w:val="24"/>
          <w:szCs w:val="24"/>
        </w:rPr>
        <w:t xml:space="preserve"> </w:t>
      </w:r>
      <w:r w:rsidR="00FF08B5" w:rsidRPr="007721FB">
        <w:rPr>
          <w:rFonts w:ascii="Times New Roman" w:hAnsi="Times New Roman" w:cs="Times New Roman"/>
          <w:sz w:val="24"/>
          <w:szCs w:val="24"/>
        </w:rPr>
        <w:t xml:space="preserve">These micelles reduced </w:t>
      </w:r>
      <w:r w:rsidR="00B1407E" w:rsidRPr="007721FB">
        <w:rPr>
          <w:rFonts w:ascii="Times New Roman" w:hAnsi="Times New Roman" w:cs="Times New Roman"/>
          <w:sz w:val="24"/>
          <w:szCs w:val="24"/>
        </w:rPr>
        <w:t>anthracycline</w:t>
      </w:r>
      <w:r w:rsidR="00FF08B5" w:rsidRPr="007721FB">
        <w:rPr>
          <w:rFonts w:ascii="Times New Roman" w:hAnsi="Times New Roman" w:cs="Times New Roman"/>
          <w:sz w:val="24"/>
          <w:szCs w:val="24"/>
        </w:rPr>
        <w:t xml:space="preserve"> cardiotoxicity </w:t>
      </w:r>
      <w:r w:rsidR="00B1407E" w:rsidRPr="007721FB">
        <w:rPr>
          <w:rFonts w:ascii="Times New Roman" w:hAnsi="Times New Roman" w:cs="Times New Roman"/>
          <w:sz w:val="24"/>
          <w:szCs w:val="24"/>
        </w:rPr>
        <w:t>and promoted a</w:t>
      </w:r>
      <w:r w:rsidR="00FF08B5" w:rsidRPr="007721FB">
        <w:rPr>
          <w:rFonts w:ascii="Times New Roman" w:hAnsi="Times New Roman" w:cs="Times New Roman"/>
          <w:sz w:val="24"/>
          <w:szCs w:val="24"/>
        </w:rPr>
        <w:t xml:space="preserve"> synergistic</w:t>
      </w:r>
      <w:r w:rsidR="00B1407E" w:rsidRPr="007721FB">
        <w:rPr>
          <w:rFonts w:ascii="Times New Roman" w:hAnsi="Times New Roman" w:cs="Times New Roman"/>
          <w:sz w:val="24"/>
          <w:szCs w:val="24"/>
        </w:rPr>
        <w:t xml:space="preserve"> anti-tumoral effect upon</w:t>
      </w:r>
      <w:r w:rsidR="00FF08B5" w:rsidRPr="007721FB">
        <w:rPr>
          <w:rFonts w:ascii="Times New Roman" w:hAnsi="Times New Roman" w:cs="Times New Roman"/>
          <w:sz w:val="24"/>
          <w:szCs w:val="24"/>
        </w:rPr>
        <w:t xml:space="preserve"> </w:t>
      </w:r>
      <w:r w:rsidR="00B1407E" w:rsidRPr="007721FB">
        <w:rPr>
          <w:rFonts w:ascii="Times New Roman" w:hAnsi="Times New Roman" w:cs="Times New Roman"/>
          <w:sz w:val="24"/>
          <w:szCs w:val="24"/>
        </w:rPr>
        <w:t>drug-gene co-delivery</w:t>
      </w:r>
      <w:r w:rsidR="00FF08B5" w:rsidRPr="007721FB">
        <w:rPr>
          <w:rFonts w:ascii="Times New Roman" w:hAnsi="Times New Roman" w:cs="Times New Roman"/>
          <w:sz w:val="24"/>
          <w:szCs w:val="24"/>
        </w:rPr>
        <w:t xml:space="preserve"> </w:t>
      </w:r>
      <w:r w:rsidR="00B1407E" w:rsidRPr="007721FB">
        <w:rPr>
          <w:rFonts w:ascii="Times New Roman" w:hAnsi="Times New Roman" w:cs="Times New Roman"/>
          <w:sz w:val="24"/>
          <w:szCs w:val="24"/>
        </w:rPr>
        <w:t>(D</w:t>
      </w:r>
      <w:r w:rsidR="00412AE5" w:rsidRPr="007721FB">
        <w:rPr>
          <w:rFonts w:ascii="Times New Roman" w:hAnsi="Times New Roman" w:cs="Times New Roman"/>
          <w:sz w:val="24"/>
          <w:szCs w:val="24"/>
        </w:rPr>
        <w:t>OX</w:t>
      </w:r>
      <w:r w:rsidR="00B1407E" w:rsidRPr="007721FB">
        <w:rPr>
          <w:rFonts w:ascii="Times New Roman" w:hAnsi="Times New Roman" w:cs="Times New Roman"/>
          <w:sz w:val="24"/>
          <w:szCs w:val="24"/>
        </w:rPr>
        <w:t>/</w:t>
      </w:r>
      <w:r w:rsidR="00FF08B5" w:rsidRPr="007721FB">
        <w:rPr>
          <w:rFonts w:ascii="Times New Roman" w:hAnsi="Times New Roman" w:cs="Times New Roman"/>
          <w:sz w:val="24"/>
          <w:szCs w:val="24"/>
        </w:rPr>
        <w:t>microRNA-34a</w:t>
      </w:r>
      <w:r w:rsidR="00B1407E" w:rsidRPr="007721FB">
        <w:rPr>
          <w:rFonts w:ascii="Times New Roman" w:hAnsi="Times New Roman" w:cs="Times New Roman"/>
          <w:sz w:val="24"/>
          <w:szCs w:val="24"/>
        </w:rPr>
        <w:t>)</w:t>
      </w:r>
      <w:r w:rsidR="00FF08B5" w:rsidRPr="007721FB">
        <w:rPr>
          <w:rFonts w:ascii="Times New Roman" w:hAnsi="Times New Roman" w:cs="Times New Roman"/>
          <w:sz w:val="24"/>
          <w:szCs w:val="24"/>
        </w:rPr>
        <w:t>. In particular, because microRNA-34a has shown an important role in myeloid and bone-related cancers (namely myeloma, leukemia, osteosarcoma and Ewing’s sarcoma), it might be interesting to pursue further studies in bone with th</w:t>
      </w:r>
      <w:r w:rsidR="00255452" w:rsidRPr="007721FB">
        <w:rPr>
          <w:rFonts w:ascii="Times New Roman" w:hAnsi="Times New Roman" w:cs="Times New Roman"/>
          <w:sz w:val="24"/>
          <w:szCs w:val="24"/>
        </w:rPr>
        <w:t>ese</w:t>
      </w:r>
      <w:r w:rsidR="00FF08B5" w:rsidRPr="007721FB">
        <w:rPr>
          <w:rFonts w:ascii="Times New Roman" w:hAnsi="Times New Roman" w:cs="Times New Roman"/>
          <w:sz w:val="24"/>
          <w:szCs w:val="24"/>
        </w:rPr>
        <w:t xml:space="preserve"> micelles</w:t>
      </w:r>
      <w:r w:rsidR="00412AE5" w:rsidRPr="007721FB">
        <w:rPr>
          <w:rFonts w:ascii="Times New Roman" w:hAnsi="Times New Roman" w:cs="Times New Roman"/>
          <w:sz w:val="24"/>
          <w:szCs w:val="24"/>
        </w:rPr>
        <w:t xml:space="preserve"> </w:t>
      </w:r>
      <w:r w:rsidR="00FF08B5" w:rsidRPr="007721FB">
        <w:rPr>
          <w:rFonts w:ascii="Times New Roman" w:hAnsi="Times New Roman" w:cs="Times New Roman"/>
          <w:sz w:val="24"/>
          <w:szCs w:val="24"/>
        </w:rPr>
        <w:fldChar w:fldCharType="begin" w:fldLock="1"/>
      </w:r>
      <w:r w:rsidR="00F1599C" w:rsidRPr="007721FB">
        <w:rPr>
          <w:rFonts w:ascii="Times New Roman" w:hAnsi="Times New Roman" w:cs="Times New Roman"/>
          <w:sz w:val="24"/>
          <w:szCs w:val="24"/>
        </w:rPr>
        <w:instrText>ADDIN CSL_CITATION { "citationItems" : [ { "id" : "ITEM-1", "itemData" : { "DOI" : "10.1038/cddis.2014.270", "ISBN" : "2041-4889", "ISSN" : "2041-4889", "PMID" : "25032850", "abstract" : "MicroRNAs (miRs) are small noncoding RNAs that negatively regulate gene expression by binding to the three untranslated regions of their target mRNAs. Deregulations of miRs were shown to play pivotal roles in tumorigenesis and progression. Recent research efforts have been devoted to translating these basic discoveries into applications that could improve the therapeutic outcome of patients with cancer. MiR-34a is a highly conserved miR throughout many different species. In humans, there are three homologs (hsa-miR34a, hsa-miR-34b and hsa-miR-34c). Early studies have shown that miR-34a acts as a tumor-suppressor gene by targeting many oncogenes related to proliferation, apoptosis and invasion. In this review, we provide a complex overview of miR-34a, including regulating its expression, its known functions in cancer and future challenges as a potential therapeutic target in human cancers.", "author" : [ { "dropping-particle" : "", "family" : "Li", "given" : "X J", "non-dropping-particle" : "", "parse-names" : false, "suffix" : "" }, { "dropping-particle" : "", "family" : "Ren", "given" : "Z J", "non-dropping-particle" : "", "parse-names" : false, "suffix" : "" }, { "dropping-particle" : "", "family" : "Tang", "given" : "J H", "non-dropping-particle" : "", "parse-names" : false, "suffix" : "" } ], "container-title" : "Cell death &amp; disease", "id" : "ITEM-1", "issued" : { "date-parts" : [ [ "2014" ] ] }, "page" : "e1327", "title" : "MicroRNA-34a: a potential therapeutic target in human cancer.", "type" : "article-journal", "volume" : "5" }, "uris" : [ "http://www.mendeley.com/documents/?uuid=5a9f1687-533d-4c0b-bf4b-21e9cb945283", "http://www.mendeley.com/documents/?uuid=ad8c0d6a-b1aa-43cc-a414-4a6b7f0b4376" ] } ], "mendeley" : { "formattedCitation" : "[129]", "plainTextFormattedCitation" : "[129]", "previouslyFormattedCitation" : "[129]" }, "properties" : { "noteIndex" : 0 }, "schema" : "https://github.com/citation-style-language/schema/raw/master/csl-citation.json" }</w:instrText>
      </w:r>
      <w:r w:rsidR="00FF08B5" w:rsidRPr="007721FB">
        <w:rPr>
          <w:rFonts w:ascii="Times New Roman" w:hAnsi="Times New Roman" w:cs="Times New Roman"/>
          <w:sz w:val="24"/>
          <w:szCs w:val="24"/>
        </w:rPr>
        <w:fldChar w:fldCharType="separate"/>
      </w:r>
      <w:r w:rsidR="00F1599C" w:rsidRPr="007721FB">
        <w:rPr>
          <w:rFonts w:ascii="Times New Roman" w:hAnsi="Times New Roman" w:cs="Times New Roman"/>
          <w:noProof/>
          <w:sz w:val="24"/>
          <w:szCs w:val="24"/>
        </w:rPr>
        <w:t>[129]</w:t>
      </w:r>
      <w:r w:rsidR="00FF08B5" w:rsidRPr="007721FB">
        <w:rPr>
          <w:rFonts w:ascii="Times New Roman" w:hAnsi="Times New Roman" w:cs="Times New Roman"/>
          <w:sz w:val="24"/>
          <w:szCs w:val="24"/>
        </w:rPr>
        <w:fldChar w:fldCharType="end"/>
      </w:r>
      <w:r w:rsidR="00255452" w:rsidRPr="007721FB">
        <w:rPr>
          <w:rFonts w:ascii="Times New Roman" w:hAnsi="Times New Roman" w:cs="Times New Roman"/>
          <w:sz w:val="24"/>
          <w:szCs w:val="24"/>
        </w:rPr>
        <w:t>.</w:t>
      </w:r>
    </w:p>
    <w:p w14:paraId="0B06A2B3" w14:textId="1BB727C2" w:rsidR="00280B14" w:rsidRPr="007721FB" w:rsidRDefault="00255452" w:rsidP="00A94609">
      <w:pPr>
        <w:spacing w:after="0" w:line="240" w:lineRule="auto"/>
        <w:jc w:val="both"/>
        <w:rPr>
          <w:rFonts w:ascii="Times New Roman" w:hAnsi="Times New Roman" w:cs="Times New Roman"/>
          <w:sz w:val="24"/>
        </w:rPr>
      </w:pPr>
      <w:r w:rsidRPr="007721FB">
        <w:rPr>
          <w:rFonts w:ascii="Times New Roman" w:hAnsi="Times New Roman" w:cs="Times New Roman"/>
          <w:sz w:val="24"/>
        </w:rPr>
        <w:t xml:space="preserve">   </w:t>
      </w:r>
      <w:r w:rsidR="001D29B8" w:rsidRPr="007721FB">
        <w:rPr>
          <w:rFonts w:ascii="Times New Roman" w:hAnsi="Times New Roman" w:cs="Times New Roman"/>
          <w:sz w:val="24"/>
        </w:rPr>
        <w:t>For the treatment of osteoarthritis</w:t>
      </w:r>
      <w:r w:rsidR="001904A9" w:rsidRPr="007721FB">
        <w:rPr>
          <w:rFonts w:ascii="Times New Roman" w:hAnsi="Times New Roman" w:cs="Times New Roman"/>
          <w:sz w:val="24"/>
        </w:rPr>
        <w:t>,</w:t>
      </w:r>
      <w:r w:rsidR="00895A6C" w:rsidRPr="007721FB">
        <w:rPr>
          <w:rFonts w:ascii="Times New Roman" w:hAnsi="Times New Roman" w:cs="Times New Roman"/>
          <w:sz w:val="24"/>
        </w:rPr>
        <w:t xml:space="preserve"> </w:t>
      </w:r>
      <w:r w:rsidR="00B1407E" w:rsidRPr="007721FB">
        <w:rPr>
          <w:rFonts w:ascii="Times New Roman" w:hAnsi="Times New Roman" w:cs="Times New Roman"/>
          <w:sz w:val="24"/>
        </w:rPr>
        <w:t>other researchers</w:t>
      </w:r>
      <w:r w:rsidR="00851C3C" w:rsidRPr="007721FB">
        <w:rPr>
          <w:rFonts w:ascii="Times New Roman" w:hAnsi="Times New Roman" w:cs="Times New Roman"/>
          <w:sz w:val="24"/>
        </w:rPr>
        <w:t xml:space="preserve"> </w:t>
      </w:r>
      <w:r w:rsidR="009D39EC" w:rsidRPr="007721FB">
        <w:rPr>
          <w:rFonts w:ascii="Times New Roman" w:hAnsi="Times New Roman" w:cs="Times New Roman"/>
          <w:sz w:val="24"/>
        </w:rPr>
        <w:t>developed PEGylated p</w:t>
      </w:r>
      <w:r w:rsidR="00280B14" w:rsidRPr="007721FB">
        <w:rPr>
          <w:rFonts w:ascii="Times New Roman" w:hAnsi="Times New Roman" w:cs="Times New Roman"/>
          <w:sz w:val="24"/>
        </w:rPr>
        <w:t xml:space="preserve">oly(N-isopropylacrylamide-2-acrylamido-2-methyl-1-propanesulfonate) nanoparticles </w:t>
      </w:r>
      <w:r w:rsidR="0013601B" w:rsidRPr="007721FB">
        <w:rPr>
          <w:rFonts w:ascii="Times New Roman" w:hAnsi="Times New Roman" w:cs="Times New Roman"/>
          <w:sz w:val="24"/>
        </w:rPr>
        <w:t>with</w:t>
      </w:r>
      <w:r w:rsidR="00CC60A9" w:rsidRPr="007721FB">
        <w:rPr>
          <w:rFonts w:ascii="Times New Roman" w:hAnsi="Times New Roman" w:cs="Times New Roman"/>
          <w:sz w:val="24"/>
        </w:rPr>
        <w:t xml:space="preserve"> a</w:t>
      </w:r>
      <w:r w:rsidR="0013601B" w:rsidRPr="007721FB">
        <w:rPr>
          <w:rFonts w:ascii="Times New Roman" w:hAnsi="Times New Roman" w:cs="Times New Roman"/>
          <w:sz w:val="24"/>
        </w:rPr>
        <w:t xml:space="preserve"> </w:t>
      </w:r>
      <w:r w:rsidR="00280B14" w:rsidRPr="007721FB">
        <w:rPr>
          <w:rFonts w:ascii="Times New Roman" w:hAnsi="Times New Roman" w:cs="Times New Roman"/>
          <w:sz w:val="24"/>
        </w:rPr>
        <w:t>disulfide</w:t>
      </w:r>
      <w:r w:rsidR="0013601B" w:rsidRPr="007721FB">
        <w:rPr>
          <w:rFonts w:ascii="Times New Roman" w:hAnsi="Times New Roman" w:cs="Times New Roman"/>
          <w:sz w:val="24"/>
        </w:rPr>
        <w:t xml:space="preserve"> crosslinker</w:t>
      </w:r>
      <w:r w:rsidR="00280B14" w:rsidRPr="007721FB">
        <w:rPr>
          <w:rFonts w:ascii="Times New Roman" w:hAnsi="Times New Roman" w:cs="Times New Roman"/>
          <w:sz w:val="24"/>
        </w:rPr>
        <w:t xml:space="preserve"> (N,</w:t>
      </w:r>
      <w:r w:rsidR="004C6CF9" w:rsidRPr="007721FB">
        <w:rPr>
          <w:rFonts w:ascii="Times New Roman" w:hAnsi="Times New Roman" w:cs="Times New Roman"/>
          <w:sz w:val="24"/>
        </w:rPr>
        <w:t xml:space="preserve"> </w:t>
      </w:r>
      <w:r w:rsidR="00280B14" w:rsidRPr="007721FB">
        <w:rPr>
          <w:rFonts w:ascii="Times New Roman" w:hAnsi="Times New Roman" w:cs="Times New Roman"/>
          <w:sz w:val="24"/>
        </w:rPr>
        <w:t>N’-bis</w:t>
      </w:r>
      <w:r w:rsidR="0013601B" w:rsidRPr="007721FB">
        <w:rPr>
          <w:rFonts w:ascii="Times New Roman" w:hAnsi="Times New Roman" w:cs="Times New Roman"/>
          <w:sz w:val="24"/>
        </w:rPr>
        <w:t>(acryloyl)cystamine) (NGPEGSS)</w:t>
      </w:r>
      <w:r w:rsidR="004C6CF9" w:rsidRPr="007721FB">
        <w:rPr>
          <w:rFonts w:ascii="Times New Roman" w:hAnsi="Times New Roman" w:cs="Times New Roman"/>
          <w:sz w:val="24"/>
        </w:rPr>
        <w:t>)</w:t>
      </w:r>
      <w:r w:rsidR="00CC60A9" w:rsidRPr="007721FB">
        <w:rPr>
          <w:rFonts w:ascii="Times New Roman" w:hAnsi="Times New Roman" w:cs="Times New Roman"/>
          <w:sz w:val="24"/>
        </w:rPr>
        <w:t xml:space="preserve"> </w:t>
      </w:r>
      <w:r w:rsidR="0013601B" w:rsidRPr="007721FB">
        <w:rPr>
          <w:rFonts w:ascii="Times New Roman" w:hAnsi="Times New Roman" w:cs="Times New Roman"/>
          <w:sz w:val="24"/>
        </w:rPr>
        <w:t>for delivery of</w:t>
      </w:r>
      <w:r w:rsidR="00CC60A9" w:rsidRPr="007721FB">
        <w:rPr>
          <w:rFonts w:ascii="Times New Roman" w:hAnsi="Times New Roman" w:cs="Times New Roman"/>
          <w:sz w:val="24"/>
        </w:rPr>
        <w:t xml:space="preserve"> the</w:t>
      </w:r>
      <w:r w:rsidR="0013601B" w:rsidRPr="007721FB">
        <w:rPr>
          <w:rFonts w:ascii="Times New Roman" w:hAnsi="Times New Roman" w:cs="Times New Roman"/>
          <w:sz w:val="24"/>
        </w:rPr>
        <w:t xml:space="preserve"> </w:t>
      </w:r>
      <w:r w:rsidR="0013601B" w:rsidRPr="007721FB">
        <w:rPr>
          <w:rFonts w:ascii="Times New Roman" w:hAnsi="Times New Roman" w:cs="Times New Roman"/>
          <w:sz w:val="24"/>
        </w:rPr>
        <w:lastRenderedPageBreak/>
        <w:t xml:space="preserve">anti-inflammatory peptide KAFAK to an </w:t>
      </w:r>
      <w:r w:rsidR="0013601B" w:rsidRPr="007721FB">
        <w:rPr>
          <w:rFonts w:ascii="Times New Roman" w:hAnsi="Times New Roman" w:cs="Times New Roman"/>
          <w:i/>
          <w:sz w:val="24"/>
        </w:rPr>
        <w:t>ex vivo</w:t>
      </w:r>
      <w:r w:rsidR="001D29B8" w:rsidRPr="007721FB">
        <w:rPr>
          <w:rFonts w:ascii="Times New Roman" w:hAnsi="Times New Roman" w:cs="Times New Roman"/>
          <w:i/>
          <w:sz w:val="24"/>
        </w:rPr>
        <w:t xml:space="preserve"> </w:t>
      </w:r>
      <w:r w:rsidR="001D29B8" w:rsidRPr="007721FB">
        <w:rPr>
          <w:rFonts w:ascii="Times New Roman" w:hAnsi="Times New Roman" w:cs="Times New Roman"/>
          <w:sz w:val="24"/>
        </w:rPr>
        <w:t xml:space="preserve">model </w:t>
      </w:r>
      <w:r w:rsidR="008A2994" w:rsidRPr="007721FB">
        <w:rPr>
          <w:rFonts w:ascii="Times New Roman" w:hAnsi="Times New Roman" w:cs="Times New Roman"/>
          <w:sz w:val="24"/>
        </w:rPr>
        <w:fldChar w:fldCharType="begin" w:fldLock="1"/>
      </w:r>
      <w:r w:rsidR="00F1599C" w:rsidRPr="007721FB">
        <w:rPr>
          <w:rFonts w:ascii="Times New Roman" w:hAnsi="Times New Roman" w:cs="Times New Roman"/>
          <w:sz w:val="24"/>
        </w:rPr>
        <w:instrText>ADDIN CSL_CITATION { "citationItems" : [ { "id" : "ITEM-1", "itemData" : { "DOI" : "10.1016/j.nano.2016.05.010", "ISSN" : "1549-9642", "PMID" : "27241526", "abstract" : "Characterized by pain, cartilage degradation, and inflammation, osteoarthritis is often treated with anti-inflammatory therapies that provide short-term relief but can have adverse side effects; intra-articular drug delivery systems with controlled release of anti-inflammatory peptides using degradable poly(N-isopropylacrylamide) (pNIPAM) nanoparticles could prolong relief and minimize these side effects. Nanoparticles provide a biocompatible drug carrier that can protect encapsulated therapeutics from enzymatic degradation and increase payload delivery upon encountering a degradation stimulus. Here we demonstrate passive targeting of inflamed cartilage ex vivo by uptake of PEGylated pNIPAM nanoparticles with degradable disulfide crosslinks (abbreviated as NGPEGSS) into chondrocytes and subsequent intracellular release of an anti-inflammatory peptide KAFAKLAARLYRKALARQLGVAA (KAFAK). The KAFAK-loaded NGPEGSS treatment reduced ex vivo inflammation to a greater extent compared to its non-degradable counterparts. This study highlights a nanoparticle system that delivers therapeutics intracellularly with improved efficacy by triggered degradation and suppresses inflammation in multiple cell types within an inflamed joint.", "author" : [ { "dropping-particle" : "", "family" : "Lin", "given" : "Jenny B", "non-dropping-particle" : "", "parse-names" : false, "suffix" : "" }, { "dropping-particle" : "", "family" : "Poh", "given" : "Scott", "non-dropping-particle" : "", "parse-names" : false, "suffix" : "" }, { "dropping-particle" : "", "family" : "Panitch", "given" : "Alyssa", "non-dropping-particle" : "", "parse-names" : false, "suffix" : "" } ], "container-title" : "Nanomedicine : nanotechnology, biology, and medicine", "id" : "ITEM-1", "issue" : "7", "issued" : { "date-parts" : [ [ "2016" ] ] }, "page" : "2095-2100", "publisher" : "Elsevier B.V.", "title" : "Controlled release of anti-inflammatory peptides from reducible thermosensitive nanoparticles suppresses cartilage inflammation.", "type" : "article-journal", "volume" : "12" }, "uris" : [ "http://www.mendeley.com/documents/?uuid=185dc41f-3304-4346-bd17-5fa327a734e7", "http://www.mendeley.com/documents/?uuid=fe1f3639-a7c1-4ec8-b4ae-1b31cb45a4d8" ] } ], "mendeley" : { "formattedCitation" : "[130]", "plainTextFormattedCitation" : "[130]", "previouslyFormattedCitation" : "[130]" }, "properties" : { "noteIndex" : 0 }, "schema" : "https://github.com/citation-style-language/schema/raw/master/csl-citation.json" }</w:instrText>
      </w:r>
      <w:r w:rsidR="008A2994" w:rsidRPr="007721FB">
        <w:rPr>
          <w:rFonts w:ascii="Times New Roman" w:hAnsi="Times New Roman" w:cs="Times New Roman"/>
          <w:sz w:val="24"/>
        </w:rPr>
        <w:fldChar w:fldCharType="separate"/>
      </w:r>
      <w:r w:rsidR="00F1599C" w:rsidRPr="007721FB">
        <w:rPr>
          <w:rFonts w:ascii="Times New Roman" w:hAnsi="Times New Roman" w:cs="Times New Roman"/>
          <w:noProof/>
          <w:sz w:val="24"/>
        </w:rPr>
        <w:t>[130]</w:t>
      </w:r>
      <w:r w:rsidR="008A2994" w:rsidRPr="007721FB">
        <w:rPr>
          <w:rFonts w:ascii="Times New Roman" w:hAnsi="Times New Roman" w:cs="Times New Roman"/>
          <w:sz w:val="24"/>
        </w:rPr>
        <w:fldChar w:fldCharType="end"/>
      </w:r>
      <w:r w:rsidRPr="007721FB">
        <w:rPr>
          <w:rFonts w:ascii="Times New Roman" w:hAnsi="Times New Roman" w:cs="Times New Roman"/>
          <w:sz w:val="24"/>
        </w:rPr>
        <w:t>.</w:t>
      </w:r>
      <w:r w:rsidR="00CC5489" w:rsidRPr="007721FB">
        <w:rPr>
          <w:rFonts w:ascii="Times New Roman" w:hAnsi="Times New Roman" w:cs="Times New Roman"/>
          <w:sz w:val="24"/>
        </w:rPr>
        <w:t xml:space="preserve"> </w:t>
      </w:r>
      <w:r w:rsidR="008A2994" w:rsidRPr="007721FB">
        <w:rPr>
          <w:rFonts w:ascii="Times New Roman" w:hAnsi="Times New Roman" w:cs="Times New Roman"/>
          <w:sz w:val="24"/>
        </w:rPr>
        <w:t>These disulfide</w:t>
      </w:r>
      <w:r w:rsidR="00CC5489" w:rsidRPr="007721FB">
        <w:rPr>
          <w:rFonts w:ascii="Times New Roman" w:hAnsi="Times New Roman" w:cs="Times New Roman"/>
          <w:sz w:val="24"/>
        </w:rPr>
        <w:t xml:space="preserve"> nanocarriers exhibited enhanced extracellular stability and improved KAFAK loading, as well as enhanced release </w:t>
      </w:r>
      <w:r w:rsidR="00CC60A9" w:rsidRPr="007721FB">
        <w:rPr>
          <w:rFonts w:ascii="Times New Roman" w:hAnsi="Times New Roman" w:cs="Times New Roman"/>
          <w:sz w:val="24"/>
        </w:rPr>
        <w:t>under</w:t>
      </w:r>
      <w:r w:rsidR="00CC5489" w:rsidRPr="007721FB">
        <w:rPr>
          <w:rFonts w:ascii="Times New Roman" w:hAnsi="Times New Roman" w:cs="Times New Roman"/>
          <w:sz w:val="24"/>
        </w:rPr>
        <w:t xml:space="preserve"> reducing conditions.</w:t>
      </w:r>
      <w:r w:rsidR="0013601B" w:rsidRPr="007721FB">
        <w:rPr>
          <w:rFonts w:ascii="Times New Roman" w:hAnsi="Times New Roman" w:cs="Times New Roman"/>
          <w:sz w:val="24"/>
        </w:rPr>
        <w:t xml:space="preserve"> </w:t>
      </w:r>
      <w:r w:rsidR="00CC5489" w:rsidRPr="007721FB">
        <w:rPr>
          <w:rFonts w:ascii="Times New Roman" w:hAnsi="Times New Roman" w:cs="Times New Roman"/>
          <w:sz w:val="24"/>
        </w:rPr>
        <w:t xml:space="preserve">Strikingly, </w:t>
      </w:r>
      <w:r w:rsidR="008911CE" w:rsidRPr="007721FB">
        <w:rPr>
          <w:rFonts w:ascii="Times New Roman" w:hAnsi="Times New Roman" w:cs="Times New Roman"/>
          <w:sz w:val="24"/>
        </w:rPr>
        <w:t xml:space="preserve">they </w:t>
      </w:r>
      <w:r w:rsidR="0013601B" w:rsidRPr="007721FB">
        <w:rPr>
          <w:rFonts w:ascii="Times New Roman" w:hAnsi="Times New Roman" w:cs="Times New Roman"/>
          <w:sz w:val="24"/>
        </w:rPr>
        <w:t>selectively infiltrate inflamed cartilage</w:t>
      </w:r>
      <w:r w:rsidR="00CC60A9" w:rsidRPr="007721FB">
        <w:rPr>
          <w:rFonts w:ascii="Times New Roman" w:hAnsi="Times New Roman" w:cs="Times New Roman"/>
          <w:sz w:val="24"/>
        </w:rPr>
        <w:t xml:space="preserve"> and</w:t>
      </w:r>
      <w:r w:rsidR="007E4FC5" w:rsidRPr="007721FB">
        <w:rPr>
          <w:rFonts w:ascii="Times New Roman" w:hAnsi="Times New Roman" w:cs="Times New Roman"/>
          <w:sz w:val="24"/>
        </w:rPr>
        <w:t xml:space="preserve"> were</w:t>
      </w:r>
      <w:r w:rsidR="00CC60A9" w:rsidRPr="007721FB">
        <w:rPr>
          <w:rFonts w:ascii="Times New Roman" w:hAnsi="Times New Roman" w:cs="Times New Roman"/>
          <w:sz w:val="24"/>
        </w:rPr>
        <w:t xml:space="preserve"> internalized by chondrocytes</w:t>
      </w:r>
      <w:r w:rsidR="007E4FC5" w:rsidRPr="007721FB">
        <w:rPr>
          <w:rFonts w:ascii="Times New Roman" w:hAnsi="Times New Roman" w:cs="Times New Roman"/>
          <w:sz w:val="24"/>
        </w:rPr>
        <w:t>, which are recognized as a hard to transfect cell type</w:t>
      </w:r>
      <w:r w:rsidR="00B42814" w:rsidRPr="007721FB">
        <w:rPr>
          <w:rFonts w:ascii="Times New Roman" w:hAnsi="Times New Roman" w:cs="Times New Roman"/>
          <w:sz w:val="24"/>
        </w:rPr>
        <w:t xml:space="preserve">. </w:t>
      </w:r>
      <w:r w:rsidR="001D29B8" w:rsidRPr="007721FB">
        <w:rPr>
          <w:rFonts w:ascii="Times New Roman" w:hAnsi="Times New Roman" w:cs="Times New Roman"/>
          <w:sz w:val="24"/>
        </w:rPr>
        <w:t>The</w:t>
      </w:r>
      <w:r w:rsidR="00CC5489" w:rsidRPr="007721FB">
        <w:rPr>
          <w:rFonts w:ascii="Times New Roman" w:hAnsi="Times New Roman" w:cs="Times New Roman"/>
          <w:sz w:val="24"/>
        </w:rPr>
        <w:t xml:space="preserve"> </w:t>
      </w:r>
      <w:r w:rsidR="00280B14" w:rsidRPr="007721FB">
        <w:rPr>
          <w:rFonts w:ascii="Times New Roman" w:hAnsi="Times New Roman" w:cs="Times New Roman"/>
          <w:sz w:val="24"/>
        </w:rPr>
        <w:t xml:space="preserve">KAFAK-loaded NGPEGSS nanoparticles were able to significantly decrease </w:t>
      </w:r>
      <w:r w:rsidR="00CC5489" w:rsidRPr="007721FB">
        <w:rPr>
          <w:rFonts w:ascii="Times New Roman" w:hAnsi="Times New Roman" w:cs="Times New Roman"/>
          <w:sz w:val="24"/>
        </w:rPr>
        <w:t xml:space="preserve">cytokine </w:t>
      </w:r>
      <w:r w:rsidR="00280B14" w:rsidRPr="007721FB">
        <w:rPr>
          <w:rFonts w:ascii="Times New Roman" w:hAnsi="Times New Roman" w:cs="Times New Roman"/>
          <w:sz w:val="24"/>
        </w:rPr>
        <w:t>IL</w:t>
      </w:r>
      <w:r w:rsidR="008A2994" w:rsidRPr="007721FB">
        <w:rPr>
          <w:rFonts w:ascii="Times New Roman" w:hAnsi="Times New Roman" w:cs="Times New Roman"/>
          <w:sz w:val="24"/>
        </w:rPr>
        <w:t>-</w:t>
      </w:r>
      <w:r w:rsidR="00280B14" w:rsidRPr="007721FB">
        <w:rPr>
          <w:rFonts w:ascii="Times New Roman" w:hAnsi="Times New Roman" w:cs="Times New Roman"/>
          <w:sz w:val="24"/>
        </w:rPr>
        <w:t>6 production over time</w:t>
      </w:r>
      <w:r w:rsidR="008A2994" w:rsidRPr="007721FB">
        <w:rPr>
          <w:rFonts w:ascii="Times New Roman" w:hAnsi="Times New Roman" w:cs="Times New Roman"/>
          <w:sz w:val="24"/>
        </w:rPr>
        <w:t xml:space="preserve"> both in chondrocytes and macrophages, </w:t>
      </w:r>
      <w:r w:rsidR="00CC60A9" w:rsidRPr="007721FB">
        <w:rPr>
          <w:rFonts w:ascii="Times New Roman" w:hAnsi="Times New Roman" w:cs="Times New Roman"/>
          <w:sz w:val="24"/>
        </w:rPr>
        <w:t>demonstrating its potential to act as</w:t>
      </w:r>
      <w:r w:rsidR="008A2994" w:rsidRPr="007721FB">
        <w:rPr>
          <w:rFonts w:ascii="Times New Roman" w:hAnsi="Times New Roman" w:cs="Times New Roman"/>
          <w:sz w:val="24"/>
        </w:rPr>
        <w:t xml:space="preserve"> an intra-articular inject</w:t>
      </w:r>
      <w:r w:rsidR="00B0121C" w:rsidRPr="007721FB">
        <w:rPr>
          <w:rFonts w:ascii="Times New Roman" w:hAnsi="Times New Roman" w:cs="Times New Roman"/>
          <w:sz w:val="24"/>
        </w:rPr>
        <w:t>able</w:t>
      </w:r>
      <w:r w:rsidR="008A2994" w:rsidRPr="007721FB">
        <w:rPr>
          <w:rFonts w:ascii="Times New Roman" w:hAnsi="Times New Roman" w:cs="Times New Roman"/>
          <w:sz w:val="24"/>
        </w:rPr>
        <w:t xml:space="preserve"> nanocarrier for the treatment of osteoarthritis</w:t>
      </w:r>
      <w:r w:rsidR="009448FA" w:rsidRPr="007721FB">
        <w:rPr>
          <w:rFonts w:ascii="Times New Roman" w:hAnsi="Times New Roman" w:cs="Times New Roman"/>
          <w:sz w:val="24"/>
        </w:rPr>
        <w:t xml:space="preserve"> </w:t>
      </w:r>
      <w:r w:rsidR="008A2994" w:rsidRPr="007721FB">
        <w:rPr>
          <w:rFonts w:ascii="Times New Roman" w:hAnsi="Times New Roman" w:cs="Times New Roman"/>
          <w:sz w:val="24"/>
        </w:rPr>
        <w:fldChar w:fldCharType="begin" w:fldLock="1"/>
      </w:r>
      <w:r w:rsidR="00F1599C" w:rsidRPr="007721FB">
        <w:rPr>
          <w:rFonts w:ascii="Times New Roman" w:hAnsi="Times New Roman" w:cs="Times New Roman"/>
          <w:sz w:val="24"/>
        </w:rPr>
        <w:instrText>ADDIN CSL_CITATION { "citationItems" : [ { "id" : "ITEM-1", "itemData" : { "DOI" : "10.1021/bm501849p", "ISSN" : "15264602", "PMID" : "25728363", "abstract" : "Pro-inflammatory cytokines tumor necrosis factor \u03b1 (TNF-\u03b1) and interleukin 6 (IL-6) are mediators in the development of many inflammatory diseases. To demonstrate that macrophages take up and respond to thermosensitive nanoparticle drug carriers, we synthesized PEGylated poly(N-isopropylacrylamide-2-acrylamido-2-methyl-1-propanesulfonate) particles cross-linked with degradable disulfide (N,N'-bis(acryloyl)cystamine) (NGPEGSS). An anti-inflammatory peptide (KAFAK) was loaded and released from the thermosensitive nanoparticles and shown to suppress levels of TNF-\u03b1 and IL-6 production in macrophages. Cellular uptake of fluorescent, thermosensitive, and degradable nanoparticles and therapeutic efficacy of free KAFAK peptide compared to that of KAFAK loaded in PEGylated degradable thermosensitive nanoparticles were examined. The data suggests that the degradable, thermosensitive nanoparticles loaded with KAFAK may be an effective tool to treat inflammatory diseases.", "author" : [ { "dropping-particle" : "", "family" : "Poh", "given" : "Scott", "non-dropping-particle" : "", "parse-names" : false, "suffix" : "" }, { "dropping-particle" : "", "family" : "Lin", "given" : "Jenny B.", "non-dropping-particle" : "", "parse-names" : false, "suffix" : "" }, { "dropping-particle" : "", "family" : "Panitch", "given" : "Alyssa", "non-dropping-particle" : "", "parse-names" : false, "suffix" : "" } ], "container-title" : "Biomacromolecules", "id" : "ITEM-1", "issue" : "4", "issued" : { "date-parts" : [ [ "2015" ] ] }, "page" : "1191-1200", "title" : "Release of Anti-inflammatory Peptides from Thermosensitive Nanoparticles with Degradable Cross-Links Suppresses Pro-inflammatory Cytokine Production", "type" : "article-journal", "volume" : "16" }, "uris" : [ "http://www.mendeley.com/documents/?uuid=7ec857ec-c347-411e-8fed-af0b2c0e61b1", "http://www.mendeley.com/documents/?uuid=c24758ee-d0b5-4bc4-8c3b-84017dbc2425" ] }, { "id" : "ITEM-2", "itemData" : { "DOI" : "10.1016/j.nano.2016.05.010", "ISSN" : "1549-9642", "PMID" : "27241526", "abstract" : "Characterized by pain, cartilage degradation, and inflammation, osteoarthritis is often treated with anti-inflammatory therapies that provide short-term relief but can have adverse side effects; intra-articular drug delivery systems with controlled release of anti-inflammatory peptides using degradable poly(N-isopropylacrylamide) (pNIPAM) nanoparticles could prolong relief and minimize these side effects. Nanoparticles provide a biocompatible drug carrier that can protect encapsulated therapeutics from enzymatic degradation and increase payload delivery upon encountering a degradation stimulus. Here we demonstrate passive targeting of inflamed cartilage ex vivo by uptake of PEGylated pNIPAM nanoparticles with degradable disulfide crosslinks (abbreviated as NGPEGSS) into chondrocytes and subsequent intracellular release of an anti-inflammatory peptide KAFAKLAARLYRKALARQLGVAA (KAFAK). The KAFAK-loaded NGPEGSS treatment reduced ex vivo inflammation to a greater extent compared to its non-degradable counterparts. This study highlights a nanoparticle system that delivers therapeutics intracellularly with improved efficacy by triggered degradation and suppresses inflammation in multiple cell types within an inflamed joint.", "author" : [ { "dropping-particle" : "", "family" : "Lin", "given" : "Jenny B", "non-dropping-particle" : "", "parse-names" : false, "suffix" : "" }, { "dropping-particle" : "", "family" : "Poh", "given" : "Scott", "non-dropping-particle" : "", "parse-names" : false, "suffix" : "" }, { "dropping-particle" : "", "family" : "Panitch", "given" : "Alyssa", "non-dropping-particle" : "", "parse-names" : false, "suffix" : "" } ], "container-title" : "Nanomedicine : nanotechnology, biology, and medicine", "id" : "ITEM-2", "issue" : "7", "issued" : { "date-parts" : [ [ "2016" ] ] }, "page" : "2095-2100", "publisher" : "Elsevier B.V.", "title" : "Controlled release of anti-inflammatory peptides from reducible thermosensitive nanoparticles suppresses cartilage inflammation.", "type" : "article-journal", "volume" : "12" }, "uris" : [ "http://www.mendeley.com/documents/?uuid=fe1f3639-a7c1-4ec8-b4ae-1b31cb45a4d8", "http://www.mendeley.com/documents/?uuid=185dc41f-3304-4346-bd17-5fa327a734e7", "http://www.mendeley.com/documents/?uuid=9b3b7b70-74c7-42ec-aa9c-aa436b43a176" ] } ], "mendeley" : { "formattedCitation" : "[87,130]", "plainTextFormattedCitation" : "[87,130]", "previouslyFormattedCitation" : "[87,130]" }, "properties" : { "noteIndex" : 0 }, "schema" : "https://github.com/citation-style-language/schema/raw/master/csl-citation.json" }</w:instrText>
      </w:r>
      <w:r w:rsidR="008A2994" w:rsidRPr="007721FB">
        <w:rPr>
          <w:rFonts w:ascii="Times New Roman" w:hAnsi="Times New Roman" w:cs="Times New Roman"/>
          <w:sz w:val="24"/>
        </w:rPr>
        <w:fldChar w:fldCharType="separate"/>
      </w:r>
      <w:r w:rsidR="00F1599C" w:rsidRPr="007721FB">
        <w:rPr>
          <w:rFonts w:ascii="Times New Roman" w:hAnsi="Times New Roman" w:cs="Times New Roman"/>
          <w:noProof/>
          <w:sz w:val="24"/>
        </w:rPr>
        <w:t>[87,130]</w:t>
      </w:r>
      <w:r w:rsidR="008A2994" w:rsidRPr="007721FB">
        <w:rPr>
          <w:rFonts w:ascii="Times New Roman" w:hAnsi="Times New Roman" w:cs="Times New Roman"/>
          <w:sz w:val="24"/>
        </w:rPr>
        <w:fldChar w:fldCharType="end"/>
      </w:r>
      <w:r w:rsidR="001D29B8" w:rsidRPr="007721FB">
        <w:rPr>
          <w:rFonts w:ascii="Times New Roman" w:hAnsi="Times New Roman" w:cs="Times New Roman"/>
          <w:sz w:val="24"/>
        </w:rPr>
        <w:t>.</w:t>
      </w:r>
      <w:r w:rsidR="008A2994" w:rsidRPr="007721FB">
        <w:rPr>
          <w:rFonts w:ascii="Times New Roman" w:hAnsi="Times New Roman" w:cs="Times New Roman"/>
          <w:sz w:val="24"/>
        </w:rPr>
        <w:t xml:space="preserve"> </w:t>
      </w:r>
    </w:p>
    <w:p w14:paraId="2B62031F" w14:textId="2BFD85FA" w:rsidR="00255452" w:rsidRPr="007721FB" w:rsidRDefault="009448FA" w:rsidP="00A94609">
      <w:pPr>
        <w:spacing w:after="120" w:line="240" w:lineRule="auto"/>
        <w:jc w:val="both"/>
        <w:rPr>
          <w:rFonts w:ascii="Times New Roman" w:hAnsi="Times New Roman" w:cs="Times New Roman"/>
          <w:sz w:val="20"/>
          <w:szCs w:val="21"/>
        </w:rPr>
      </w:pPr>
      <w:r w:rsidRPr="007721FB">
        <w:rPr>
          <w:rFonts w:ascii="Times New Roman" w:hAnsi="Times New Roman" w:cs="Times New Roman"/>
          <w:sz w:val="24"/>
        </w:rPr>
        <w:t xml:space="preserve">   It is without doubt that the unique reversibility and responsiveness of disulfide linkages </w:t>
      </w:r>
      <w:r w:rsidR="007044BD" w:rsidRPr="007721FB">
        <w:rPr>
          <w:rFonts w:ascii="Times New Roman" w:hAnsi="Times New Roman" w:cs="Times New Roman"/>
          <w:sz w:val="24"/>
        </w:rPr>
        <w:t xml:space="preserve">as </w:t>
      </w:r>
      <w:r w:rsidR="00A94609" w:rsidRPr="007721FB">
        <w:rPr>
          <w:rFonts w:ascii="Times New Roman" w:hAnsi="Times New Roman" w:cs="Times New Roman"/>
          <w:sz w:val="24"/>
        </w:rPr>
        <w:t>a</w:t>
      </w:r>
      <w:r w:rsidR="007044BD" w:rsidRPr="007721FB">
        <w:rPr>
          <w:rFonts w:ascii="Times New Roman" w:hAnsi="Times New Roman" w:cs="Times New Roman"/>
          <w:sz w:val="24"/>
        </w:rPr>
        <w:t xml:space="preserve"> ubiquitous stimulus </w:t>
      </w:r>
      <w:r w:rsidRPr="007721FB">
        <w:rPr>
          <w:rFonts w:ascii="Times New Roman" w:hAnsi="Times New Roman" w:cs="Times New Roman"/>
          <w:sz w:val="24"/>
        </w:rPr>
        <w:t xml:space="preserve">contributed to the engineering of redox-responsive nanocarriers with efficient on-demand release of therapeutics for various bone diseases. Yet, to fulfil their potential for clinical translation some aspects such as </w:t>
      </w:r>
      <w:r w:rsidR="007044BD" w:rsidRPr="007721FB">
        <w:rPr>
          <w:rFonts w:ascii="Times New Roman" w:hAnsi="Times New Roman" w:cs="Times New Roman"/>
          <w:sz w:val="24"/>
        </w:rPr>
        <w:t>the effect of cell surface thiols in their cellular uptake and intracellular trafficking of such carriers should be further investigated</w:t>
      </w:r>
      <w:r w:rsidR="00A94609" w:rsidRPr="007721FB">
        <w:rPr>
          <w:rFonts w:ascii="Times New Roman" w:hAnsi="Times New Roman" w:cs="Times New Roman"/>
          <w:sz w:val="24"/>
        </w:rPr>
        <w:t xml:space="preserve"> and optimized</w:t>
      </w:r>
      <w:r w:rsidR="007044BD" w:rsidRPr="007721FB">
        <w:rPr>
          <w:rFonts w:ascii="Times New Roman" w:hAnsi="Times New Roman" w:cs="Times New Roman"/>
          <w:sz w:val="24"/>
        </w:rPr>
        <w:t xml:space="preserve"> </w:t>
      </w:r>
      <w:r w:rsidR="00A94609" w:rsidRPr="007721FB">
        <w:rPr>
          <w:rFonts w:ascii="Times New Roman" w:hAnsi="Times New Roman" w:cs="Times New Roman"/>
          <w:sz w:val="24"/>
        </w:rPr>
        <w:fldChar w:fldCharType="begin" w:fldLock="1"/>
      </w:r>
      <w:r w:rsidR="00F1599C" w:rsidRPr="007721FB">
        <w:rPr>
          <w:rFonts w:ascii="Times New Roman" w:hAnsi="Times New Roman" w:cs="Times New Roman"/>
          <w:sz w:val="24"/>
        </w:rPr>
        <w:instrText>ADDIN CSL_CITATION { "citationItems" : [ { "id" : "ITEM-1", "itemData" : { "DOI" : "10.1016/j.jconrel.2011.01.030", "ISBN" : "0168-3659", "ISSN" : "01683659", "PMID" : "21295087", "abstract" : "The past couple of years have witnessed a tremendous progress in the development of glutathione-responsive nano-vehicles for targeted intracellular drug and gene delivery, as driven by the facts that (i) many therapeutics (e.g. anti-cancer drugs, photosensitizers, and anti-oxidants) and biotherapeutics (e.g. peptide and protein drugs, and siRNA) exert therapeutical effects only inside cells like the cytosol and cell nucleus, and (ii) several intracellular compartments such as cytosol, mitochondria, and cell nucleus contain a high concentration of glutathione (GSH) tripeptides (about 2-10 mM), which is 100 to 1000 times higher than that in the extracellular fluids and circulation (about 2-20 ??M). Glutathione has been recognized as an ideal and ubiquitous internal stimulus for rapid destabilization of nano-carriers inside cells to accomplish efficient intracellular drug release. In this paper, we will review recent results on GSH-responsive nano-vehicles in particular micelles, nanoparticles, capsules, polymersomes, nanogels, dendritic and macromolecular drug conjugates, and nano-sized nucleic acid complexes for controlled delivery of anti-cancer drugs (e.g. doxorubicin and paclitaxel), photosensitizers, anti-oxidants, peptides, protein drugs, and nucleic acids (e.g. DNA, siRNA, and antisense oligodeoxynucleotide). The unique disulfide chemistry has enabled novel and versatile designs of multifunctional delivery systems addressing both intracellular and extracellular barriers. We are convinced that GSH-responsive nano-carrier systems have enormous potential in targeted cancer therapy. ?? 2011 Elsevier B.V.", "author" : [ { "dropping-particle" : "", "family" : "Cheng", "given" : "Ru", "non-dropping-particle" : "", "parse-names" : false, "suffix" : "" }, { "dropping-particle" : "", "family" : "Feng", "given" : "Fang", "non-dropping-particle" : "", "parse-names" : false, "suffix" : "" }, { "dropping-particle" : "", "family" : "Meng", "given" : "Fenghua", "non-dropping-particle" : "", "parse-names" : false, "suffix" : "" }, { "dropping-particle" : "", "family" : "Deng", "given" : "Chao", "non-dropping-particle" : "", "parse-names" : false, "suffix" : "" }, { "dropping-particle" : "", "family" : "Feijen", "given" : "Jan", "non-dropping-particle" : "", "parse-names" : false, "suffix" : "" }, { "dropping-particle" : "", "family" : "Zhong", "given" : "Zhiyuan", "non-dropping-particle" : "", "parse-names" : false, "suffix" : "" } ], "container-title" : "Journal of Controlled Release", "id" : "ITEM-1", "issue" : "1", "issued" : { "date-parts" : [ [ "2011" ] ] }, "page" : "2-12", "publisher" : "Elsevier B.V.", "title" : "Glutathione-responsive nano-vehicles as a promising platform for targeted intracellular drug and gene delivery", "type" : "article-journal", "volume" : "152" }, "uris" : [ "http://www.mendeley.com/documents/?uuid=d85e5ae9-1355-4c07-a58e-bc0c3fd51315" ] } ], "mendeley" : { "formattedCitation" : "[121]", "plainTextFormattedCitation" : "[121]", "previouslyFormattedCitation" : "[121]" }, "properties" : { "noteIndex" : 23 }, "schema" : "https://github.com/citation-style-language/schema/raw/master/csl-citation.json" }</w:instrText>
      </w:r>
      <w:r w:rsidR="00A94609" w:rsidRPr="007721FB">
        <w:rPr>
          <w:rFonts w:ascii="Times New Roman" w:hAnsi="Times New Roman" w:cs="Times New Roman"/>
          <w:sz w:val="24"/>
        </w:rPr>
        <w:fldChar w:fldCharType="separate"/>
      </w:r>
      <w:r w:rsidR="00F1599C" w:rsidRPr="007721FB">
        <w:rPr>
          <w:rFonts w:ascii="Times New Roman" w:hAnsi="Times New Roman" w:cs="Times New Roman"/>
          <w:noProof/>
          <w:sz w:val="24"/>
        </w:rPr>
        <w:t>[121]</w:t>
      </w:r>
      <w:r w:rsidR="00A94609" w:rsidRPr="007721FB">
        <w:rPr>
          <w:rFonts w:ascii="Times New Roman" w:hAnsi="Times New Roman" w:cs="Times New Roman"/>
          <w:sz w:val="24"/>
        </w:rPr>
        <w:fldChar w:fldCharType="end"/>
      </w:r>
      <w:r w:rsidR="00A94609" w:rsidRPr="007721FB">
        <w:rPr>
          <w:rFonts w:ascii="Times New Roman" w:hAnsi="Times New Roman" w:cs="Times New Roman"/>
          <w:sz w:val="24"/>
        </w:rPr>
        <w:t>.</w:t>
      </w:r>
    </w:p>
    <w:p w14:paraId="2DC3D7BB" w14:textId="7A94630E" w:rsidR="009374C5" w:rsidRPr="007721FB" w:rsidRDefault="0030133E" w:rsidP="00F42607">
      <w:pPr>
        <w:pStyle w:val="Cabealho2"/>
        <w:spacing w:before="0" w:after="120" w:line="240" w:lineRule="auto"/>
        <w:rPr>
          <w:rFonts w:ascii="Times New Roman" w:hAnsi="Times New Roman" w:cs="Times New Roman"/>
          <w:b/>
          <w:color w:val="auto"/>
          <w:sz w:val="28"/>
          <w:szCs w:val="28"/>
        </w:rPr>
      </w:pPr>
      <w:bookmarkStart w:id="18" w:name="_Toc471752572"/>
      <w:bookmarkStart w:id="19" w:name="_Toc471829476"/>
      <w:r w:rsidRPr="007721FB">
        <w:rPr>
          <w:rFonts w:ascii="Times New Roman" w:hAnsi="Times New Roman" w:cs="Times New Roman"/>
          <w:b/>
          <w:color w:val="auto"/>
          <w:sz w:val="28"/>
          <w:szCs w:val="28"/>
        </w:rPr>
        <w:t xml:space="preserve">5. </w:t>
      </w:r>
      <w:bookmarkEnd w:id="18"/>
      <w:bookmarkEnd w:id="19"/>
      <w:r w:rsidR="00D16D05" w:rsidRPr="007721FB">
        <w:rPr>
          <w:rFonts w:ascii="Times New Roman" w:hAnsi="Times New Roman" w:cs="Times New Roman"/>
          <w:b/>
          <w:color w:val="auto"/>
          <w:sz w:val="28"/>
          <w:szCs w:val="28"/>
        </w:rPr>
        <w:t>Conclusion</w:t>
      </w:r>
      <w:r w:rsidR="00412AE5" w:rsidRPr="007721FB">
        <w:rPr>
          <w:rFonts w:ascii="Times New Roman" w:hAnsi="Times New Roman" w:cs="Times New Roman"/>
          <w:b/>
          <w:color w:val="auto"/>
          <w:sz w:val="28"/>
          <w:szCs w:val="28"/>
        </w:rPr>
        <w:t xml:space="preserve"> and Perspectives</w:t>
      </w:r>
    </w:p>
    <w:p w14:paraId="7B351623" w14:textId="5C7D022F" w:rsidR="002F254A" w:rsidRPr="007721FB" w:rsidRDefault="00B1407E" w:rsidP="003D478A">
      <w:pPr>
        <w:spacing w:after="0" w:line="240" w:lineRule="auto"/>
        <w:jc w:val="both"/>
        <w:rPr>
          <w:rFonts w:ascii="Times New Roman" w:hAnsi="Times New Roman" w:cs="Times New Roman"/>
          <w:sz w:val="24"/>
          <w:szCs w:val="24"/>
        </w:rPr>
      </w:pPr>
      <w:r w:rsidRPr="007721FB">
        <w:rPr>
          <w:rFonts w:ascii="Times New Roman" w:hAnsi="Times New Roman" w:cs="Times New Roman"/>
          <w:sz w:val="24"/>
          <w:szCs w:val="24"/>
        </w:rPr>
        <w:t xml:space="preserve">   From an</w:t>
      </w:r>
      <w:r w:rsidR="00B0121C" w:rsidRPr="007721FB">
        <w:rPr>
          <w:rFonts w:ascii="Times New Roman" w:hAnsi="Times New Roman" w:cs="Times New Roman"/>
          <w:sz w:val="24"/>
          <w:szCs w:val="24"/>
        </w:rPr>
        <w:t xml:space="preserve"> </w:t>
      </w:r>
      <w:r w:rsidRPr="007721FB">
        <w:rPr>
          <w:rFonts w:ascii="Times New Roman" w:hAnsi="Times New Roman" w:cs="Times New Roman"/>
          <w:sz w:val="24"/>
          <w:szCs w:val="24"/>
        </w:rPr>
        <w:t>in-depth analysis of available literature</w:t>
      </w:r>
      <w:r w:rsidR="008911CE" w:rsidRPr="007721FB">
        <w:rPr>
          <w:rFonts w:ascii="Times New Roman" w:hAnsi="Times New Roman" w:cs="Times New Roman"/>
          <w:sz w:val="24"/>
          <w:szCs w:val="24"/>
        </w:rPr>
        <w:t xml:space="preserve"> reports</w:t>
      </w:r>
      <w:r w:rsidR="00AC05B9" w:rsidRPr="007721FB">
        <w:rPr>
          <w:rFonts w:ascii="Times New Roman" w:hAnsi="Times New Roman" w:cs="Times New Roman"/>
          <w:sz w:val="24"/>
          <w:szCs w:val="24"/>
        </w:rPr>
        <w:t xml:space="preserve"> focusing</w:t>
      </w:r>
      <w:r w:rsidR="00101084" w:rsidRPr="007721FB">
        <w:rPr>
          <w:rFonts w:ascii="Times New Roman" w:hAnsi="Times New Roman" w:cs="Times New Roman"/>
          <w:sz w:val="24"/>
          <w:szCs w:val="24"/>
        </w:rPr>
        <w:t xml:space="preserve"> on</w:t>
      </w:r>
      <w:r w:rsidRPr="007721FB">
        <w:rPr>
          <w:rFonts w:ascii="Times New Roman" w:hAnsi="Times New Roman" w:cs="Times New Roman"/>
          <w:sz w:val="24"/>
          <w:szCs w:val="24"/>
        </w:rPr>
        <w:t xml:space="preserve"> </w:t>
      </w:r>
      <w:r w:rsidR="00AC05B9" w:rsidRPr="007721FB">
        <w:rPr>
          <w:rFonts w:ascii="Times New Roman" w:hAnsi="Times New Roman" w:cs="Times New Roman"/>
          <w:sz w:val="24"/>
          <w:szCs w:val="24"/>
        </w:rPr>
        <w:t xml:space="preserve">stimuli-responsive </w:t>
      </w:r>
      <w:r w:rsidR="001078BC" w:rsidRPr="007721FB">
        <w:rPr>
          <w:rFonts w:ascii="Times New Roman" w:hAnsi="Times New Roman" w:cs="Times New Roman"/>
          <w:sz w:val="24"/>
          <w:szCs w:val="24"/>
        </w:rPr>
        <w:t>nano</w:t>
      </w:r>
      <w:r w:rsidR="00AC05B9" w:rsidRPr="007721FB">
        <w:rPr>
          <w:rFonts w:ascii="Times New Roman" w:hAnsi="Times New Roman" w:cs="Times New Roman"/>
          <w:sz w:val="24"/>
          <w:szCs w:val="24"/>
        </w:rPr>
        <w:t xml:space="preserve">carriers </w:t>
      </w:r>
      <w:r w:rsidRPr="007721FB">
        <w:rPr>
          <w:rFonts w:ascii="Times New Roman" w:hAnsi="Times New Roman" w:cs="Times New Roman"/>
          <w:sz w:val="24"/>
          <w:szCs w:val="24"/>
        </w:rPr>
        <w:t xml:space="preserve">it is clear that </w:t>
      </w:r>
      <w:r w:rsidR="008911CE" w:rsidRPr="007721FB">
        <w:rPr>
          <w:rFonts w:ascii="Times New Roman" w:hAnsi="Times New Roman" w:cs="Times New Roman"/>
          <w:sz w:val="24"/>
          <w:szCs w:val="24"/>
        </w:rPr>
        <w:t>the</w:t>
      </w:r>
      <w:r w:rsidR="002F254A" w:rsidRPr="007721FB">
        <w:rPr>
          <w:rFonts w:ascii="Times New Roman" w:hAnsi="Times New Roman" w:cs="Times New Roman"/>
          <w:sz w:val="24"/>
          <w:szCs w:val="24"/>
        </w:rPr>
        <w:t>ir</w:t>
      </w:r>
      <w:r w:rsidR="008911CE" w:rsidRPr="007721FB">
        <w:rPr>
          <w:rFonts w:ascii="Times New Roman" w:hAnsi="Times New Roman" w:cs="Times New Roman"/>
          <w:sz w:val="24"/>
          <w:szCs w:val="24"/>
        </w:rPr>
        <w:t xml:space="preserve"> overwhelmi</w:t>
      </w:r>
      <w:r w:rsidR="0036345B" w:rsidRPr="007721FB">
        <w:rPr>
          <w:rFonts w:ascii="Times New Roman" w:hAnsi="Times New Roman" w:cs="Times New Roman"/>
          <w:sz w:val="24"/>
          <w:szCs w:val="24"/>
        </w:rPr>
        <w:t xml:space="preserve">ng majority </w:t>
      </w:r>
      <w:r w:rsidR="00101084" w:rsidRPr="007721FB">
        <w:rPr>
          <w:rFonts w:ascii="Times New Roman" w:hAnsi="Times New Roman" w:cs="Times New Roman"/>
          <w:sz w:val="24"/>
          <w:szCs w:val="24"/>
        </w:rPr>
        <w:t>aims</w:t>
      </w:r>
      <w:r w:rsidR="0036345B" w:rsidRPr="007721FB">
        <w:rPr>
          <w:rFonts w:ascii="Times New Roman" w:hAnsi="Times New Roman" w:cs="Times New Roman"/>
          <w:sz w:val="24"/>
          <w:szCs w:val="24"/>
        </w:rPr>
        <w:t xml:space="preserve"> for </w:t>
      </w:r>
      <w:r w:rsidR="008911CE" w:rsidRPr="007721FB">
        <w:rPr>
          <w:rFonts w:ascii="Times New Roman" w:hAnsi="Times New Roman" w:cs="Times New Roman"/>
          <w:sz w:val="24"/>
          <w:szCs w:val="24"/>
        </w:rPr>
        <w:t xml:space="preserve">bone cancer treatment </w:t>
      </w:r>
      <w:r w:rsidR="00AC05B9" w:rsidRPr="007721FB">
        <w:rPr>
          <w:rFonts w:ascii="Times New Roman" w:hAnsi="Times New Roman" w:cs="Times New Roman"/>
          <w:sz w:val="24"/>
          <w:szCs w:val="24"/>
        </w:rPr>
        <w:t>and take</w:t>
      </w:r>
      <w:r w:rsidR="00101084" w:rsidRPr="007721FB">
        <w:rPr>
          <w:rFonts w:ascii="Times New Roman" w:hAnsi="Times New Roman" w:cs="Times New Roman"/>
          <w:sz w:val="24"/>
          <w:szCs w:val="24"/>
        </w:rPr>
        <w:t>s</w:t>
      </w:r>
      <w:r w:rsidR="00AC05B9" w:rsidRPr="007721FB">
        <w:rPr>
          <w:rFonts w:ascii="Times New Roman" w:hAnsi="Times New Roman" w:cs="Times New Roman"/>
          <w:sz w:val="24"/>
          <w:szCs w:val="24"/>
        </w:rPr>
        <w:t xml:space="preserve"> advantage of cancer</w:t>
      </w:r>
      <w:r w:rsidR="008911CE" w:rsidRPr="007721FB">
        <w:rPr>
          <w:rFonts w:ascii="Times New Roman" w:hAnsi="Times New Roman" w:cs="Times New Roman"/>
          <w:sz w:val="24"/>
          <w:szCs w:val="24"/>
        </w:rPr>
        <w:t>-</w:t>
      </w:r>
      <w:r w:rsidR="005360DE" w:rsidRPr="007721FB">
        <w:rPr>
          <w:rFonts w:ascii="Times New Roman" w:hAnsi="Times New Roman" w:cs="Times New Roman"/>
          <w:sz w:val="24"/>
          <w:szCs w:val="24"/>
        </w:rPr>
        <w:t>specific</w:t>
      </w:r>
      <w:r w:rsidR="008911CE" w:rsidRPr="007721FB">
        <w:rPr>
          <w:rFonts w:ascii="Times New Roman" w:hAnsi="Times New Roman" w:cs="Times New Roman"/>
          <w:sz w:val="24"/>
          <w:szCs w:val="24"/>
        </w:rPr>
        <w:t xml:space="preserve"> stimuli (e.g., redox, pH, tempe</w:t>
      </w:r>
      <w:r w:rsidR="002F254A" w:rsidRPr="007721FB">
        <w:rPr>
          <w:rFonts w:ascii="Times New Roman" w:hAnsi="Times New Roman" w:cs="Times New Roman"/>
          <w:sz w:val="24"/>
          <w:szCs w:val="24"/>
        </w:rPr>
        <w:t>rature). The motivation for such</w:t>
      </w:r>
      <w:r w:rsidR="00D8518D" w:rsidRPr="007721FB">
        <w:rPr>
          <w:rFonts w:ascii="Times New Roman" w:hAnsi="Times New Roman" w:cs="Times New Roman"/>
          <w:sz w:val="24"/>
          <w:szCs w:val="24"/>
        </w:rPr>
        <w:t xml:space="preserve"> focus stems mostly from</w:t>
      </w:r>
      <w:r w:rsidR="008911CE" w:rsidRPr="007721FB">
        <w:rPr>
          <w:rFonts w:ascii="Times New Roman" w:hAnsi="Times New Roman" w:cs="Times New Roman"/>
          <w:sz w:val="24"/>
          <w:szCs w:val="24"/>
        </w:rPr>
        <w:t xml:space="preserve"> tumor</w:t>
      </w:r>
      <w:r w:rsidR="00D8518D" w:rsidRPr="007721FB">
        <w:rPr>
          <w:rFonts w:ascii="Times New Roman" w:hAnsi="Times New Roman" w:cs="Times New Roman"/>
          <w:sz w:val="24"/>
          <w:szCs w:val="24"/>
        </w:rPr>
        <w:t>s increasing</w:t>
      </w:r>
      <w:r w:rsidR="008911CE" w:rsidRPr="007721FB">
        <w:rPr>
          <w:rFonts w:ascii="Times New Roman" w:hAnsi="Times New Roman" w:cs="Times New Roman"/>
          <w:sz w:val="24"/>
          <w:szCs w:val="24"/>
        </w:rPr>
        <w:t xml:space="preserve"> prevalen</w:t>
      </w:r>
      <w:r w:rsidR="002F254A" w:rsidRPr="007721FB">
        <w:rPr>
          <w:rFonts w:ascii="Times New Roman" w:hAnsi="Times New Roman" w:cs="Times New Roman"/>
          <w:sz w:val="24"/>
          <w:szCs w:val="24"/>
        </w:rPr>
        <w:t>ce, but also from the relative</w:t>
      </w:r>
      <w:r w:rsidR="008911CE" w:rsidRPr="007721FB">
        <w:rPr>
          <w:rFonts w:ascii="Times New Roman" w:hAnsi="Times New Roman" w:cs="Times New Roman"/>
          <w:sz w:val="24"/>
          <w:szCs w:val="24"/>
        </w:rPr>
        <w:t xml:space="preserve"> </w:t>
      </w:r>
      <w:r w:rsidR="002F254A" w:rsidRPr="007721FB">
        <w:rPr>
          <w:rFonts w:ascii="Times New Roman" w:hAnsi="Times New Roman" w:cs="Times New Roman"/>
          <w:sz w:val="24"/>
          <w:szCs w:val="24"/>
        </w:rPr>
        <w:t>understanding</w:t>
      </w:r>
      <w:r w:rsidR="008911CE" w:rsidRPr="007721FB">
        <w:rPr>
          <w:rFonts w:ascii="Times New Roman" w:hAnsi="Times New Roman" w:cs="Times New Roman"/>
          <w:sz w:val="24"/>
          <w:szCs w:val="24"/>
        </w:rPr>
        <w:t xml:space="preserve"> of </w:t>
      </w:r>
      <w:r w:rsidR="00D8518D" w:rsidRPr="007721FB">
        <w:rPr>
          <w:rFonts w:ascii="Times New Roman" w:hAnsi="Times New Roman" w:cs="Times New Roman"/>
          <w:sz w:val="24"/>
          <w:szCs w:val="24"/>
        </w:rPr>
        <w:t>their major hallmarks and microvasculature</w:t>
      </w:r>
      <w:r w:rsidR="00101084" w:rsidRPr="007721FB">
        <w:rPr>
          <w:rFonts w:ascii="Times New Roman" w:hAnsi="Times New Roman" w:cs="Times New Roman"/>
          <w:sz w:val="24"/>
          <w:szCs w:val="24"/>
        </w:rPr>
        <w:t xml:space="preserve"> </w:t>
      </w:r>
      <w:r w:rsidR="008911CE" w:rsidRPr="007721FB">
        <w:rPr>
          <w:rFonts w:ascii="Times New Roman" w:hAnsi="Times New Roman" w:cs="Times New Roman"/>
          <w:sz w:val="24"/>
          <w:szCs w:val="24"/>
        </w:rPr>
        <w:fldChar w:fldCharType="begin" w:fldLock="1"/>
      </w:r>
      <w:r w:rsidR="000A3B62" w:rsidRPr="007721FB">
        <w:rPr>
          <w:rFonts w:ascii="Times New Roman" w:hAnsi="Times New Roman" w:cs="Times New Roman"/>
          <w:sz w:val="24"/>
          <w:szCs w:val="24"/>
        </w:rPr>
        <w:instrText>ADDIN CSL_CITATION { "citationItems" : [ { "id" : "ITEM-1", "itemData" : { "DOI" : "10.1016/j.addr.2010.03.011", "ISSN" : "0169-409X", "author" : [ { "dropping-particle" : "", "family" : "Torchilin", "given" : "Vladimir", "non-dropping-particle" : "", "parse-names" : false, "suffix" : "" } ], "container-title" : "Advanced Drug Delivery Reviews", "id" : "ITEM-1", "issue" : "3", "issued" : { "date-parts" : [ [ "2011" ] ] }, "page" : "131-135", "publisher" : "Elsevier B.V.", "title" : "Tumor delivery of macromolecular drugs based on the EPR effect", "type" : "article-journal", "volume" : "63" }, "uris" : [ "http://www.mendeley.com/documents/?uuid=f326e33c-445f-4dda-bf48-b2bdd0613865", "http://www.mendeley.com/documents/?uuid=daffe46d-7368-4e05-a1fb-8454b757e945" ] }, { "id" : "ITEM-2", "itemData" : { "DOI" : "10.1016/j.jconrel.2010.08.027", "ISBN" : "0168-3659", "ISSN" : "01683659", "PMID" : "20797419", "abstract" : "Because of the particular characteristics of the tumor microenvironment and tumor angiogenesis, it is possible to design drug delivery systems that specifically target anti-cancer drugs to tumors. Most of the conventional chemotherapeutic agents have poor pharmacokinetics profiles and are distributed non-specifically in the body leading to systemic toxicity associated with serious side effects. Therefore, the development of drug delivery systems able to target the tumor site is becoming a real challenge that is currently addressed. Nanomedicine can reach tumor passively through the leaky vasculature surrounding the tumors by the Enhanced Permeability and Retention effect whereas ligands grafted at the surface of nanocarriers allow active targeting by binding to the receptors overexpressed by cancer cells or angiogenic endothelial cells. This review is divided into two parts: the first one describes the tumor microenvironment and the second one focuses on the exploitation and the understanding of these characteristics to design new drug delivery systems targeting the tumor. Delivery of conventional chemotherapeutic anti-cancer drugs is mainly discussed. ?? 2010 Elsevier B.V.", "author" : [ { "dropping-particle" : "", "family" : "Danhier", "given" : "Fabienne", "non-dropping-particle" : "", "parse-names" : false, "suffix" : "" }, { "dropping-particle" : "", "family" : "Feron", "given" : "Olivier", "non-dropping-particle" : "", "parse-names" : false, "suffix" : "" }, { "dropping-particle" : "", "family" : "Pr\u00e9at", "given" : "V\u00e9ronique", "non-dropping-particle" : "", "parse-names" : false, "suffix" : "" } ], "container-title" : "Journal of Controlled Release", "id" : "ITEM-2", "issue" : "2", "issued" : { "date-parts" : [ [ "2010" ] ] }, "page" : "135-146", "publisher" : "Elsevier B.V.", "title" : "To exploit the tumor microenvironment: Passive and active tumor targeting of nanocarriers for anti-cancer drug delivery", "type" : "article-journal", "volume" : "148" }, "uris" : [ "http://www.mendeley.com/documents/?uuid=3770a53d-3906-4211-a4b7-4f2581915fd5", "http://www.mendeley.com/documents/?uuid=0f802fea-b431-409a-9160-750983988f1f", "http://www.mendeley.com/documents/?uuid=7f09326a-47b3-4f96-bbef-10b9a74db465" ] }, { "id" : "ITEM-3", "itemData" : { "DOI" : "10.1146/annurev-bioeng-071811-150124", "ISBN" : "1523-9829", "ISSN" : "1523-9829", "PMID" : "22524388", "abstract" : "An understanding of the interactions between nanoparticles and biological systems is of significant interest. Studies aimed at correlating the properties of nanomaterials such as size, shape, chemical functionality, surface charge, and composition with biomolecular signaling, biological kinetics, transportation, and toxicity in both cell culture and animal experiments are under way. These fundamental studies will provide a foundation for engineering the next generation of nanoscale devices. Here, we provide rationales for these studies, review the current progress in studies of the interactions of nanomaterials with biological systems, and provide a perspective on the long-term implications of these findings.", "author" : [ { "dropping-particle" : "", "family" : "Albanese", "given" : "Alexandre", "non-dropping-particle" : "", "parse-names" : false, "suffix" : "" }, { "dropping-particle" : "", "family" : "Tang", "given" : "Peter S.", "non-dropping-particle" : "", "parse-names" : false, "suffix" : "" }, { "dropping-particle" : "", "family" : "Chan", "given" : "Warren C.W.", "non-dropping-particle" : "", "parse-names" : false, "suffix" : "" } ], "container-title" : "Annual Review of Biomedical Engineering", "id" : "ITEM-3", "issue" : "1", "issued" : { "date-parts" : [ [ "2012" ] ] }, "page" : "1-16", "title" : "The Effect of Nanoparticle Size, Shape, and Surface Chemistry on Biological Systems", "type" : "article-journal", "volume" : "14" }, "uris" : [ "http://www.mendeley.com/documents/?uuid=f73cf6bb-8e8e-4005-ae01-81f029a25b38", "http://www.mendeley.com/documents/?uuid=9957a436-f2c3-44b2-af7a-c289f26f187f", "http://www.mendeley.com/documents/?uuid=89c1a471-f34c-49cf-bd92-10db8a6c70d0" ] }, { "id" : "ITEM-4", "itemData" : { "ISSN" : "0036-8075", "author" : [ { "dropping-particle" : "", "family" : "Flavahan", "given" : "William A", "non-dropping-particle" : "", "parse-names" : false, "suffix" : "" }, { "dropping-particle" : "", "family" : "Gaskell", "given" : "Elizabeth", "non-dropping-particle" : "", "parse-names" : false, "suffix" : "" }, { "dropping-particle" : "", "family" : "Bernstein", "given" : "Bradley E", "non-dropping-particle" : "", "parse-names" : false, "suffix" : "" } ], "container-title" : "Science", "id" : "ITEM-4", "issue" : "6348", "issued" : { "date-parts" : [ [ "2017" ] ] }, "page" : "eaal2380", "publisher" : "American Association for the Advancement of Science", "title" : "Epigenetic plasticity and the hallmarks of cancer", "type" : "article-journal", "volume" : "357" }, "uris" : [ "http://www.mendeley.com/documents/?uuid=7d1da91d-88cd-4267-955e-0e3ff5603cba" ] }, { "id" : "ITEM-5", "itemData" : { "ISSN" : "0092-8674", "author" : [ { "dropping-particle" : "", "family" : "Hanahan", "given" : "Douglas", "non-dropping-particle" : "", "parse-names" : false, "suffix" : "" }, { "dropping-particle" : "", "family" : "Weinberg", "given" : "Robert A", "non-dropping-particle" : "", "parse-names" : false, "suffix" : "" } ], "container-title" : "cell", "id" : "ITEM-5", "issue" : "5", "issued" : { "date-parts" : [ [ "2011" ] ] }, "page" : "646-674", "publisher" : "Elsevier", "title" : "Hallmarks of cancer: the next generation", "type" : "article-journal", "volume" : "144" }, "uris" : [ "http://www.mendeley.com/documents/?uuid=0a9abeb0-8720-40e8-ac3a-8018c378c764" ] } ], "mendeley" : { "formattedCitation" : "[55,82,110,131,132]", "plainTextFormattedCitation" : "[55,82,110,131,132]", "previouslyFormattedCitation" : "[55,82,110,131,132]" }, "properties" : { "noteIndex" : 0 }, "schema" : "https://github.com/citation-style-language/schema/raw/master/csl-citation.json" }</w:instrText>
      </w:r>
      <w:r w:rsidR="008911CE" w:rsidRPr="007721FB">
        <w:rPr>
          <w:rFonts w:ascii="Times New Roman" w:hAnsi="Times New Roman" w:cs="Times New Roman"/>
          <w:sz w:val="24"/>
          <w:szCs w:val="24"/>
        </w:rPr>
        <w:fldChar w:fldCharType="separate"/>
      </w:r>
      <w:r w:rsidR="000A3B62" w:rsidRPr="007721FB">
        <w:rPr>
          <w:rFonts w:ascii="Times New Roman" w:hAnsi="Times New Roman" w:cs="Times New Roman"/>
          <w:noProof/>
          <w:sz w:val="24"/>
          <w:szCs w:val="24"/>
        </w:rPr>
        <w:t>[55,82,110,131,132]</w:t>
      </w:r>
      <w:r w:rsidR="008911CE" w:rsidRPr="007721FB">
        <w:rPr>
          <w:rFonts w:ascii="Times New Roman" w:hAnsi="Times New Roman" w:cs="Times New Roman"/>
          <w:sz w:val="24"/>
          <w:szCs w:val="24"/>
        </w:rPr>
        <w:fldChar w:fldCharType="end"/>
      </w:r>
      <w:r w:rsidR="00036188" w:rsidRPr="007721FB">
        <w:rPr>
          <w:rFonts w:ascii="Times New Roman" w:hAnsi="Times New Roman" w:cs="Times New Roman"/>
          <w:sz w:val="24"/>
          <w:szCs w:val="24"/>
        </w:rPr>
        <w:t>.</w:t>
      </w:r>
    </w:p>
    <w:p w14:paraId="38A36054" w14:textId="77777777" w:rsidR="00D8518D" w:rsidRPr="007721FB" w:rsidRDefault="002F254A" w:rsidP="00F345D7">
      <w:pPr>
        <w:spacing w:after="0" w:line="240" w:lineRule="auto"/>
        <w:jc w:val="both"/>
        <w:rPr>
          <w:rFonts w:ascii="Times New Roman" w:hAnsi="Times New Roman" w:cs="Times New Roman"/>
          <w:sz w:val="24"/>
          <w:szCs w:val="24"/>
        </w:rPr>
      </w:pPr>
      <w:r w:rsidRPr="007721FB">
        <w:rPr>
          <w:rFonts w:ascii="Times New Roman" w:hAnsi="Times New Roman" w:cs="Times New Roman"/>
          <w:sz w:val="24"/>
          <w:szCs w:val="24"/>
        </w:rPr>
        <w:t xml:space="preserve">  </w:t>
      </w:r>
      <w:r w:rsidR="008911CE" w:rsidRPr="007721FB">
        <w:rPr>
          <w:rFonts w:ascii="Times New Roman" w:hAnsi="Times New Roman" w:cs="Times New Roman"/>
          <w:sz w:val="24"/>
          <w:szCs w:val="24"/>
        </w:rPr>
        <w:t xml:space="preserve"> </w:t>
      </w:r>
      <w:r w:rsidR="00036188" w:rsidRPr="007721FB">
        <w:rPr>
          <w:rFonts w:ascii="Times New Roman" w:hAnsi="Times New Roman" w:cs="Times New Roman"/>
          <w:sz w:val="24"/>
          <w:szCs w:val="24"/>
        </w:rPr>
        <w:t>A</w:t>
      </w:r>
      <w:r w:rsidR="008911CE" w:rsidRPr="007721FB">
        <w:rPr>
          <w:rFonts w:ascii="Times New Roman" w:hAnsi="Times New Roman" w:cs="Times New Roman"/>
          <w:sz w:val="24"/>
          <w:szCs w:val="24"/>
        </w:rPr>
        <w:t>part from this pathology</w:t>
      </w:r>
      <w:r w:rsidR="0036345B" w:rsidRPr="007721FB">
        <w:rPr>
          <w:rFonts w:ascii="Times New Roman" w:hAnsi="Times New Roman" w:cs="Times New Roman"/>
          <w:sz w:val="24"/>
          <w:szCs w:val="24"/>
        </w:rPr>
        <w:t>,</w:t>
      </w:r>
      <w:r w:rsidR="008911CE" w:rsidRPr="007721FB">
        <w:rPr>
          <w:rFonts w:ascii="Times New Roman" w:hAnsi="Times New Roman" w:cs="Times New Roman"/>
          <w:sz w:val="24"/>
          <w:szCs w:val="24"/>
        </w:rPr>
        <w:t xml:space="preserve"> non-regenerating acute </w:t>
      </w:r>
      <w:r w:rsidR="005360DE" w:rsidRPr="007721FB">
        <w:rPr>
          <w:rFonts w:ascii="Times New Roman" w:hAnsi="Times New Roman" w:cs="Times New Roman"/>
          <w:sz w:val="24"/>
          <w:szCs w:val="24"/>
        </w:rPr>
        <w:t xml:space="preserve">bone </w:t>
      </w:r>
      <w:r w:rsidR="008911CE" w:rsidRPr="007721FB">
        <w:rPr>
          <w:rFonts w:ascii="Times New Roman" w:hAnsi="Times New Roman" w:cs="Times New Roman"/>
          <w:sz w:val="24"/>
          <w:szCs w:val="24"/>
        </w:rPr>
        <w:t>injuries (e.g., critical size fractures)</w:t>
      </w:r>
      <w:r w:rsidR="0036345B" w:rsidRPr="007721FB">
        <w:rPr>
          <w:rFonts w:ascii="Times New Roman" w:hAnsi="Times New Roman" w:cs="Times New Roman"/>
          <w:sz w:val="24"/>
          <w:szCs w:val="24"/>
        </w:rPr>
        <w:t>,</w:t>
      </w:r>
      <w:r w:rsidR="00186724" w:rsidRPr="007721FB">
        <w:rPr>
          <w:rFonts w:ascii="Times New Roman" w:hAnsi="Times New Roman" w:cs="Times New Roman"/>
          <w:sz w:val="24"/>
          <w:szCs w:val="24"/>
        </w:rPr>
        <w:t xml:space="preserve"> </w:t>
      </w:r>
      <w:r w:rsidR="008911CE" w:rsidRPr="007721FB">
        <w:rPr>
          <w:rFonts w:ascii="Times New Roman" w:hAnsi="Times New Roman" w:cs="Times New Roman"/>
          <w:sz w:val="24"/>
          <w:szCs w:val="24"/>
        </w:rPr>
        <w:t xml:space="preserve">bone diseases (e.g., osteomyelitis, osteoporosis) </w:t>
      </w:r>
      <w:r w:rsidR="0036345B" w:rsidRPr="007721FB">
        <w:rPr>
          <w:rFonts w:ascii="Times New Roman" w:hAnsi="Times New Roman" w:cs="Times New Roman"/>
          <w:sz w:val="24"/>
          <w:szCs w:val="24"/>
        </w:rPr>
        <w:t xml:space="preserve">and </w:t>
      </w:r>
      <w:r w:rsidR="00101084" w:rsidRPr="007721FB">
        <w:rPr>
          <w:rFonts w:ascii="Times New Roman" w:hAnsi="Times New Roman" w:cs="Times New Roman"/>
          <w:sz w:val="24"/>
          <w:szCs w:val="24"/>
        </w:rPr>
        <w:t xml:space="preserve">joint degeneration problems </w:t>
      </w:r>
      <w:r w:rsidR="0036345B" w:rsidRPr="007721FB">
        <w:rPr>
          <w:rFonts w:ascii="Times New Roman" w:hAnsi="Times New Roman" w:cs="Times New Roman"/>
          <w:sz w:val="24"/>
          <w:szCs w:val="24"/>
        </w:rPr>
        <w:t>(e</w:t>
      </w:r>
      <w:r w:rsidR="00186724" w:rsidRPr="007721FB">
        <w:rPr>
          <w:rFonts w:ascii="Times New Roman" w:hAnsi="Times New Roman" w:cs="Times New Roman"/>
          <w:sz w:val="24"/>
          <w:szCs w:val="24"/>
        </w:rPr>
        <w:t>.</w:t>
      </w:r>
      <w:r w:rsidR="0036345B" w:rsidRPr="007721FB">
        <w:rPr>
          <w:rFonts w:ascii="Times New Roman" w:hAnsi="Times New Roman" w:cs="Times New Roman"/>
          <w:sz w:val="24"/>
          <w:szCs w:val="24"/>
        </w:rPr>
        <w:t>g</w:t>
      </w:r>
      <w:r w:rsidR="00186724" w:rsidRPr="007721FB">
        <w:rPr>
          <w:rFonts w:ascii="Times New Roman" w:hAnsi="Times New Roman" w:cs="Times New Roman"/>
          <w:sz w:val="24"/>
          <w:szCs w:val="24"/>
        </w:rPr>
        <w:t>.</w:t>
      </w:r>
      <w:r w:rsidR="00036188" w:rsidRPr="007721FB">
        <w:rPr>
          <w:rFonts w:ascii="Times New Roman" w:hAnsi="Times New Roman" w:cs="Times New Roman"/>
          <w:sz w:val="24"/>
          <w:szCs w:val="24"/>
        </w:rPr>
        <w:t>,</w:t>
      </w:r>
      <w:r w:rsidR="0036345B" w:rsidRPr="007721FB">
        <w:rPr>
          <w:rFonts w:ascii="Times New Roman" w:hAnsi="Times New Roman" w:cs="Times New Roman"/>
          <w:sz w:val="24"/>
          <w:szCs w:val="24"/>
        </w:rPr>
        <w:t xml:space="preserve"> osteoarthritis) </w:t>
      </w:r>
      <w:r w:rsidR="008911CE" w:rsidRPr="007721FB">
        <w:rPr>
          <w:rFonts w:ascii="Times New Roman" w:hAnsi="Times New Roman" w:cs="Times New Roman"/>
          <w:sz w:val="24"/>
          <w:szCs w:val="24"/>
        </w:rPr>
        <w:t>are increasing in incidence and the development of more effective treatments tailored for these disorders is</w:t>
      </w:r>
      <w:r w:rsidR="005360DE" w:rsidRPr="007721FB">
        <w:rPr>
          <w:rFonts w:ascii="Times New Roman" w:hAnsi="Times New Roman" w:cs="Times New Roman"/>
          <w:sz w:val="24"/>
          <w:szCs w:val="24"/>
        </w:rPr>
        <w:t xml:space="preserve"> evermore</w:t>
      </w:r>
      <w:r w:rsidR="008911CE" w:rsidRPr="007721FB">
        <w:rPr>
          <w:rFonts w:ascii="Times New Roman" w:hAnsi="Times New Roman" w:cs="Times New Roman"/>
          <w:sz w:val="24"/>
          <w:szCs w:val="24"/>
        </w:rPr>
        <w:t xml:space="preserve"> required</w:t>
      </w:r>
      <w:r w:rsidR="00101084" w:rsidRPr="007721FB">
        <w:rPr>
          <w:rFonts w:ascii="Times New Roman" w:hAnsi="Times New Roman" w:cs="Times New Roman"/>
          <w:sz w:val="24"/>
          <w:szCs w:val="24"/>
        </w:rPr>
        <w:t xml:space="preserve"> in a clinical setting</w:t>
      </w:r>
      <w:r w:rsidR="008911CE" w:rsidRPr="007721FB">
        <w:rPr>
          <w:rFonts w:ascii="Times New Roman" w:hAnsi="Times New Roman" w:cs="Times New Roman"/>
          <w:sz w:val="24"/>
          <w:szCs w:val="24"/>
        </w:rPr>
        <w:t xml:space="preserve">. </w:t>
      </w:r>
      <w:r w:rsidR="00194EE7" w:rsidRPr="007721FB">
        <w:rPr>
          <w:rFonts w:ascii="Times New Roman" w:hAnsi="Times New Roman" w:cs="Times New Roman"/>
          <w:sz w:val="24"/>
          <w:szCs w:val="24"/>
        </w:rPr>
        <w:t>However,</w:t>
      </w:r>
      <w:r w:rsidR="003D478A" w:rsidRPr="007721FB">
        <w:rPr>
          <w:rFonts w:ascii="Times New Roman" w:hAnsi="Times New Roman" w:cs="Times New Roman"/>
          <w:sz w:val="24"/>
          <w:szCs w:val="24"/>
        </w:rPr>
        <w:t xml:space="preserve"> </w:t>
      </w:r>
      <w:r w:rsidR="005360DE" w:rsidRPr="007721FB">
        <w:rPr>
          <w:rFonts w:ascii="Times New Roman" w:hAnsi="Times New Roman" w:cs="Times New Roman"/>
          <w:sz w:val="24"/>
          <w:szCs w:val="24"/>
        </w:rPr>
        <w:t>t</w:t>
      </w:r>
      <w:r w:rsidR="003D478A" w:rsidRPr="007721FB">
        <w:rPr>
          <w:rFonts w:ascii="Times New Roman" w:hAnsi="Times New Roman" w:cs="Times New Roman"/>
          <w:sz w:val="24"/>
          <w:szCs w:val="24"/>
        </w:rPr>
        <w:t xml:space="preserve">he translation of </w:t>
      </w:r>
      <w:r w:rsidR="005360DE" w:rsidRPr="007721FB">
        <w:rPr>
          <w:rFonts w:ascii="Times New Roman" w:hAnsi="Times New Roman" w:cs="Times New Roman"/>
          <w:sz w:val="24"/>
          <w:szCs w:val="24"/>
        </w:rPr>
        <w:t xml:space="preserve">stimuli-responsive nanocarriers into </w:t>
      </w:r>
      <w:r w:rsidR="003D478A" w:rsidRPr="007721FB">
        <w:rPr>
          <w:rFonts w:ascii="Times New Roman" w:hAnsi="Times New Roman" w:cs="Times New Roman"/>
          <w:sz w:val="24"/>
          <w:szCs w:val="24"/>
        </w:rPr>
        <w:t xml:space="preserve">clinical practice remains </w:t>
      </w:r>
      <w:r w:rsidR="00B623F7" w:rsidRPr="007721FB">
        <w:rPr>
          <w:rFonts w:ascii="Times New Roman" w:hAnsi="Times New Roman" w:cs="Times New Roman"/>
          <w:sz w:val="24"/>
          <w:szCs w:val="24"/>
        </w:rPr>
        <w:t xml:space="preserve">highly </w:t>
      </w:r>
      <w:r w:rsidR="003D478A" w:rsidRPr="007721FB">
        <w:rPr>
          <w:rFonts w:ascii="Times New Roman" w:hAnsi="Times New Roman" w:cs="Times New Roman"/>
          <w:sz w:val="24"/>
          <w:szCs w:val="24"/>
        </w:rPr>
        <w:t xml:space="preserve">challenging. </w:t>
      </w:r>
    </w:p>
    <w:p w14:paraId="39DFC294" w14:textId="195FB02F" w:rsidR="00194EE7" w:rsidRPr="007721FB" w:rsidRDefault="00D8518D" w:rsidP="00F345D7">
      <w:pPr>
        <w:spacing w:after="0" w:line="240" w:lineRule="auto"/>
        <w:jc w:val="both"/>
        <w:rPr>
          <w:rFonts w:ascii="Times New Roman" w:hAnsi="Times New Roman" w:cs="Times New Roman"/>
          <w:sz w:val="24"/>
          <w:szCs w:val="24"/>
        </w:rPr>
      </w:pPr>
      <w:r w:rsidRPr="007721FB">
        <w:rPr>
          <w:rFonts w:ascii="Times New Roman" w:hAnsi="Times New Roman" w:cs="Times New Roman"/>
          <w:sz w:val="24"/>
          <w:szCs w:val="24"/>
        </w:rPr>
        <w:t xml:space="preserve">   </w:t>
      </w:r>
      <w:r w:rsidR="003D478A" w:rsidRPr="007721FB">
        <w:rPr>
          <w:rFonts w:ascii="Times New Roman" w:hAnsi="Times New Roman" w:cs="Times New Roman"/>
          <w:sz w:val="24"/>
          <w:szCs w:val="24"/>
        </w:rPr>
        <w:t>To date, few stimuli-responsive nanocarriers reached clinical stages across all areas, a</w:t>
      </w:r>
      <w:r w:rsidR="00B623F7" w:rsidRPr="007721FB">
        <w:rPr>
          <w:rFonts w:ascii="Times New Roman" w:hAnsi="Times New Roman" w:cs="Times New Roman"/>
          <w:sz w:val="24"/>
          <w:szCs w:val="24"/>
        </w:rPr>
        <w:t>n</w:t>
      </w:r>
      <w:r w:rsidR="003D478A" w:rsidRPr="007721FB">
        <w:rPr>
          <w:rFonts w:ascii="Times New Roman" w:hAnsi="Times New Roman" w:cs="Times New Roman"/>
          <w:sz w:val="24"/>
          <w:szCs w:val="24"/>
        </w:rPr>
        <w:t xml:space="preserve"> aspect that is particularly evident for bone disorders. This could be</w:t>
      </w:r>
      <w:r w:rsidR="00AC05B9" w:rsidRPr="007721FB">
        <w:rPr>
          <w:rFonts w:ascii="Times New Roman" w:hAnsi="Times New Roman" w:cs="Times New Roman"/>
          <w:sz w:val="24"/>
          <w:szCs w:val="24"/>
        </w:rPr>
        <w:t xml:space="preserve"> in part</w:t>
      </w:r>
      <w:r w:rsidR="003D478A" w:rsidRPr="007721FB">
        <w:rPr>
          <w:rFonts w:ascii="Times New Roman" w:hAnsi="Times New Roman" w:cs="Times New Roman"/>
          <w:sz w:val="24"/>
          <w:szCs w:val="24"/>
        </w:rPr>
        <w:t xml:space="preserve"> assigned to insufficient nanocarriers bioavailability and selectivity to bone tissues. </w:t>
      </w:r>
      <w:r w:rsidR="00B623F7" w:rsidRPr="007721FB">
        <w:rPr>
          <w:rFonts w:ascii="Times New Roman" w:hAnsi="Times New Roman" w:cs="Times New Roman"/>
          <w:sz w:val="24"/>
          <w:szCs w:val="24"/>
        </w:rPr>
        <w:t xml:space="preserve">But can be mainly attributed to our poor understanding of more fundamental aspects regarding the unique biological barriers posed by the skeletal architecture. </w:t>
      </w:r>
      <w:r w:rsidR="003D478A" w:rsidRPr="007721FB">
        <w:rPr>
          <w:rFonts w:ascii="Times New Roman" w:hAnsi="Times New Roman" w:cs="Times New Roman"/>
          <w:sz w:val="24"/>
          <w:szCs w:val="24"/>
        </w:rPr>
        <w:t xml:space="preserve">An increased </w:t>
      </w:r>
      <w:r w:rsidR="006D3DCC" w:rsidRPr="007721FB">
        <w:rPr>
          <w:rFonts w:ascii="Times New Roman" w:hAnsi="Times New Roman" w:cs="Times New Roman"/>
          <w:sz w:val="24"/>
          <w:szCs w:val="24"/>
        </w:rPr>
        <w:t xml:space="preserve">information </w:t>
      </w:r>
      <w:r w:rsidR="003D478A" w:rsidRPr="007721FB">
        <w:rPr>
          <w:rFonts w:ascii="Times New Roman" w:hAnsi="Times New Roman" w:cs="Times New Roman"/>
          <w:sz w:val="24"/>
          <w:szCs w:val="24"/>
        </w:rPr>
        <w:t xml:space="preserve">of how </w:t>
      </w:r>
      <w:r w:rsidR="00194EE7" w:rsidRPr="007721FB">
        <w:rPr>
          <w:rFonts w:ascii="Times New Roman" w:hAnsi="Times New Roman" w:cs="Times New Roman"/>
          <w:sz w:val="24"/>
          <w:szCs w:val="24"/>
        </w:rPr>
        <w:t>intravenously</w:t>
      </w:r>
      <w:r w:rsidR="003D478A" w:rsidRPr="007721FB">
        <w:rPr>
          <w:rFonts w:ascii="Times New Roman" w:hAnsi="Times New Roman" w:cs="Times New Roman"/>
          <w:sz w:val="24"/>
          <w:szCs w:val="24"/>
        </w:rPr>
        <w:t xml:space="preserve"> administered nanocarriers can reach bone tissues and what optimal characteristics in terms of size, shape, surface charge and blood stability</w:t>
      </w:r>
      <w:r w:rsidR="00AC05B9" w:rsidRPr="007721FB">
        <w:rPr>
          <w:rFonts w:ascii="Times New Roman" w:hAnsi="Times New Roman" w:cs="Times New Roman"/>
          <w:sz w:val="24"/>
          <w:szCs w:val="24"/>
        </w:rPr>
        <w:t xml:space="preserve"> they should possess is fundamental </w:t>
      </w:r>
      <w:r w:rsidR="00B623F7" w:rsidRPr="007721FB">
        <w:rPr>
          <w:rFonts w:ascii="Times New Roman" w:hAnsi="Times New Roman" w:cs="Times New Roman"/>
          <w:sz w:val="24"/>
          <w:szCs w:val="24"/>
        </w:rPr>
        <w:t>and should receive a renewed focus.</w:t>
      </w:r>
      <w:r w:rsidR="00194EE7" w:rsidRPr="007721FB">
        <w:rPr>
          <w:rFonts w:ascii="Times New Roman" w:hAnsi="Times New Roman" w:cs="Times New Roman"/>
          <w:sz w:val="24"/>
          <w:szCs w:val="24"/>
        </w:rPr>
        <w:t xml:space="preserve"> Intravenous administration is in fact highly attractive when compared to</w:t>
      </w:r>
      <w:r w:rsidR="008911CE" w:rsidRPr="007721FB">
        <w:rPr>
          <w:rFonts w:ascii="Times New Roman" w:hAnsi="Times New Roman" w:cs="Times New Roman"/>
          <w:sz w:val="24"/>
          <w:szCs w:val="24"/>
        </w:rPr>
        <w:t xml:space="preserve"> localized delivery via micro- or macro-sized implants, </w:t>
      </w:r>
      <w:r w:rsidR="00194EE7" w:rsidRPr="007721FB">
        <w:rPr>
          <w:rFonts w:ascii="Times New Roman" w:hAnsi="Times New Roman" w:cs="Times New Roman"/>
          <w:sz w:val="24"/>
          <w:szCs w:val="24"/>
        </w:rPr>
        <w:t xml:space="preserve">that </w:t>
      </w:r>
      <w:r w:rsidR="008911CE" w:rsidRPr="007721FB">
        <w:rPr>
          <w:rFonts w:ascii="Times New Roman" w:hAnsi="Times New Roman" w:cs="Times New Roman"/>
          <w:sz w:val="24"/>
          <w:szCs w:val="24"/>
        </w:rPr>
        <w:t xml:space="preserve">while interesting for </w:t>
      </w:r>
      <w:r w:rsidR="003D478A" w:rsidRPr="007721FB">
        <w:rPr>
          <w:rFonts w:ascii="Times New Roman" w:hAnsi="Times New Roman" w:cs="Times New Roman"/>
          <w:sz w:val="24"/>
          <w:szCs w:val="24"/>
        </w:rPr>
        <w:t>some</w:t>
      </w:r>
      <w:r w:rsidR="008911CE" w:rsidRPr="007721FB">
        <w:rPr>
          <w:rFonts w:ascii="Times New Roman" w:hAnsi="Times New Roman" w:cs="Times New Roman"/>
          <w:sz w:val="24"/>
          <w:szCs w:val="24"/>
        </w:rPr>
        <w:t xml:space="preserve"> bone disorders, do</w:t>
      </w:r>
      <w:r w:rsidR="00194EE7" w:rsidRPr="007721FB">
        <w:rPr>
          <w:rFonts w:ascii="Times New Roman" w:hAnsi="Times New Roman" w:cs="Times New Roman"/>
          <w:sz w:val="24"/>
          <w:szCs w:val="24"/>
        </w:rPr>
        <w:t xml:space="preserve"> </w:t>
      </w:r>
      <w:r w:rsidR="008911CE" w:rsidRPr="007721FB">
        <w:rPr>
          <w:rFonts w:ascii="Times New Roman" w:hAnsi="Times New Roman" w:cs="Times New Roman"/>
          <w:sz w:val="24"/>
          <w:szCs w:val="24"/>
        </w:rPr>
        <w:t>not warrant enough coverage to reach every bone tissue in a similar manner</w:t>
      </w:r>
      <w:r w:rsidR="00036188" w:rsidRPr="007721FB">
        <w:rPr>
          <w:rFonts w:ascii="Times New Roman" w:hAnsi="Times New Roman" w:cs="Times New Roman"/>
          <w:sz w:val="24"/>
          <w:szCs w:val="24"/>
        </w:rPr>
        <w:t xml:space="preserve"> </w:t>
      </w:r>
      <w:r w:rsidR="008911CE" w:rsidRPr="007721FB">
        <w:rPr>
          <w:rFonts w:ascii="Times New Roman" w:hAnsi="Times New Roman" w:cs="Times New Roman"/>
          <w:sz w:val="24"/>
          <w:szCs w:val="24"/>
        </w:rPr>
        <w:fldChar w:fldCharType="begin" w:fldLock="1"/>
      </w:r>
      <w:r w:rsidR="00496BD7" w:rsidRPr="007721FB">
        <w:rPr>
          <w:rFonts w:ascii="Times New Roman" w:hAnsi="Times New Roman" w:cs="Times New Roman"/>
          <w:sz w:val="24"/>
          <w:szCs w:val="24"/>
        </w:rPr>
        <w:instrText>ADDIN CSL_CITATION { "citationItems" : [ { "id" : "ITEM-1", "itemData" : { "DOI" : "10.1016/j.copbio.2016.02.029", "ISSN" : "0958-1669", "PMID" : "27064433", "author" : [ { "dropping-particle" : "", "family" : "Newman", "given" : "Maureen R", "non-dropping-particle" : "", "parse-names" : false, "suffix" : "" }, { "dropping-particle" : "", "family" : "Benoit", "given" : "Danielle S W", "non-dropping-particle" : "", "parse-names" : false, "suffix" : "" } ], "container-title" : "Current Opinion in Biotechnology", "id" : "ITEM-1", "issued" : { "date-parts" : [ [ "2016" ] ] }, "page" : "125-132", "publisher" : "Elsevier Ltd", "title" : "Local and targeted drug delivery for bone regeneration", "type" : "article-journal", "volume" : "40" }, "uris" : [ "http://www.mendeley.com/documents/?uuid=7811f736-38f6-401f-b346-0082b62fc6b6", "http://www.mendeley.com/documents/?uuid=9c10c4b0-4456-493a-8aff-618a0ef947ce" ] } ], "mendeley" : { "formattedCitation" : "[10]", "plainTextFormattedCitation" : "[10]", "previouslyFormattedCitation" : "[10]" }, "properties" : { "noteIndex" : 0 }, "schema" : "https://github.com/citation-style-language/schema/raw/master/csl-citation.json" }</w:instrText>
      </w:r>
      <w:r w:rsidR="008911CE" w:rsidRPr="007721FB">
        <w:rPr>
          <w:rFonts w:ascii="Times New Roman" w:hAnsi="Times New Roman" w:cs="Times New Roman"/>
          <w:sz w:val="24"/>
          <w:szCs w:val="24"/>
        </w:rPr>
        <w:fldChar w:fldCharType="separate"/>
      </w:r>
      <w:r w:rsidR="00496BD7" w:rsidRPr="007721FB">
        <w:rPr>
          <w:rFonts w:ascii="Times New Roman" w:hAnsi="Times New Roman" w:cs="Times New Roman"/>
          <w:noProof/>
          <w:sz w:val="24"/>
          <w:szCs w:val="24"/>
        </w:rPr>
        <w:t>[10]</w:t>
      </w:r>
      <w:r w:rsidR="008911CE" w:rsidRPr="007721FB">
        <w:rPr>
          <w:rFonts w:ascii="Times New Roman" w:hAnsi="Times New Roman" w:cs="Times New Roman"/>
          <w:sz w:val="24"/>
          <w:szCs w:val="24"/>
        </w:rPr>
        <w:fldChar w:fldCharType="end"/>
      </w:r>
      <w:r w:rsidRPr="007721FB">
        <w:rPr>
          <w:rFonts w:ascii="Times New Roman" w:hAnsi="Times New Roman" w:cs="Times New Roman"/>
          <w:sz w:val="24"/>
          <w:szCs w:val="24"/>
        </w:rPr>
        <w:t>, a major</w:t>
      </w:r>
      <w:r w:rsidR="003D478A" w:rsidRPr="007721FB">
        <w:rPr>
          <w:rFonts w:ascii="Times New Roman" w:hAnsi="Times New Roman" w:cs="Times New Roman"/>
          <w:sz w:val="24"/>
          <w:szCs w:val="24"/>
        </w:rPr>
        <w:t xml:space="preserve"> aspect in osteoporosis</w:t>
      </w:r>
      <w:r w:rsidR="00036188" w:rsidRPr="007721FB">
        <w:rPr>
          <w:rFonts w:ascii="Times New Roman" w:hAnsi="Times New Roman" w:cs="Times New Roman"/>
          <w:sz w:val="24"/>
          <w:szCs w:val="24"/>
        </w:rPr>
        <w:t>.</w:t>
      </w:r>
      <w:r w:rsidR="008911CE" w:rsidRPr="007721FB">
        <w:rPr>
          <w:rFonts w:ascii="Times New Roman" w:hAnsi="Times New Roman" w:cs="Times New Roman"/>
          <w:sz w:val="24"/>
          <w:szCs w:val="24"/>
        </w:rPr>
        <w:t xml:space="preserve"> Furthermore, the procedures for implant introduction are costly, laborious and highly invasive, not to mention the possible complications or infections arising from surgery</w:t>
      </w:r>
      <w:r w:rsidR="00194EE7" w:rsidRPr="007721FB">
        <w:rPr>
          <w:rFonts w:ascii="Times New Roman" w:hAnsi="Times New Roman" w:cs="Times New Roman"/>
          <w:sz w:val="24"/>
          <w:szCs w:val="24"/>
        </w:rPr>
        <w:t xml:space="preserve">. </w:t>
      </w:r>
    </w:p>
    <w:p w14:paraId="2CAC2776" w14:textId="55CE2AB0" w:rsidR="00D8518D" w:rsidRPr="007721FB" w:rsidRDefault="00194EE7" w:rsidP="00F345D7">
      <w:pPr>
        <w:spacing w:after="0" w:line="240" w:lineRule="auto"/>
        <w:jc w:val="both"/>
        <w:rPr>
          <w:rFonts w:ascii="Times New Roman" w:hAnsi="Times New Roman" w:cs="Times New Roman"/>
          <w:sz w:val="24"/>
          <w:szCs w:val="24"/>
        </w:rPr>
      </w:pPr>
      <w:r w:rsidRPr="007721FB">
        <w:rPr>
          <w:rFonts w:ascii="Times New Roman" w:hAnsi="Times New Roman" w:cs="Times New Roman"/>
          <w:sz w:val="24"/>
          <w:szCs w:val="24"/>
        </w:rPr>
        <w:t xml:space="preserve">   In a </w:t>
      </w:r>
      <w:r w:rsidR="00AC05B9" w:rsidRPr="007721FB">
        <w:rPr>
          <w:rFonts w:ascii="Times New Roman" w:hAnsi="Times New Roman" w:cs="Times New Roman"/>
          <w:sz w:val="24"/>
          <w:szCs w:val="24"/>
        </w:rPr>
        <w:t>critical</w:t>
      </w:r>
      <w:r w:rsidRPr="007721FB">
        <w:rPr>
          <w:rFonts w:ascii="Times New Roman" w:hAnsi="Times New Roman" w:cs="Times New Roman"/>
          <w:sz w:val="24"/>
          <w:szCs w:val="24"/>
        </w:rPr>
        <w:t xml:space="preserve"> perspective, it is </w:t>
      </w:r>
      <w:r w:rsidR="00EE3906" w:rsidRPr="007721FB">
        <w:rPr>
          <w:rFonts w:ascii="Times New Roman" w:hAnsi="Times New Roman" w:cs="Times New Roman"/>
          <w:sz w:val="24"/>
          <w:szCs w:val="24"/>
        </w:rPr>
        <w:t xml:space="preserve">clear </w:t>
      </w:r>
      <w:r w:rsidRPr="007721FB">
        <w:rPr>
          <w:rFonts w:ascii="Times New Roman" w:hAnsi="Times New Roman" w:cs="Times New Roman"/>
          <w:sz w:val="24"/>
          <w:szCs w:val="24"/>
        </w:rPr>
        <w:t>that a stimuli-mediated control over therapeutics release provides significant advanc</w:t>
      </w:r>
      <w:r w:rsidR="00F345D7" w:rsidRPr="007721FB">
        <w:rPr>
          <w:rFonts w:ascii="Times New Roman" w:hAnsi="Times New Roman" w:cs="Times New Roman"/>
          <w:sz w:val="24"/>
          <w:szCs w:val="24"/>
        </w:rPr>
        <w:t>es over the current shortcomings regarding premature leakage and burst release</w:t>
      </w:r>
      <w:r w:rsidR="001078BC" w:rsidRPr="007721FB">
        <w:rPr>
          <w:rFonts w:ascii="Times New Roman" w:hAnsi="Times New Roman" w:cs="Times New Roman"/>
          <w:sz w:val="24"/>
          <w:szCs w:val="24"/>
        </w:rPr>
        <w:t>, y</w:t>
      </w:r>
      <w:r w:rsidR="00AC05B9" w:rsidRPr="007721FB">
        <w:rPr>
          <w:rFonts w:ascii="Times New Roman" w:hAnsi="Times New Roman" w:cs="Times New Roman"/>
          <w:sz w:val="24"/>
          <w:szCs w:val="24"/>
        </w:rPr>
        <w:t xml:space="preserve">et, </w:t>
      </w:r>
      <w:r w:rsidRPr="007721FB">
        <w:rPr>
          <w:rFonts w:ascii="Times New Roman" w:hAnsi="Times New Roman" w:cs="Times New Roman"/>
          <w:sz w:val="24"/>
          <w:szCs w:val="24"/>
        </w:rPr>
        <w:t>future generations of responsive carrie</w:t>
      </w:r>
      <w:r w:rsidR="00AC05B9" w:rsidRPr="007721FB">
        <w:rPr>
          <w:rFonts w:ascii="Times New Roman" w:hAnsi="Times New Roman" w:cs="Times New Roman"/>
          <w:sz w:val="24"/>
          <w:szCs w:val="24"/>
        </w:rPr>
        <w:t xml:space="preserve">rs must be </w:t>
      </w:r>
      <w:r w:rsidR="00855E19" w:rsidRPr="007721FB">
        <w:rPr>
          <w:rFonts w:ascii="Times New Roman" w:hAnsi="Times New Roman" w:cs="Times New Roman"/>
          <w:sz w:val="24"/>
          <w:szCs w:val="24"/>
        </w:rPr>
        <w:t xml:space="preserve">rationally </w:t>
      </w:r>
      <w:r w:rsidR="00AC05B9" w:rsidRPr="007721FB">
        <w:rPr>
          <w:rFonts w:ascii="Times New Roman" w:hAnsi="Times New Roman" w:cs="Times New Roman"/>
          <w:sz w:val="24"/>
          <w:szCs w:val="24"/>
        </w:rPr>
        <w:t>engineered</w:t>
      </w:r>
      <w:r w:rsidR="00F345D7" w:rsidRPr="007721FB">
        <w:rPr>
          <w:rFonts w:ascii="Times New Roman" w:hAnsi="Times New Roman" w:cs="Times New Roman"/>
          <w:sz w:val="24"/>
          <w:szCs w:val="24"/>
        </w:rPr>
        <w:t>. Achieving</w:t>
      </w:r>
      <w:r w:rsidR="00AC05B9" w:rsidRPr="007721FB">
        <w:rPr>
          <w:rFonts w:ascii="Times New Roman" w:hAnsi="Times New Roman" w:cs="Times New Roman"/>
          <w:sz w:val="24"/>
          <w:szCs w:val="24"/>
        </w:rPr>
        <w:t xml:space="preserve"> a</w:t>
      </w:r>
      <w:r w:rsidRPr="007721FB">
        <w:rPr>
          <w:rFonts w:ascii="Times New Roman" w:hAnsi="Times New Roman" w:cs="Times New Roman"/>
          <w:sz w:val="24"/>
          <w:szCs w:val="24"/>
        </w:rPr>
        <w:t xml:space="preserve"> balance between complexity </w:t>
      </w:r>
      <w:r w:rsidR="008E35A7" w:rsidRPr="007721FB">
        <w:rPr>
          <w:rFonts w:ascii="Times New Roman" w:hAnsi="Times New Roman" w:cs="Times New Roman"/>
          <w:sz w:val="24"/>
          <w:szCs w:val="24"/>
        </w:rPr>
        <w:t xml:space="preserve">and </w:t>
      </w:r>
      <w:r w:rsidR="00F345D7" w:rsidRPr="007721FB">
        <w:rPr>
          <w:rFonts w:ascii="Times New Roman" w:hAnsi="Times New Roman" w:cs="Times New Roman"/>
          <w:sz w:val="24"/>
          <w:szCs w:val="24"/>
        </w:rPr>
        <w:t xml:space="preserve">biological </w:t>
      </w:r>
      <w:r w:rsidR="008E35A7" w:rsidRPr="007721FB">
        <w:rPr>
          <w:rFonts w:ascii="Times New Roman" w:hAnsi="Times New Roman" w:cs="Times New Roman"/>
          <w:sz w:val="24"/>
          <w:szCs w:val="24"/>
        </w:rPr>
        <w:t xml:space="preserve">performance </w:t>
      </w:r>
      <w:r w:rsidR="00F345D7" w:rsidRPr="007721FB">
        <w:rPr>
          <w:rFonts w:ascii="Times New Roman" w:hAnsi="Times New Roman" w:cs="Times New Roman"/>
          <w:sz w:val="24"/>
          <w:szCs w:val="24"/>
        </w:rPr>
        <w:t>is a</w:t>
      </w:r>
      <w:r w:rsidR="008E35A7" w:rsidRPr="007721FB">
        <w:rPr>
          <w:rFonts w:ascii="Times New Roman" w:hAnsi="Times New Roman" w:cs="Times New Roman"/>
          <w:sz w:val="24"/>
          <w:szCs w:val="24"/>
        </w:rPr>
        <w:t>n</w:t>
      </w:r>
      <w:r w:rsidR="00F345D7" w:rsidRPr="007721FB">
        <w:rPr>
          <w:rFonts w:ascii="Times New Roman" w:hAnsi="Times New Roman" w:cs="Times New Roman"/>
          <w:sz w:val="24"/>
          <w:szCs w:val="24"/>
        </w:rPr>
        <w:t xml:space="preserve"> underlying issue in the drug delivery field</w:t>
      </w:r>
      <w:r w:rsidRPr="007721FB">
        <w:rPr>
          <w:rFonts w:ascii="Times New Roman" w:hAnsi="Times New Roman" w:cs="Times New Roman"/>
          <w:sz w:val="24"/>
          <w:szCs w:val="24"/>
        </w:rPr>
        <w:t xml:space="preserve"> </w:t>
      </w:r>
      <w:r w:rsidR="00AC05B9" w:rsidRPr="007721FB">
        <w:rPr>
          <w:rFonts w:ascii="Times New Roman" w:hAnsi="Times New Roman" w:cs="Times New Roman"/>
          <w:sz w:val="24"/>
          <w:szCs w:val="24"/>
        </w:rPr>
        <w:t xml:space="preserve">since </w:t>
      </w:r>
      <w:r w:rsidR="006E2593" w:rsidRPr="007721FB">
        <w:rPr>
          <w:rFonts w:ascii="Times New Roman" w:hAnsi="Times New Roman" w:cs="Times New Roman"/>
          <w:sz w:val="24"/>
          <w:szCs w:val="24"/>
        </w:rPr>
        <w:t>the trend in the past years has been to develop perhaps overengineered stimuli-responsive multifunctional carriers in detriment of more simple systems</w:t>
      </w:r>
      <w:r w:rsidR="00F345D7" w:rsidRPr="007721FB">
        <w:rPr>
          <w:rFonts w:ascii="Times New Roman" w:hAnsi="Times New Roman" w:cs="Times New Roman"/>
          <w:sz w:val="24"/>
          <w:szCs w:val="24"/>
        </w:rPr>
        <w:t xml:space="preserve"> as recently emphasized </w:t>
      </w:r>
      <w:r w:rsidR="00EE3906" w:rsidRPr="007721FB">
        <w:rPr>
          <w:rFonts w:ascii="Times New Roman" w:hAnsi="Times New Roman" w:cs="Times New Roman"/>
          <w:sz w:val="24"/>
          <w:szCs w:val="24"/>
        </w:rPr>
        <w:fldChar w:fldCharType="begin" w:fldLock="1"/>
      </w:r>
      <w:r w:rsidR="000A3B62" w:rsidRPr="007721FB">
        <w:rPr>
          <w:rFonts w:ascii="Times New Roman" w:hAnsi="Times New Roman" w:cs="Times New Roman"/>
          <w:sz w:val="24"/>
          <w:szCs w:val="24"/>
        </w:rPr>
        <w:instrText>ADDIN CSL_CITATION { "citationItems" : [ { "id" : "ITEM-1", "itemData" : { "ISSN" : "1521-3773", "author" : [ { "dropping-particle" : "", "family" : "Leroux", "given" : "Jean\u2010Christophe", "non-dropping-particle" : "", "parse-names" : false, "suffix" : "" } ], "container-title" : "Angewandte Chemie International Edition", "id" : "ITEM-1", "issued" : { "date-parts" : [ [ "2017" ] ] }, "publisher" : "Wiley Online Library", "title" : "Drug Delivery: Too Much Complexity, Not Enough Reproducibility?", "type" : "article-journal" }, "uris" : [ "http://www.mendeley.com/documents/?uuid=7c7acc49-496f-4476-8221-1e8f90875334" ] } ], "mendeley" : { "formattedCitation" : "[133]", "plainTextFormattedCitation" : "[133]", "previouslyFormattedCitation" : "[133]" }, "properties" : { "noteIndex" : 23 }, "schema" : "https://github.com/citation-style-language/schema/raw/master/csl-citation.json" }</w:instrText>
      </w:r>
      <w:r w:rsidR="00EE3906" w:rsidRPr="007721FB">
        <w:rPr>
          <w:rFonts w:ascii="Times New Roman" w:hAnsi="Times New Roman" w:cs="Times New Roman"/>
          <w:sz w:val="24"/>
          <w:szCs w:val="24"/>
        </w:rPr>
        <w:fldChar w:fldCharType="separate"/>
      </w:r>
      <w:r w:rsidR="000A3B62" w:rsidRPr="007721FB">
        <w:rPr>
          <w:rFonts w:ascii="Times New Roman" w:hAnsi="Times New Roman" w:cs="Times New Roman"/>
          <w:noProof/>
          <w:sz w:val="24"/>
          <w:szCs w:val="24"/>
        </w:rPr>
        <w:t>[133]</w:t>
      </w:r>
      <w:r w:rsidR="00EE3906" w:rsidRPr="007721FB">
        <w:rPr>
          <w:rFonts w:ascii="Times New Roman" w:hAnsi="Times New Roman" w:cs="Times New Roman"/>
          <w:sz w:val="24"/>
          <w:szCs w:val="24"/>
        </w:rPr>
        <w:fldChar w:fldCharType="end"/>
      </w:r>
      <w:r w:rsidR="006E2593" w:rsidRPr="007721FB">
        <w:rPr>
          <w:rFonts w:ascii="Times New Roman" w:hAnsi="Times New Roman" w:cs="Times New Roman"/>
          <w:sz w:val="24"/>
          <w:szCs w:val="24"/>
        </w:rPr>
        <w:t>. Such trend could be restrictive in the context of cost-effectiveness and realistic</w:t>
      </w:r>
      <w:r w:rsidR="00F345D7" w:rsidRPr="007721FB">
        <w:rPr>
          <w:rFonts w:ascii="Times New Roman" w:hAnsi="Times New Roman" w:cs="Times New Roman"/>
          <w:sz w:val="24"/>
          <w:szCs w:val="24"/>
        </w:rPr>
        <w:t xml:space="preserve"> </w:t>
      </w:r>
      <w:r w:rsidR="00EE3906" w:rsidRPr="007721FB">
        <w:rPr>
          <w:rFonts w:ascii="Times New Roman" w:hAnsi="Times New Roman" w:cs="Times New Roman"/>
          <w:sz w:val="24"/>
          <w:szCs w:val="24"/>
        </w:rPr>
        <w:t>industrial production</w:t>
      </w:r>
      <w:r w:rsidR="006E2593" w:rsidRPr="007721FB">
        <w:rPr>
          <w:rFonts w:ascii="Times New Roman" w:hAnsi="Times New Roman" w:cs="Times New Roman"/>
          <w:sz w:val="24"/>
          <w:szCs w:val="24"/>
        </w:rPr>
        <w:t>.</w:t>
      </w:r>
    </w:p>
    <w:p w14:paraId="78BC2C97" w14:textId="468BCBBC" w:rsidR="001078BC" w:rsidRPr="007721FB" w:rsidRDefault="00D8518D" w:rsidP="00F345D7">
      <w:pPr>
        <w:spacing w:after="0" w:line="240" w:lineRule="auto"/>
        <w:jc w:val="both"/>
        <w:rPr>
          <w:rFonts w:ascii="Times New Roman" w:hAnsi="Times New Roman" w:cs="Times New Roman"/>
          <w:sz w:val="24"/>
          <w:szCs w:val="24"/>
        </w:rPr>
      </w:pPr>
      <w:r w:rsidRPr="007721FB">
        <w:rPr>
          <w:rFonts w:ascii="Times New Roman" w:hAnsi="Times New Roman" w:cs="Times New Roman"/>
          <w:sz w:val="24"/>
          <w:szCs w:val="24"/>
        </w:rPr>
        <w:lastRenderedPageBreak/>
        <w:t xml:space="preserve">   Yet</w:t>
      </w:r>
      <w:r w:rsidR="00855E19" w:rsidRPr="007721FB">
        <w:rPr>
          <w:rFonts w:ascii="Times New Roman" w:hAnsi="Times New Roman" w:cs="Times New Roman"/>
          <w:sz w:val="24"/>
          <w:szCs w:val="24"/>
        </w:rPr>
        <w:t xml:space="preserve">, the </w:t>
      </w:r>
      <w:r w:rsidR="001078BC" w:rsidRPr="007721FB">
        <w:rPr>
          <w:rFonts w:ascii="Times New Roman" w:hAnsi="Times New Roman" w:cs="Times New Roman"/>
          <w:sz w:val="24"/>
          <w:szCs w:val="24"/>
        </w:rPr>
        <w:t>design of</w:t>
      </w:r>
      <w:r w:rsidRPr="007721FB">
        <w:rPr>
          <w:rFonts w:ascii="Times New Roman" w:hAnsi="Times New Roman" w:cs="Times New Roman"/>
          <w:sz w:val="24"/>
          <w:szCs w:val="24"/>
        </w:rPr>
        <w:t xml:space="preserve"> more complex,</w:t>
      </w:r>
      <w:r w:rsidR="001078BC" w:rsidRPr="007721FB">
        <w:rPr>
          <w:rFonts w:ascii="Times New Roman" w:hAnsi="Times New Roman" w:cs="Times New Roman"/>
          <w:sz w:val="24"/>
          <w:szCs w:val="24"/>
        </w:rPr>
        <w:t xml:space="preserve"> multifunctional carriers could have an added benefit in the context of bone pathologies/injuries that feature more than one physicochemical/biochemical features as compared with healthy bone. Hence</w:t>
      </w:r>
      <w:r w:rsidR="00855E19" w:rsidRPr="007721FB">
        <w:rPr>
          <w:rFonts w:ascii="Times New Roman" w:hAnsi="Times New Roman" w:cs="Times New Roman"/>
          <w:sz w:val="24"/>
          <w:szCs w:val="24"/>
        </w:rPr>
        <w:t>,</w:t>
      </w:r>
      <w:r w:rsidR="001078BC" w:rsidRPr="007721FB">
        <w:rPr>
          <w:rFonts w:ascii="Times New Roman" w:hAnsi="Times New Roman" w:cs="Times New Roman"/>
          <w:sz w:val="24"/>
          <w:szCs w:val="24"/>
        </w:rPr>
        <w:t xml:space="preserve"> the manufacture of dual/multi-s</w:t>
      </w:r>
      <w:r w:rsidR="004A3561" w:rsidRPr="007721FB">
        <w:rPr>
          <w:rFonts w:ascii="Times New Roman" w:hAnsi="Times New Roman" w:cs="Times New Roman"/>
          <w:sz w:val="24"/>
          <w:szCs w:val="24"/>
        </w:rPr>
        <w:t>timuli responsive systems (pH+</w:t>
      </w:r>
      <w:r w:rsidR="001078BC" w:rsidRPr="007721FB">
        <w:rPr>
          <w:rFonts w:ascii="Times New Roman" w:hAnsi="Times New Roman" w:cs="Times New Roman"/>
          <w:sz w:val="24"/>
          <w:szCs w:val="24"/>
        </w:rPr>
        <w:t>temperatute, pH+redox,</w:t>
      </w:r>
      <w:r w:rsidR="0095028F" w:rsidRPr="007721FB">
        <w:rPr>
          <w:rFonts w:ascii="Times New Roman" w:hAnsi="Times New Roman" w:cs="Times New Roman"/>
          <w:sz w:val="24"/>
          <w:szCs w:val="24"/>
        </w:rPr>
        <w:t xml:space="preserve"> light+pH,</w:t>
      </w:r>
      <w:r w:rsidR="001078BC" w:rsidRPr="007721FB">
        <w:rPr>
          <w:rFonts w:ascii="Times New Roman" w:hAnsi="Times New Roman" w:cs="Times New Roman"/>
          <w:sz w:val="24"/>
          <w:szCs w:val="24"/>
        </w:rPr>
        <w:t xml:space="preserve"> etc) co</w:t>
      </w:r>
      <w:r w:rsidRPr="007721FB">
        <w:rPr>
          <w:rFonts w:ascii="Times New Roman" w:hAnsi="Times New Roman" w:cs="Times New Roman"/>
          <w:sz w:val="24"/>
          <w:szCs w:val="24"/>
        </w:rPr>
        <w:t>uld offer synergistic non-linear</w:t>
      </w:r>
      <w:r w:rsidR="001078BC" w:rsidRPr="007721FB">
        <w:rPr>
          <w:rFonts w:ascii="Times New Roman" w:hAnsi="Times New Roman" w:cs="Times New Roman"/>
          <w:sz w:val="24"/>
          <w:szCs w:val="24"/>
        </w:rPr>
        <w:t xml:space="preserve"> responses that could enhance the therapeutic outcome of such nanobiomaterials </w:t>
      </w:r>
      <w:r w:rsidR="00BC56A1" w:rsidRPr="007721FB">
        <w:rPr>
          <w:rFonts w:ascii="Times New Roman" w:hAnsi="Times New Roman" w:cs="Times New Roman"/>
          <w:sz w:val="24"/>
          <w:szCs w:val="24"/>
        </w:rPr>
        <w:fldChar w:fldCharType="begin" w:fldLock="1"/>
      </w:r>
      <w:r w:rsidR="000A3B62" w:rsidRPr="007721FB">
        <w:rPr>
          <w:rFonts w:ascii="Times New Roman" w:hAnsi="Times New Roman" w:cs="Times New Roman"/>
          <w:sz w:val="24"/>
          <w:szCs w:val="24"/>
        </w:rPr>
        <w:instrText>ADDIN CSL_CITATION { "citationItems" : [ { "id" : "ITEM-1", "itemData" : { "DOI" : "10.1002/adem.200700355", "ISSN" : "1527-2648", "author" : [ { "dropping-particle" : "", "family" : "Mano", "given" : "J.\u2009F.", "non-dropping-particle" : "", "parse-names" : false, "suffix" : "" } ], "container-title" : "Advanced Engineering Materials", "id" : "ITEM-1", "issue" : "6", "issued" : { "date-parts" : [ [ "2008", "6", "1" ] ] }, "page" : "515-527", "publisher" : "WILEY-VCH Verlag", "title" : "Stimuli-Responsive Polymeric Systems for Biomedical Applications", "type" : "article-journal", "volume" : "10" }, "uris" : [ "http://www.mendeley.com/documents/?uuid=c02f4f00-ee07-4d8d-adda-593dbef15246" ] } ], "mendeley" : { "formattedCitation" : "[134]", "plainTextFormattedCitation" : "[134]", "previouslyFormattedCitation" : "[134]" }, "properties" : { "noteIndex" : 24 }, "schema" : "https://github.com/citation-style-language/schema/raw/master/csl-citation.json" }</w:instrText>
      </w:r>
      <w:r w:rsidR="00BC56A1" w:rsidRPr="007721FB">
        <w:rPr>
          <w:rFonts w:ascii="Times New Roman" w:hAnsi="Times New Roman" w:cs="Times New Roman"/>
          <w:sz w:val="24"/>
          <w:szCs w:val="24"/>
        </w:rPr>
        <w:fldChar w:fldCharType="separate"/>
      </w:r>
      <w:r w:rsidR="000A3B62" w:rsidRPr="007721FB">
        <w:rPr>
          <w:rFonts w:ascii="Times New Roman" w:hAnsi="Times New Roman" w:cs="Times New Roman"/>
          <w:noProof/>
          <w:sz w:val="24"/>
          <w:szCs w:val="24"/>
        </w:rPr>
        <w:t>[134]</w:t>
      </w:r>
      <w:r w:rsidR="00BC56A1" w:rsidRPr="007721FB">
        <w:rPr>
          <w:rFonts w:ascii="Times New Roman" w:hAnsi="Times New Roman" w:cs="Times New Roman"/>
          <w:sz w:val="24"/>
          <w:szCs w:val="24"/>
        </w:rPr>
        <w:fldChar w:fldCharType="end"/>
      </w:r>
      <w:r w:rsidR="00BC56A1" w:rsidRPr="007721FB">
        <w:rPr>
          <w:rFonts w:ascii="Times New Roman" w:hAnsi="Times New Roman" w:cs="Times New Roman"/>
          <w:sz w:val="24"/>
          <w:szCs w:val="24"/>
        </w:rPr>
        <w:t>.</w:t>
      </w:r>
      <w:r w:rsidR="001F70A3" w:rsidRPr="007721FB">
        <w:rPr>
          <w:rFonts w:ascii="Times New Roman" w:hAnsi="Times New Roman" w:cs="Times New Roman"/>
          <w:sz w:val="24"/>
          <w:szCs w:val="24"/>
        </w:rPr>
        <w:t xml:space="preserve"> E</w:t>
      </w:r>
      <w:r w:rsidR="0095028F" w:rsidRPr="007721FB">
        <w:rPr>
          <w:rFonts w:ascii="Times New Roman" w:hAnsi="Times New Roman" w:cs="Times New Roman"/>
          <w:sz w:val="24"/>
          <w:szCs w:val="24"/>
        </w:rPr>
        <w:t xml:space="preserve">nvisioning future advances, </w:t>
      </w:r>
      <w:r w:rsidR="001F70A3" w:rsidRPr="007721FB">
        <w:rPr>
          <w:rFonts w:ascii="Times New Roman" w:hAnsi="Times New Roman" w:cs="Times New Roman"/>
          <w:sz w:val="24"/>
          <w:szCs w:val="24"/>
        </w:rPr>
        <w:t xml:space="preserve">the next-generation of such systems could combine also physical and morphological properties </w:t>
      </w:r>
      <w:r w:rsidR="0095028F" w:rsidRPr="007721FB">
        <w:rPr>
          <w:rFonts w:ascii="Times New Roman" w:hAnsi="Times New Roman" w:cs="Times New Roman"/>
          <w:sz w:val="24"/>
          <w:szCs w:val="24"/>
        </w:rPr>
        <w:t>such as shape, topography and mechanical properties which are known to influence cellular behavior</w:t>
      </w:r>
      <w:r w:rsidRPr="007721FB">
        <w:rPr>
          <w:rFonts w:ascii="Times New Roman" w:hAnsi="Times New Roman" w:cs="Times New Roman"/>
          <w:sz w:val="24"/>
          <w:szCs w:val="24"/>
        </w:rPr>
        <w:t xml:space="preserve"> and carriers biological performance</w:t>
      </w:r>
      <w:r w:rsidR="0095028F" w:rsidRPr="007721FB">
        <w:rPr>
          <w:rFonts w:ascii="Times New Roman" w:hAnsi="Times New Roman" w:cs="Times New Roman"/>
          <w:sz w:val="24"/>
          <w:szCs w:val="24"/>
        </w:rPr>
        <w:t xml:space="preserve"> </w:t>
      </w:r>
      <w:r w:rsidR="0095028F" w:rsidRPr="007721FB">
        <w:rPr>
          <w:rFonts w:ascii="Times New Roman" w:hAnsi="Times New Roman" w:cs="Times New Roman"/>
          <w:sz w:val="24"/>
          <w:szCs w:val="24"/>
        </w:rPr>
        <w:fldChar w:fldCharType="begin" w:fldLock="1"/>
      </w:r>
      <w:r w:rsidR="000A3B62" w:rsidRPr="007721FB">
        <w:rPr>
          <w:rFonts w:ascii="Times New Roman" w:hAnsi="Times New Roman" w:cs="Times New Roman"/>
          <w:sz w:val="24"/>
          <w:szCs w:val="24"/>
        </w:rPr>
        <w:instrText>ADDIN CSL_CITATION { "citationItems" : [ { "id" : "ITEM-1", "itemData" : { "DOI" : "10.1002/adhm.201600219", "ISSN" : "2192-2659", "author" : [ { "dropping-particle" : "", "family" : "Lima", "given" : "Ana Catarina", "non-dropping-particle" : "", "parse-names" : false, "suffix" : "" }, { "dropping-particle" : "", "family" : "Alvarez-Lorenzo", "given" : "Carmen", "non-dropping-particle" : "", "parse-names" : false, "suffix" : "" }, { "dropping-particle" : "", "family" : "Mano", "given" : "Jo\u00e3o F", "non-dropping-particle" : "", "parse-names" : false, "suffix" : "" } ], "container-title" : "Advanced Healthcare Materials", "id" : "ITEM-1", "issue" : "14", "issued" : { "date-parts" : [ [ "2016", "7", "1" ] ] }, "page" : "1687-1723", "title" : "Design Advances in Particulate Systems for Biomedical Applications", "type" : "article-journal", "volume" : "5" }, "uris" : [ "http://www.mendeley.com/documents/?uuid=1806fc86-f20c-41ed-b51f-49f0c6b7b325" ] } ], "mendeley" : { "formattedCitation" : "[135]", "plainTextFormattedCitation" : "[135]", "previouslyFormattedCitation" : "[135]" }, "properties" : { "noteIndex" : 24 }, "schema" : "https://github.com/citation-style-language/schema/raw/master/csl-citation.json" }</w:instrText>
      </w:r>
      <w:r w:rsidR="0095028F" w:rsidRPr="007721FB">
        <w:rPr>
          <w:rFonts w:ascii="Times New Roman" w:hAnsi="Times New Roman" w:cs="Times New Roman"/>
          <w:sz w:val="24"/>
          <w:szCs w:val="24"/>
        </w:rPr>
        <w:fldChar w:fldCharType="separate"/>
      </w:r>
      <w:r w:rsidR="000A3B62" w:rsidRPr="007721FB">
        <w:rPr>
          <w:rFonts w:ascii="Times New Roman" w:hAnsi="Times New Roman" w:cs="Times New Roman"/>
          <w:noProof/>
          <w:sz w:val="24"/>
          <w:szCs w:val="24"/>
        </w:rPr>
        <w:t>[135]</w:t>
      </w:r>
      <w:r w:rsidR="0095028F" w:rsidRPr="007721FB">
        <w:rPr>
          <w:rFonts w:ascii="Times New Roman" w:hAnsi="Times New Roman" w:cs="Times New Roman"/>
          <w:sz w:val="24"/>
          <w:szCs w:val="24"/>
        </w:rPr>
        <w:fldChar w:fldCharType="end"/>
      </w:r>
      <w:r w:rsidR="0095028F" w:rsidRPr="007721FB">
        <w:rPr>
          <w:rFonts w:ascii="Times New Roman" w:hAnsi="Times New Roman" w:cs="Times New Roman"/>
          <w:sz w:val="24"/>
          <w:szCs w:val="24"/>
        </w:rPr>
        <w:t>.</w:t>
      </w:r>
      <w:r w:rsidR="00AB683C" w:rsidRPr="007721FB">
        <w:rPr>
          <w:rFonts w:ascii="Times New Roman" w:hAnsi="Times New Roman" w:cs="Times New Roman"/>
          <w:sz w:val="24"/>
          <w:szCs w:val="24"/>
        </w:rPr>
        <w:t xml:space="preserve"> </w:t>
      </w:r>
    </w:p>
    <w:p w14:paraId="58E8C2FF" w14:textId="36C02EF6" w:rsidR="0095028F" w:rsidRPr="007721FB" w:rsidRDefault="0095028F" w:rsidP="00F345D7">
      <w:pPr>
        <w:spacing w:after="0" w:line="240" w:lineRule="auto"/>
        <w:jc w:val="both"/>
        <w:rPr>
          <w:rFonts w:ascii="Times New Roman" w:hAnsi="Times New Roman" w:cs="Times New Roman"/>
          <w:sz w:val="24"/>
          <w:szCs w:val="24"/>
        </w:rPr>
      </w:pPr>
      <w:r w:rsidRPr="007721FB">
        <w:rPr>
          <w:rFonts w:ascii="Times New Roman" w:hAnsi="Times New Roman" w:cs="Times New Roman"/>
          <w:sz w:val="24"/>
          <w:szCs w:val="24"/>
        </w:rPr>
        <w:t xml:space="preserve">   </w:t>
      </w:r>
      <w:r w:rsidR="00F345D7" w:rsidRPr="007721FB">
        <w:rPr>
          <w:rFonts w:ascii="Times New Roman" w:hAnsi="Times New Roman" w:cs="Times New Roman"/>
          <w:sz w:val="24"/>
          <w:szCs w:val="24"/>
        </w:rPr>
        <w:t>Alongside with this, in the design of multifunctional carriers aimed for parenteral delivery different strategies other than the widely used PEGylation</w:t>
      </w:r>
      <w:r w:rsidR="00EE3906" w:rsidRPr="007721FB">
        <w:rPr>
          <w:rFonts w:ascii="Times New Roman" w:hAnsi="Times New Roman" w:cs="Times New Roman"/>
          <w:sz w:val="24"/>
          <w:szCs w:val="24"/>
        </w:rPr>
        <w:t xml:space="preserve"> as shielding mechanism should be encouraged and pursued, particularly following the myriad of recent reports highlighting</w:t>
      </w:r>
      <w:r w:rsidR="00D8518D" w:rsidRPr="007721FB">
        <w:rPr>
          <w:rFonts w:ascii="Times New Roman" w:hAnsi="Times New Roman" w:cs="Times New Roman"/>
          <w:sz w:val="24"/>
          <w:szCs w:val="24"/>
        </w:rPr>
        <w:t xml:space="preserve"> some pitfalls in such approach</w:t>
      </w:r>
      <w:r w:rsidR="00EE3906" w:rsidRPr="007721FB">
        <w:rPr>
          <w:rFonts w:ascii="Times New Roman" w:hAnsi="Times New Roman" w:cs="Times New Roman"/>
          <w:sz w:val="24"/>
          <w:szCs w:val="24"/>
        </w:rPr>
        <w:t xml:space="preserve"> </w:t>
      </w:r>
      <w:r w:rsidR="00EE3906" w:rsidRPr="007721FB">
        <w:rPr>
          <w:rFonts w:ascii="Times New Roman" w:hAnsi="Times New Roman" w:cs="Times New Roman"/>
          <w:sz w:val="24"/>
          <w:szCs w:val="24"/>
        </w:rPr>
        <w:fldChar w:fldCharType="begin" w:fldLock="1"/>
      </w:r>
      <w:r w:rsidR="000A3B62" w:rsidRPr="007721FB">
        <w:rPr>
          <w:rFonts w:ascii="Times New Roman" w:hAnsi="Times New Roman" w:cs="Times New Roman"/>
          <w:sz w:val="24"/>
          <w:szCs w:val="24"/>
        </w:rPr>
        <w:instrText>ADDIN CSL_CITATION { "citationItems" : [ { "id" : "ITEM-1", "itemData" : { "ISSN" : "1873-4995", "author" : [ { "dropping-particle" : "", "family" : "Anchordoquy", "given" : "Thomas J", "non-dropping-particle" : "", "parse-names" : false, "suffix" : "" }, { "dropping-particle" : "", "family" : "Simberg", "given" : "Dmitri", "non-dropping-particle" : "", "parse-names" : false, "suffix" : "" } ], "container-title" : "Journal of controlled release: official journal of the Controlled Release Society", "id" : "ITEM-1", "issued" : { "date-parts" : [ [ "2017" ] ] }, "page" : "87", "title" : "Watching the gorilla and questioning delivery dogma.", "type" : "article-journal", "volume" : "262" }, "uris" : [ "http://www.mendeley.com/documents/?uuid=287a1452-844d-411c-9459-c8d3ccf4b2d8" ] } ], "mendeley" : { "formattedCitation" : "[136]", "plainTextFormattedCitation" : "[136]", "previouslyFormattedCitation" : "[136]" }, "properties" : { "noteIndex" : 23 }, "schema" : "https://github.com/citation-style-language/schema/raw/master/csl-citation.json" }</w:instrText>
      </w:r>
      <w:r w:rsidR="00EE3906" w:rsidRPr="007721FB">
        <w:rPr>
          <w:rFonts w:ascii="Times New Roman" w:hAnsi="Times New Roman" w:cs="Times New Roman"/>
          <w:sz w:val="24"/>
          <w:szCs w:val="24"/>
        </w:rPr>
        <w:fldChar w:fldCharType="separate"/>
      </w:r>
      <w:r w:rsidR="000A3B62" w:rsidRPr="007721FB">
        <w:rPr>
          <w:rFonts w:ascii="Times New Roman" w:hAnsi="Times New Roman" w:cs="Times New Roman"/>
          <w:noProof/>
          <w:sz w:val="24"/>
          <w:szCs w:val="24"/>
        </w:rPr>
        <w:t>[136]</w:t>
      </w:r>
      <w:r w:rsidR="00EE3906" w:rsidRPr="007721FB">
        <w:rPr>
          <w:rFonts w:ascii="Times New Roman" w:hAnsi="Times New Roman" w:cs="Times New Roman"/>
          <w:sz w:val="24"/>
          <w:szCs w:val="24"/>
        </w:rPr>
        <w:fldChar w:fldCharType="end"/>
      </w:r>
      <w:r w:rsidR="00EE3906" w:rsidRPr="007721FB">
        <w:rPr>
          <w:rFonts w:ascii="Times New Roman" w:hAnsi="Times New Roman" w:cs="Times New Roman"/>
          <w:sz w:val="24"/>
          <w:szCs w:val="24"/>
        </w:rPr>
        <w:t>.</w:t>
      </w:r>
      <w:r w:rsidRPr="007721FB">
        <w:rPr>
          <w:rFonts w:ascii="Times New Roman" w:hAnsi="Times New Roman" w:cs="Times New Roman"/>
          <w:sz w:val="24"/>
          <w:szCs w:val="24"/>
        </w:rPr>
        <w:t xml:space="preserve"> In fact, with the latest developments regarding alternatives to endow nanocarriers with stealth character we will for sure assist</w:t>
      </w:r>
      <w:r w:rsidR="00D8518D" w:rsidRPr="007721FB">
        <w:rPr>
          <w:rFonts w:ascii="Times New Roman" w:hAnsi="Times New Roman" w:cs="Times New Roman"/>
          <w:sz w:val="24"/>
          <w:szCs w:val="24"/>
        </w:rPr>
        <w:t xml:space="preserve"> to</w:t>
      </w:r>
      <w:r w:rsidRPr="007721FB">
        <w:rPr>
          <w:rFonts w:ascii="Times New Roman" w:hAnsi="Times New Roman" w:cs="Times New Roman"/>
          <w:sz w:val="24"/>
          <w:szCs w:val="24"/>
        </w:rPr>
        <w:t xml:space="preserve"> the proposal of smarter nanocarriers for systemic bone treatments. However, parallel efforts should be done in order to comply with regulatory guidelines to seriously consider the final application of such systems.</w:t>
      </w:r>
    </w:p>
    <w:p w14:paraId="3BB1205F" w14:textId="5C6D4B8D" w:rsidR="00194EE7" w:rsidRPr="007721FB" w:rsidRDefault="00EE3906" w:rsidP="00F345D7">
      <w:pPr>
        <w:spacing w:after="0" w:line="240" w:lineRule="auto"/>
        <w:jc w:val="both"/>
        <w:rPr>
          <w:rFonts w:ascii="Times New Roman" w:hAnsi="Times New Roman" w:cs="Times New Roman"/>
          <w:sz w:val="24"/>
          <w:szCs w:val="24"/>
        </w:rPr>
      </w:pPr>
      <w:r w:rsidRPr="007721FB">
        <w:rPr>
          <w:rFonts w:ascii="Times New Roman" w:hAnsi="Times New Roman" w:cs="Times New Roman"/>
          <w:sz w:val="24"/>
          <w:szCs w:val="24"/>
        </w:rPr>
        <w:t xml:space="preserve"> </w:t>
      </w:r>
      <w:r w:rsidR="00855E19" w:rsidRPr="007721FB">
        <w:rPr>
          <w:rFonts w:ascii="Times New Roman" w:hAnsi="Times New Roman" w:cs="Times New Roman"/>
          <w:sz w:val="24"/>
          <w:szCs w:val="24"/>
        </w:rPr>
        <w:t xml:space="preserve">  </w:t>
      </w:r>
      <w:r w:rsidRPr="007721FB">
        <w:rPr>
          <w:rFonts w:ascii="Times New Roman" w:hAnsi="Times New Roman" w:cs="Times New Roman"/>
          <w:sz w:val="24"/>
          <w:szCs w:val="24"/>
        </w:rPr>
        <w:t>We en</w:t>
      </w:r>
      <w:r w:rsidR="00D8518D" w:rsidRPr="007721FB">
        <w:rPr>
          <w:rFonts w:ascii="Times New Roman" w:hAnsi="Times New Roman" w:cs="Times New Roman"/>
          <w:sz w:val="24"/>
          <w:szCs w:val="24"/>
        </w:rPr>
        <w:t>vision that having an open mind</w:t>
      </w:r>
      <w:r w:rsidRPr="007721FB">
        <w:rPr>
          <w:rFonts w:ascii="Times New Roman" w:hAnsi="Times New Roman" w:cs="Times New Roman"/>
          <w:sz w:val="24"/>
          <w:szCs w:val="24"/>
        </w:rPr>
        <w:t>set on these</w:t>
      </w:r>
      <w:r w:rsidR="008E35A7" w:rsidRPr="007721FB">
        <w:rPr>
          <w:rFonts w:ascii="Times New Roman" w:hAnsi="Times New Roman" w:cs="Times New Roman"/>
          <w:sz w:val="24"/>
          <w:szCs w:val="24"/>
        </w:rPr>
        <w:t xml:space="preserve"> fundamental</w:t>
      </w:r>
      <w:r w:rsidRPr="007721FB">
        <w:rPr>
          <w:rFonts w:ascii="Times New Roman" w:hAnsi="Times New Roman" w:cs="Times New Roman"/>
          <w:sz w:val="24"/>
          <w:szCs w:val="24"/>
        </w:rPr>
        <w:t xml:space="preserve"> challenges could</w:t>
      </w:r>
      <w:r w:rsidR="008E35A7" w:rsidRPr="007721FB">
        <w:rPr>
          <w:rFonts w:ascii="Times New Roman" w:hAnsi="Times New Roman" w:cs="Times New Roman"/>
          <w:sz w:val="24"/>
          <w:szCs w:val="24"/>
        </w:rPr>
        <w:t xml:space="preserve"> contribute for the formulation</w:t>
      </w:r>
      <w:r w:rsidRPr="007721FB">
        <w:rPr>
          <w:rFonts w:ascii="Times New Roman" w:hAnsi="Times New Roman" w:cs="Times New Roman"/>
          <w:sz w:val="24"/>
          <w:szCs w:val="24"/>
        </w:rPr>
        <w:t xml:space="preserve"> of responsive nanocarriers with more potential for future commercialization and</w:t>
      </w:r>
      <w:r w:rsidR="00D8518D" w:rsidRPr="007721FB">
        <w:rPr>
          <w:rFonts w:ascii="Times New Roman" w:hAnsi="Times New Roman" w:cs="Times New Roman"/>
          <w:sz w:val="24"/>
          <w:szCs w:val="24"/>
        </w:rPr>
        <w:t xml:space="preserve"> realistic</w:t>
      </w:r>
      <w:r w:rsidRPr="007721FB">
        <w:rPr>
          <w:rFonts w:ascii="Times New Roman" w:hAnsi="Times New Roman" w:cs="Times New Roman"/>
          <w:sz w:val="24"/>
          <w:szCs w:val="24"/>
        </w:rPr>
        <w:t xml:space="preserve"> clinical application.</w:t>
      </w:r>
    </w:p>
    <w:p w14:paraId="09E09109" w14:textId="1B2DD550" w:rsidR="00222370" w:rsidRPr="007721FB" w:rsidRDefault="00222370" w:rsidP="00F345D7">
      <w:pPr>
        <w:spacing w:after="0" w:line="240" w:lineRule="auto"/>
        <w:jc w:val="both"/>
        <w:rPr>
          <w:rFonts w:ascii="Times New Roman" w:hAnsi="Times New Roman" w:cs="Times New Roman"/>
          <w:sz w:val="24"/>
          <w:szCs w:val="24"/>
        </w:rPr>
      </w:pPr>
    </w:p>
    <w:p w14:paraId="485D0B8C" w14:textId="77001270" w:rsidR="00222370" w:rsidRPr="007721FB" w:rsidRDefault="00222370" w:rsidP="00F345D7">
      <w:pPr>
        <w:spacing w:after="0" w:line="240" w:lineRule="auto"/>
        <w:jc w:val="both"/>
        <w:rPr>
          <w:rFonts w:ascii="Times New Roman" w:hAnsi="Times New Roman" w:cs="Times New Roman"/>
          <w:sz w:val="24"/>
          <w:szCs w:val="24"/>
        </w:rPr>
      </w:pPr>
    </w:p>
    <w:p w14:paraId="5685248F" w14:textId="73ABDE4E" w:rsidR="00222370" w:rsidRPr="007721FB" w:rsidRDefault="00222370" w:rsidP="00F345D7">
      <w:pPr>
        <w:spacing w:after="0" w:line="240" w:lineRule="auto"/>
        <w:jc w:val="both"/>
        <w:rPr>
          <w:rFonts w:ascii="Times New Roman" w:hAnsi="Times New Roman" w:cs="Times New Roman"/>
          <w:b/>
          <w:sz w:val="28"/>
          <w:szCs w:val="24"/>
        </w:rPr>
      </w:pPr>
      <w:r w:rsidRPr="007721FB">
        <w:rPr>
          <w:rFonts w:ascii="Times New Roman" w:hAnsi="Times New Roman" w:cs="Times New Roman"/>
          <w:b/>
          <w:sz w:val="28"/>
          <w:szCs w:val="24"/>
        </w:rPr>
        <w:t xml:space="preserve">Acknowledgments </w:t>
      </w:r>
    </w:p>
    <w:p w14:paraId="6312BA0D" w14:textId="2E7A8807" w:rsidR="009D711F" w:rsidRPr="007721FB" w:rsidRDefault="009D711F" w:rsidP="002312A2">
      <w:pPr>
        <w:spacing w:after="0" w:line="276" w:lineRule="auto"/>
        <w:jc w:val="both"/>
        <w:rPr>
          <w:rFonts w:ascii="Times New Roman" w:hAnsi="Times New Roman"/>
          <w:sz w:val="24"/>
          <w:szCs w:val="24"/>
        </w:rPr>
      </w:pPr>
      <w:r w:rsidRPr="007721FB">
        <w:rPr>
          <w:rFonts w:ascii="Times New Roman" w:hAnsi="Times New Roman"/>
          <w:sz w:val="24"/>
          <w:szCs w:val="24"/>
        </w:rPr>
        <w:t xml:space="preserve">   The authors would like to acknowledge the support of the European Research Council grant agreement ERC-2014-ADG-669858 for project ATLAS. The authors also acknowledge the financial support by the Portuguese Foundation for Science and Technology (FCT) through a Post-doctoral grant (SFRH/BPD/119983/2016, Vítor Gaspar).</w:t>
      </w:r>
      <w:r w:rsidR="004A3561" w:rsidRPr="007721FB">
        <w:rPr>
          <w:rFonts w:ascii="Times New Roman" w:hAnsi="Times New Roman"/>
          <w:sz w:val="24"/>
          <w:szCs w:val="24"/>
        </w:rPr>
        <w:t xml:space="preserve"> The authors also acknowledge </w:t>
      </w:r>
      <w:r w:rsidR="002312A2" w:rsidRPr="007721FB">
        <w:rPr>
          <w:rFonts w:ascii="Times New Roman" w:hAnsi="Times New Roman"/>
          <w:sz w:val="24"/>
          <w:szCs w:val="24"/>
        </w:rPr>
        <w:t>Servier Medical Art (</w:t>
      </w:r>
      <w:hyperlink r:id="rId16" w:history="1">
        <w:r w:rsidR="002312A2" w:rsidRPr="007721FB">
          <w:rPr>
            <w:rStyle w:val="Hiperligao"/>
            <w:rFonts w:ascii="Times New Roman" w:hAnsi="Times New Roman"/>
            <w:sz w:val="24"/>
            <w:szCs w:val="24"/>
          </w:rPr>
          <w:t>www.servier.com</w:t>
        </w:r>
      </w:hyperlink>
      <w:r w:rsidR="002312A2" w:rsidRPr="007721FB">
        <w:rPr>
          <w:rFonts w:ascii="Times New Roman" w:hAnsi="Times New Roman"/>
          <w:sz w:val="24"/>
          <w:szCs w:val="24"/>
        </w:rPr>
        <w:t xml:space="preserve">), for providing </w:t>
      </w:r>
      <w:r w:rsidR="00B0121C" w:rsidRPr="007721FB">
        <w:rPr>
          <w:rFonts w:ascii="Times New Roman" w:hAnsi="Times New Roman"/>
          <w:sz w:val="24"/>
          <w:szCs w:val="24"/>
        </w:rPr>
        <w:t xml:space="preserve">image </w:t>
      </w:r>
      <w:r w:rsidR="002312A2" w:rsidRPr="007721FB">
        <w:rPr>
          <w:rFonts w:ascii="Times New Roman" w:hAnsi="Times New Roman"/>
          <w:sz w:val="24"/>
          <w:szCs w:val="24"/>
        </w:rPr>
        <w:t>vectors for Figure 1 and 4, licensed under the Creative Commons Attribution 3.0 Unported License (http://creativecommons.org/license/by/3.0/).</w:t>
      </w:r>
    </w:p>
    <w:p w14:paraId="3ACD4304" w14:textId="0E782A76" w:rsidR="005D15A0" w:rsidRPr="007721FB" w:rsidRDefault="005D15A0" w:rsidP="00F42607">
      <w:pPr>
        <w:spacing w:line="240" w:lineRule="auto"/>
        <w:rPr>
          <w:lang w:val="en-GB"/>
        </w:rPr>
      </w:pPr>
    </w:p>
    <w:p w14:paraId="72B3A590" w14:textId="074AAE4C" w:rsidR="00822B19" w:rsidRPr="007721FB" w:rsidRDefault="005D15A0" w:rsidP="00F42607">
      <w:pPr>
        <w:pStyle w:val="Cabealho2"/>
        <w:spacing w:line="240" w:lineRule="auto"/>
        <w:rPr>
          <w:rFonts w:ascii="Times New Roman" w:hAnsi="Times New Roman" w:cs="Times New Roman"/>
          <w:b/>
          <w:color w:val="auto"/>
          <w:sz w:val="28"/>
          <w:szCs w:val="28"/>
          <w:lang w:val="en-GB"/>
        </w:rPr>
      </w:pPr>
      <w:bookmarkStart w:id="20" w:name="_Toc471752573"/>
      <w:bookmarkStart w:id="21" w:name="_Toc471829477"/>
      <w:r w:rsidRPr="007721FB">
        <w:rPr>
          <w:rFonts w:ascii="Times New Roman" w:hAnsi="Times New Roman" w:cs="Times New Roman"/>
          <w:b/>
          <w:color w:val="auto"/>
          <w:sz w:val="28"/>
          <w:szCs w:val="28"/>
          <w:lang w:val="en-GB"/>
        </w:rPr>
        <w:t>6. References</w:t>
      </w:r>
      <w:bookmarkEnd w:id="20"/>
      <w:bookmarkEnd w:id="21"/>
    </w:p>
    <w:p w14:paraId="7E13AA35" w14:textId="1E4BFEB2" w:rsidR="000A3B62" w:rsidRPr="007721FB" w:rsidRDefault="002A58C6"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sz w:val="20"/>
          <w:szCs w:val="20"/>
          <w:lang w:val="en-GB"/>
        </w:rPr>
        <w:fldChar w:fldCharType="begin" w:fldLock="1"/>
      </w:r>
      <w:r w:rsidRPr="007721FB">
        <w:rPr>
          <w:rFonts w:ascii="Times New Roman" w:hAnsi="Times New Roman" w:cs="Times New Roman"/>
          <w:sz w:val="20"/>
          <w:szCs w:val="20"/>
          <w:lang w:val="en-GB"/>
        </w:rPr>
        <w:instrText xml:space="preserve">ADDIN Mendeley Bibliography CSL_BIBLIOGRAPHY </w:instrText>
      </w:r>
      <w:r w:rsidRPr="007721FB">
        <w:rPr>
          <w:rFonts w:ascii="Times New Roman" w:hAnsi="Times New Roman" w:cs="Times New Roman"/>
          <w:sz w:val="20"/>
          <w:szCs w:val="20"/>
          <w:lang w:val="en-GB"/>
        </w:rPr>
        <w:fldChar w:fldCharType="separate"/>
      </w:r>
      <w:r w:rsidR="000A3B62" w:rsidRPr="007721FB">
        <w:rPr>
          <w:rFonts w:ascii="Times New Roman" w:hAnsi="Times New Roman" w:cs="Times New Roman"/>
          <w:noProof/>
          <w:sz w:val="20"/>
          <w:szCs w:val="24"/>
        </w:rPr>
        <w:t>[1]</w:t>
      </w:r>
      <w:r w:rsidR="000A3B62" w:rsidRPr="007721FB">
        <w:rPr>
          <w:rFonts w:ascii="Times New Roman" w:hAnsi="Times New Roman" w:cs="Times New Roman"/>
          <w:noProof/>
          <w:sz w:val="20"/>
          <w:szCs w:val="24"/>
        </w:rPr>
        <w:tab/>
        <w:t>G.A. Rodan, T.J. Martin, Therapeutic Approaches to Bone Diseases, Science (80-. ). 289 (2000) 1508–1514.</w:t>
      </w:r>
    </w:p>
    <w:p w14:paraId="5375A7D7"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[2]</w:t>
      </w:r>
      <w:r w:rsidRPr="007721FB">
        <w:rPr>
          <w:rFonts w:ascii="Times New Roman" w:hAnsi="Times New Roman" w:cs="Times New Roman"/>
          <w:noProof/>
          <w:sz w:val="20"/>
          <w:szCs w:val="24"/>
        </w:rPr>
        <w:tab/>
        <w:t>W. Gu, C. Wu, J. Chen, Y. Xiao, Nanotechnology in the targeted drug delivery for bone diseases and bone regeneration, Int. J. Nanomedicine. 8 (2013) 2305–2317. doi:10.2147/IJN.S44393.</w:t>
      </w:r>
    </w:p>
    <w:p w14:paraId="63B4D538"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[3]</w:t>
      </w:r>
      <w:r w:rsidRPr="007721FB">
        <w:rPr>
          <w:rFonts w:ascii="Times New Roman" w:hAnsi="Times New Roman" w:cs="Times New Roman"/>
          <w:noProof/>
          <w:sz w:val="20"/>
          <w:szCs w:val="24"/>
        </w:rPr>
        <w:tab/>
        <w:t>E. Feurer, R. Chapurlat, Emerging drugs for osteoporosis, Expert Opin. Emerg. Drugs. 19 (2014) 385–395.</w:t>
      </w:r>
    </w:p>
    <w:p w14:paraId="2B64B7B0"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[4]</w:t>
      </w:r>
      <w:r w:rsidRPr="007721FB">
        <w:rPr>
          <w:rFonts w:ascii="Times New Roman" w:hAnsi="Times New Roman" w:cs="Times New Roman"/>
          <w:noProof/>
          <w:sz w:val="20"/>
          <w:szCs w:val="24"/>
        </w:rPr>
        <w:tab/>
        <w:t>E.J. Carbone, K. Rajpura, B.N. Allen, E. Cheng, B.D. Ulery, K.W.H. Lo, Osteotropic nanoscale drug delivery systems based on small molecule bone-targeting moieties, Nanomedicine Nanotechnology, Biol. Med. 13 (2017) 37–47. doi:10.1016/j.nano.2016.08.015.</w:t>
      </w:r>
    </w:p>
    <w:p w14:paraId="51E79575"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[5]</w:t>
      </w:r>
      <w:r w:rsidRPr="007721FB">
        <w:rPr>
          <w:rFonts w:ascii="Times New Roman" w:hAnsi="Times New Roman" w:cs="Times New Roman"/>
          <w:noProof/>
          <w:sz w:val="20"/>
          <w:szCs w:val="24"/>
        </w:rPr>
        <w:tab/>
        <w:t>J.L. Vahle, M. Sato, G.G. Long, J.K. Young, P.C. Francis, J. a Engelhardt, M.S. Westmore, Y. Linda, J.B. Nold, Skeletal changes in rats given daily subcutaneous injections of recombinant human parathyroid hormone (1-34) for 2 years and relevance to human safety., Toxicol. Pathol. 30 (2002) 312–321. doi:10.1080/01926230252929882.</w:t>
      </w:r>
    </w:p>
    <w:p w14:paraId="3C5D7E06"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[6]</w:t>
      </w:r>
      <w:r w:rsidRPr="007721FB">
        <w:rPr>
          <w:rFonts w:ascii="Times New Roman" w:hAnsi="Times New Roman" w:cs="Times New Roman"/>
          <w:noProof/>
          <w:sz w:val="20"/>
          <w:szCs w:val="24"/>
        </w:rPr>
        <w:tab/>
        <w:t>J.B. Nase, J.B. Suzuki, Osteonecrosis of the jaw and oral bisphosphonate treatment, J.Am.Dent.Assoc. 137 (2006) 1115–1119.</w:t>
      </w:r>
    </w:p>
    <w:p w14:paraId="69B881D2"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[7]</w:t>
      </w:r>
      <w:r w:rsidRPr="007721FB">
        <w:rPr>
          <w:rFonts w:ascii="Times New Roman" w:hAnsi="Times New Roman" w:cs="Times New Roman"/>
          <w:noProof/>
          <w:sz w:val="20"/>
          <w:szCs w:val="24"/>
        </w:rPr>
        <w:tab/>
        <w:t>D.Y. Graham, What the gastroenterologist should know about the gastrointestinal safety profiles of bisphosphonates, Dig. Dis. Sci. 47 (2002) 1665–1678. doi:10.1023/A:1016495221567.</w:t>
      </w:r>
    </w:p>
    <w:p w14:paraId="665946BA"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[8]</w:t>
      </w:r>
      <w:r w:rsidRPr="007721FB">
        <w:rPr>
          <w:rFonts w:ascii="Times New Roman" w:hAnsi="Times New Roman" w:cs="Times New Roman"/>
          <w:noProof/>
          <w:sz w:val="20"/>
          <w:szCs w:val="24"/>
        </w:rPr>
        <w:tab/>
        <w:t>A. Luetke, P.A. Meyers, I. Lewis, H. Juergens, Osteosarcoma treatment - Where do we stand? A state of the art review, Cancer Treat. Rev. 40 (2014) 523–532. doi:10.1016/j.ctrv.2013.11.006.</w:t>
      </w:r>
    </w:p>
    <w:p w14:paraId="09FB4DED"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[9]</w:t>
      </w:r>
      <w:r w:rsidRPr="007721FB">
        <w:rPr>
          <w:rFonts w:ascii="Times New Roman" w:hAnsi="Times New Roman" w:cs="Times New Roman"/>
          <w:noProof/>
          <w:sz w:val="20"/>
          <w:szCs w:val="24"/>
        </w:rPr>
        <w:tab/>
        <w:t xml:space="preserve">M. Farokhi, F. Mottaghitalab, M.A. Shokrgozar, K.L. Ou, C. Mao, H. Hosseinkhani, Importance </w:t>
      </w:r>
      <w:r w:rsidRPr="007721FB">
        <w:rPr>
          <w:rFonts w:ascii="Times New Roman" w:hAnsi="Times New Roman" w:cs="Times New Roman"/>
          <w:noProof/>
          <w:sz w:val="20"/>
          <w:szCs w:val="24"/>
        </w:rPr>
        <w:lastRenderedPageBreak/>
        <w:t>of dual delivery systems for bone tissue engineering, J. Control. Release. 225 (2016) 152–169. doi:10.1016/j.jconrel.2016.01.033.</w:t>
      </w:r>
    </w:p>
    <w:p w14:paraId="08E93659"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[10]</w:t>
      </w:r>
      <w:r w:rsidRPr="007721FB">
        <w:rPr>
          <w:rFonts w:ascii="Times New Roman" w:hAnsi="Times New Roman" w:cs="Times New Roman"/>
          <w:noProof/>
          <w:sz w:val="20"/>
          <w:szCs w:val="24"/>
        </w:rPr>
        <w:tab/>
        <w:t>M.R. Newman, D.S.W. Benoit, Local and targeted drug delivery for bone regeneration, Curr. Opin. Biotechnol. 40 (2016) 125–132. doi:10.1016/j.copbio.2016.02.029.</w:t>
      </w:r>
    </w:p>
    <w:p w14:paraId="75D69F1D"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[11]</w:t>
      </w:r>
      <w:r w:rsidRPr="007721FB">
        <w:rPr>
          <w:rFonts w:ascii="Times New Roman" w:hAnsi="Times New Roman" w:cs="Times New Roman"/>
          <w:noProof/>
          <w:sz w:val="20"/>
          <w:szCs w:val="24"/>
        </w:rPr>
        <w:tab/>
        <w:t>E.R. Balmayor, Targeted delivery as key for the success of small osteoinductive molecules, Adv. Drug Deliv. Rev. 94 (2015) 13–27.</w:t>
      </w:r>
    </w:p>
    <w:p w14:paraId="45A310DF"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[12]</w:t>
      </w:r>
      <w:r w:rsidRPr="007721FB">
        <w:rPr>
          <w:rFonts w:ascii="Times New Roman" w:hAnsi="Times New Roman" w:cs="Times New Roman"/>
          <w:noProof/>
          <w:sz w:val="20"/>
          <w:szCs w:val="24"/>
        </w:rPr>
        <w:tab/>
        <w:t>Y.-H. Kim, Y. Tabata, Dual-controlled release system of drugs for bone regeneration, Adv. Drug Deliv. Rev. 94 (2015) 28–40.</w:t>
      </w:r>
    </w:p>
    <w:p w14:paraId="1BCB263D"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[13]</w:t>
      </w:r>
      <w:r w:rsidRPr="007721FB">
        <w:rPr>
          <w:rFonts w:ascii="Times New Roman" w:hAnsi="Times New Roman" w:cs="Times New Roman"/>
          <w:noProof/>
          <w:sz w:val="20"/>
          <w:szCs w:val="24"/>
        </w:rPr>
        <w:tab/>
        <w:t>G. Basha, M. Ordobadi, W.R. Scott, A. Cottle, Y. Liu, H. Wang, P.R. Cullis, Lipid Nanoparticle Delivery of siRNA to Osteocytes Leads to Effective Silencing of SOST and Inhibition of Sclerostin In Vivo, Mol. Ther. Acids. 5 (2016) e363. doi:10.1038/mtna.2016.68.</w:t>
      </w:r>
    </w:p>
    <w:p w14:paraId="5B86A2DD"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[14]</w:t>
      </w:r>
      <w:r w:rsidRPr="007721FB">
        <w:rPr>
          <w:rFonts w:ascii="Times New Roman" w:hAnsi="Times New Roman" w:cs="Times New Roman"/>
          <w:noProof/>
          <w:sz w:val="20"/>
          <w:szCs w:val="24"/>
        </w:rPr>
        <w:tab/>
        <w:t>I.S. Alencastre, D.M. Sousa, C.J. Alves, L. Leitão, E. Neto, P. Aguiar, M. Lamghari, Delivery of pharmaceutics to bone: Nanotechnologies, high-throughput processing and in silico mathematical models, Eur. Cells Mater. 31 (2016) 355–381. doi:10.22203/eCM.v031a23.</w:t>
      </w:r>
    </w:p>
    <w:p w14:paraId="5722D4AC"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[15]</w:t>
      </w:r>
      <w:r w:rsidRPr="007721FB">
        <w:rPr>
          <w:rFonts w:ascii="Times New Roman" w:hAnsi="Times New Roman" w:cs="Times New Roman"/>
          <w:noProof/>
          <w:sz w:val="20"/>
          <w:szCs w:val="24"/>
        </w:rPr>
        <w:tab/>
        <w:t>L. Yang, T.J. Webster, Nanotechnology controlled drug delivery for treating bone diseases., Expert Opin. Drug Deliv. 6 (2009) 851–64. doi:10.1517/17425240903044935.</w:t>
      </w:r>
    </w:p>
    <w:p w14:paraId="6E45A2E6"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[16]</w:t>
      </w:r>
      <w:r w:rsidRPr="007721FB">
        <w:rPr>
          <w:rFonts w:ascii="Times New Roman" w:hAnsi="Times New Roman" w:cs="Times New Roman"/>
          <w:noProof/>
          <w:sz w:val="20"/>
          <w:szCs w:val="24"/>
        </w:rPr>
        <w:tab/>
        <w:t>H. Hirabayashi, J. Fujisaki, Bone-Specific Drug Delivery Systems Approaches via Chemical Modification of, Clin. Pharmacokinet. 42 (2003) 1319–1330.</w:t>
      </w:r>
    </w:p>
    <w:p w14:paraId="00873849"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[17]</w:t>
      </w:r>
      <w:r w:rsidRPr="007721FB">
        <w:rPr>
          <w:rFonts w:ascii="Times New Roman" w:hAnsi="Times New Roman" w:cs="Times New Roman"/>
          <w:noProof/>
          <w:sz w:val="20"/>
          <w:szCs w:val="24"/>
        </w:rPr>
        <w:tab/>
        <w:t>K. Aoki, N. Alles, N. Soysa, K. Ohya, Peptide-based delivery to bone, Adv. Drug Deliv. Rev. 64 (2012) 1220–1238. doi:10.1016/j.addr.2012.05.017.</w:t>
      </w:r>
    </w:p>
    <w:p w14:paraId="5E86FD31"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[18]</w:t>
      </w:r>
      <w:r w:rsidRPr="007721FB">
        <w:rPr>
          <w:rFonts w:ascii="Times New Roman" w:hAnsi="Times New Roman" w:cs="Times New Roman"/>
          <w:noProof/>
          <w:sz w:val="20"/>
          <w:szCs w:val="24"/>
        </w:rPr>
        <w:tab/>
        <w:t>L. Dang, J. Liu, F. Li, L. Wang, D. Li, B. Guo, X. He, F. Jiang, C. Liang, B. Liu, S. Badshah, B. He, J. Lu, C. Lu, A. Lu, G. Zhang, Targeted Delivery Systems for Molecular Therapy in Skeletal Disorders, Int. J. Mol. Sci. 17 (2016) 428. doi:10.3390/ijms17030428.</w:t>
      </w:r>
    </w:p>
    <w:p w14:paraId="7BAC353D"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[19]</w:t>
      </w:r>
      <w:r w:rsidRPr="007721FB">
        <w:rPr>
          <w:rFonts w:ascii="Times New Roman" w:hAnsi="Times New Roman" w:cs="Times New Roman"/>
          <w:noProof/>
          <w:sz w:val="20"/>
          <w:szCs w:val="24"/>
        </w:rPr>
        <w:tab/>
        <w:t>A.K. Nowinski, A.D. White, A.J. Keefe, S. Jiang, Biologically inspired stealth peptide-capped gold nanoparticles, Langmuir. 30 (2014) 1864–1870. doi:10.1021/la404980g.</w:t>
      </w:r>
    </w:p>
    <w:p w14:paraId="188354CE"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[20]</w:t>
      </w:r>
      <w:r w:rsidRPr="007721FB">
        <w:rPr>
          <w:rFonts w:ascii="Times New Roman" w:hAnsi="Times New Roman" w:cs="Times New Roman"/>
          <w:noProof/>
          <w:sz w:val="20"/>
          <w:szCs w:val="24"/>
        </w:rPr>
        <w:tab/>
        <w:t>S. Mura, J. Nicolas, P. Couvreur, Stimuli-responsive nanocarriers for drug delivery, Nat. Mater. 12 (2013) 991–1003. doi:10.1038/NMAT3776.</w:t>
      </w:r>
    </w:p>
    <w:p w14:paraId="01592F31"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[21]</w:t>
      </w:r>
      <w:r w:rsidRPr="007721FB">
        <w:rPr>
          <w:rFonts w:ascii="Times New Roman" w:hAnsi="Times New Roman" w:cs="Times New Roman"/>
          <w:noProof/>
          <w:sz w:val="20"/>
          <w:szCs w:val="24"/>
        </w:rPr>
        <w:tab/>
        <w:t>H. Yi, F. Ur Rehman, C. Zhao, B. Liu, N. He, Recent advances in nano scaffolds for bone repair, Bone Res. 4 (2016) 16050. doi:10.1038/boneres.2016.50.</w:t>
      </w:r>
    </w:p>
    <w:p w14:paraId="557421CC"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[22]</w:t>
      </w:r>
      <w:r w:rsidRPr="007721FB">
        <w:rPr>
          <w:rFonts w:ascii="Times New Roman" w:hAnsi="Times New Roman" w:cs="Times New Roman"/>
          <w:noProof/>
          <w:sz w:val="20"/>
          <w:szCs w:val="24"/>
        </w:rPr>
        <w:tab/>
        <w:t>C.W. Cheng, L.D. Solorio, E. Alsberg, Decellularized tissue and cell-derived extracellular matrices as scaffolds for orthopaedic tissue engineering, Biotechnol. Adv. 32 (2014) 462–484. doi:https://doi.org/10.1016/j.biotechadv.2013.12.012.</w:t>
      </w:r>
    </w:p>
    <w:p w14:paraId="63417563"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[23]</w:t>
      </w:r>
      <w:r w:rsidRPr="007721FB">
        <w:rPr>
          <w:rFonts w:ascii="Times New Roman" w:hAnsi="Times New Roman" w:cs="Times New Roman"/>
          <w:noProof/>
          <w:sz w:val="20"/>
          <w:szCs w:val="24"/>
        </w:rPr>
        <w:tab/>
        <w:t>B. Clarke, Normal Bone Anatomy and Physiology, Clin. J. Am. Soc. Nephrol. 3 (2008) S131–S139. doi:10.2215/CJN.04151206.</w:t>
      </w:r>
    </w:p>
    <w:p w14:paraId="614139F2"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[24]</w:t>
      </w:r>
      <w:r w:rsidRPr="007721FB">
        <w:rPr>
          <w:rFonts w:ascii="Times New Roman" w:hAnsi="Times New Roman" w:cs="Times New Roman"/>
          <w:noProof/>
          <w:sz w:val="20"/>
          <w:szCs w:val="24"/>
        </w:rPr>
        <w:tab/>
        <w:t>S.C. Cowin, L. Cardoso, Blood and interstitial flow in the hierarchical pore space architecture of bone tissue, J. Biomech. 48 (2015) 842–854. doi:10.1016/j.jbiomech.2014.12.013.</w:t>
      </w:r>
    </w:p>
    <w:p w14:paraId="1E58D0BB"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[25]</w:t>
      </w:r>
      <w:r w:rsidRPr="007721FB">
        <w:rPr>
          <w:rFonts w:ascii="Times New Roman" w:hAnsi="Times New Roman" w:cs="Times New Roman"/>
          <w:noProof/>
          <w:sz w:val="20"/>
          <w:szCs w:val="24"/>
        </w:rPr>
        <w:tab/>
        <w:t>I. McCarthy, The physiology of bone blood flow: a review., J. Bone Joint Surg. Am. 88–A (2006) 4–9. doi:10.2106/JBJS.F.00890.</w:t>
      </w:r>
    </w:p>
    <w:p w14:paraId="504C6B47"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[26]</w:t>
      </w:r>
      <w:r w:rsidRPr="007721FB">
        <w:rPr>
          <w:rFonts w:ascii="Times New Roman" w:hAnsi="Times New Roman" w:cs="Times New Roman"/>
          <w:noProof/>
          <w:sz w:val="20"/>
          <w:szCs w:val="24"/>
        </w:rPr>
        <w:tab/>
        <w:t>S.C. Cowin, G. Gailani, M. Benalla, Hierarchical poroelasticity: movement of interstitial fluid between porosity levels in bones., Philos. Trans. A. Math. Phys. Eng. Sci. 367 (2009) 3401–44. doi:10.1098/rsta.2009.0099.</w:t>
      </w:r>
    </w:p>
    <w:p w14:paraId="1EBC585D"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[27]</w:t>
      </w:r>
      <w:r w:rsidRPr="007721FB">
        <w:rPr>
          <w:rFonts w:ascii="Times New Roman" w:hAnsi="Times New Roman" w:cs="Times New Roman"/>
          <w:noProof/>
          <w:sz w:val="20"/>
          <w:szCs w:val="24"/>
        </w:rPr>
        <w:tab/>
        <w:t>E. Blanco, H. Shen, M. Ferrari, Principles of nanoparticle design for overcoming biological barriers to drug delivery., Nat. Biotechnol. 33 (2015) 941–951. doi:10.1038/nbt.3330.</w:t>
      </w:r>
    </w:p>
    <w:p w14:paraId="3A96ABE5"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[28]</w:t>
      </w:r>
      <w:r w:rsidRPr="007721FB">
        <w:rPr>
          <w:rFonts w:ascii="Times New Roman" w:hAnsi="Times New Roman" w:cs="Times New Roman"/>
          <w:noProof/>
          <w:sz w:val="20"/>
          <w:szCs w:val="24"/>
        </w:rPr>
        <w:tab/>
        <w:t>S.M. Kim, P.H. Faix, J.E. Schnitzer, Overcoming key biological barriers to cancer drug delivery and efficacy, J. Control. Release. (2017). doi:https://doi.org/10.1016/j.jconrel.2017.09.016.</w:t>
      </w:r>
    </w:p>
    <w:p w14:paraId="414D4E4D"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[29]</w:t>
      </w:r>
      <w:r w:rsidRPr="007721FB">
        <w:rPr>
          <w:rFonts w:ascii="Times New Roman" w:hAnsi="Times New Roman" w:cs="Times New Roman"/>
          <w:noProof/>
          <w:sz w:val="20"/>
          <w:szCs w:val="24"/>
        </w:rPr>
        <w:tab/>
        <w:t>M. Moros, S.G. Mitchell, V. Grazu, The fate of nanocarriers as nanomedicines in vivo: important considerations and biological barriers to overcome, Curr. Med. Chem. 20 (2013) 2759–2778.</w:t>
      </w:r>
    </w:p>
    <w:p w14:paraId="4DC1BF35"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[30]</w:t>
      </w:r>
      <w:r w:rsidRPr="007721FB">
        <w:rPr>
          <w:rFonts w:ascii="Times New Roman" w:hAnsi="Times New Roman" w:cs="Times New Roman"/>
          <w:noProof/>
          <w:sz w:val="20"/>
          <w:szCs w:val="24"/>
        </w:rPr>
        <w:tab/>
        <w:t>H. Cheng, A. Chawla, Y. Yang, Y. Li, J. Zhang, H.L. Jang, A. Khademhosseini, Development of nanomaterials for bone-targeted drug delivery, Drug Discov. Today. (2017).</w:t>
      </w:r>
    </w:p>
    <w:p w14:paraId="1CD128ED"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[31]</w:t>
      </w:r>
      <w:r w:rsidRPr="007721FB">
        <w:rPr>
          <w:rFonts w:ascii="Times New Roman" w:hAnsi="Times New Roman" w:cs="Times New Roman"/>
          <w:noProof/>
          <w:sz w:val="20"/>
          <w:szCs w:val="24"/>
        </w:rPr>
        <w:tab/>
        <w:t>T. Cobo, C.G. Viloria, L. Solares, T. Fontanil, E. González-Chamorro, F. De Carlos, J. Cobo, S. Cal, A.J. Obaya, Role of periostin in adhesion and migration of bone remodeling cells, PLoS One. 11 (2016) 1–19. doi:10.1371/journal.pone.0147837.</w:t>
      </w:r>
    </w:p>
    <w:p w14:paraId="1F1BC951"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[32]</w:t>
      </w:r>
      <w:r w:rsidRPr="007721FB">
        <w:rPr>
          <w:rFonts w:ascii="Times New Roman" w:hAnsi="Times New Roman" w:cs="Times New Roman"/>
          <w:noProof/>
          <w:sz w:val="20"/>
          <w:szCs w:val="24"/>
        </w:rPr>
        <w:tab/>
        <w:t>H. Sarin, Physiologic upper limits of pore size of different blood capillary types and another perspective on the dual pore theory of microvascular permeability, J. Angiogenes. Res. 2 (2010) 1–19. doi:10.1186/2040-2384-2-14.</w:t>
      </w:r>
    </w:p>
    <w:p w14:paraId="0806EB44"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[33]</w:t>
      </w:r>
      <w:r w:rsidRPr="007721FB">
        <w:rPr>
          <w:rFonts w:ascii="Times New Roman" w:hAnsi="Times New Roman" w:cs="Times New Roman"/>
          <w:noProof/>
          <w:sz w:val="20"/>
          <w:szCs w:val="24"/>
        </w:rPr>
        <w:tab/>
        <w:t>V.P. Torchilin, Multifunctional, stimuli-sensitive nanoparticulate systems for drug delivery., Nat. Rev. Drug Discov. 13 (2014) 813–827. doi:10.1038/nrd4333.</w:t>
      </w:r>
    </w:p>
    <w:p w14:paraId="0C7C4415"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[34]</w:t>
      </w:r>
      <w:r w:rsidRPr="007721FB">
        <w:rPr>
          <w:rFonts w:ascii="Times New Roman" w:hAnsi="Times New Roman" w:cs="Times New Roman"/>
          <w:noProof/>
          <w:sz w:val="20"/>
          <w:szCs w:val="24"/>
        </w:rPr>
        <w:tab/>
        <w:t>M.I. Setyawati, C.Y. Tay, D. Docter, R.H. Stauber, D.T. Leong, Understanding and exploiting nanoparticles’ intimacy with the blood vessel and blood., Chem. Soc. Rev. 44 (2015) 8174–99. doi:10.1039/c5cs00499c.</w:t>
      </w:r>
    </w:p>
    <w:p w14:paraId="164C8BD5"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lastRenderedPageBreak/>
        <w:t>[35]</w:t>
      </w:r>
      <w:r w:rsidRPr="007721FB">
        <w:rPr>
          <w:rFonts w:ascii="Times New Roman" w:hAnsi="Times New Roman" w:cs="Times New Roman"/>
          <w:noProof/>
          <w:sz w:val="20"/>
          <w:szCs w:val="24"/>
        </w:rPr>
        <w:tab/>
        <w:t>E.A. Williams, R.H. Fitzgerald Jr., P.J. Kelly, 8 - Microcirculation of Bone A2 - Mortillaro, Nicholas A. BT - The Physiology and Pharmacology of the Microcirculation, in: Physiol. Pharmacol. Microcirc., Academic Press, 1984: pp. 267–323. doi:https://doi.org/10.1016/B978-0-12-508302-7.50016-3.</w:t>
      </w:r>
    </w:p>
    <w:p w14:paraId="119D38AF"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[36]</w:t>
      </w:r>
      <w:r w:rsidRPr="007721FB">
        <w:rPr>
          <w:rFonts w:ascii="Times New Roman" w:hAnsi="Times New Roman" w:cs="Times New Roman"/>
          <w:noProof/>
          <w:sz w:val="20"/>
          <w:szCs w:val="24"/>
        </w:rPr>
        <w:tab/>
        <w:t>K. Sou, B. Goins, M.M. Leland, E. Tsuchida, W.T. Phillips, Bone marrow-targeted liposomal carriers: a feasibility study in nonhuman primates., Nanomedicine (Lond). 5 (2010) 41–9. doi:10.2217/nnm.09.78.</w:t>
      </w:r>
    </w:p>
    <w:p w14:paraId="57943DEE"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[37]</w:t>
      </w:r>
      <w:r w:rsidRPr="007721FB">
        <w:rPr>
          <w:rFonts w:ascii="Times New Roman" w:hAnsi="Times New Roman" w:cs="Times New Roman"/>
          <w:noProof/>
          <w:sz w:val="20"/>
          <w:szCs w:val="24"/>
        </w:rPr>
        <w:tab/>
        <w:t>M.-H. Lafage-Proust, B. Roche, M. Langer, D. Cleret, A. Vanden Bossche, T. Olivier, L. Vico, Assessment of bone vascularization and its role in bone remodeling., Bonekey Rep. 4 (2015) 662. doi:10.1038/bonekey.2015.29.</w:t>
      </w:r>
    </w:p>
    <w:p w14:paraId="6D18C1AE"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[38]</w:t>
      </w:r>
      <w:r w:rsidRPr="007721FB">
        <w:rPr>
          <w:rFonts w:ascii="Times New Roman" w:hAnsi="Times New Roman" w:cs="Times New Roman"/>
          <w:noProof/>
          <w:sz w:val="20"/>
          <w:szCs w:val="24"/>
        </w:rPr>
        <w:tab/>
        <w:t>S.M. Moghimi, Exploiting bone marrow microvascular structure for drug delivery and future therapies, Adv. Drug Deliv. Rev. 17 (1995) 61–73.</w:t>
      </w:r>
    </w:p>
    <w:p w14:paraId="69CB1177"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[39]</w:t>
      </w:r>
      <w:r w:rsidRPr="007721FB">
        <w:rPr>
          <w:rFonts w:ascii="Times New Roman" w:hAnsi="Times New Roman" w:cs="Times New Roman"/>
          <w:noProof/>
          <w:sz w:val="20"/>
          <w:szCs w:val="24"/>
        </w:rPr>
        <w:tab/>
        <w:t>H. Hillaireau, P. Couvreur, Nanocarriers’ entry into the cell: relevance to drug delivery, Cell. Mol. Life Sci. 66 (2009) 2873–2896. doi:10.1007/s00018-009-0053-z.</w:t>
      </w:r>
    </w:p>
    <w:p w14:paraId="2E69F9BE"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[40]</w:t>
      </w:r>
      <w:r w:rsidRPr="007721FB">
        <w:rPr>
          <w:rFonts w:ascii="Times New Roman" w:hAnsi="Times New Roman" w:cs="Times New Roman"/>
          <w:noProof/>
          <w:sz w:val="20"/>
          <w:szCs w:val="24"/>
        </w:rPr>
        <w:tab/>
        <w:t>R.S. Weinstein, Glucocorticoid-Induced Osteoporosis and Osteonecrosis, Endocrinol. Metab. Clin. North Am. 41 (2012) 595–611. doi:10.1016/j.ecl.2012.04.004.</w:t>
      </w:r>
    </w:p>
    <w:p w14:paraId="329EBD00"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[41]</w:t>
      </w:r>
      <w:r w:rsidRPr="007721FB">
        <w:rPr>
          <w:rFonts w:ascii="Times New Roman" w:hAnsi="Times New Roman" w:cs="Times New Roman"/>
          <w:noProof/>
          <w:sz w:val="20"/>
          <w:szCs w:val="24"/>
        </w:rPr>
        <w:tab/>
        <w:t>S.K. Ramasamy, A.P. Kusumbe, M. Schiller, D. Zeuschner, M.G. Bixel, C. Milia, J. Gamrekelashvili, A. Limbourg, A. Medvinsky, M.M. Santoro, F.P. Limbourg, R.H. Adams, G. Karsenty, E.F. Wagner, H.M. Kronenberg, Y. Wang, I. Eshkar-Oren, H.P. Gerber, C. Maes, C. Maes, A.P. Kusumbe, S.K. Ramasamy, R.H. Adams, S.K. Ramasamy, A.P. Kusumbe, L. Wang, R.H. Adams, H. Xie, R.H. Adams, K. Alitalo, M. Potente, H. Gerhardt, P. Carmeliet, M. Hellstrom, I.B. Lobov, J. Ridgway, S. Suchting, S. Nicoli, K. Yashiro, H. Shiratori, H. Hamada, M.A. Gimbrone, J.N. Topper, T. Nagel, K.R. Anderson, G. Garcia-Cardena, K.J. Whitehead, M.C. Smith, D.Y. Li, I. McCarthy, M.T. Vogt, J.A. Cauley, L.H. Kuller, M.C. Nevitt, D.A. Hanley, T. Atsumi, Y. Kuroki, J. Trueta, C. Wan, R.E. Tomlinson, M.J. Silva, A. Limbourg, F.C. Seifert, M. Banker, B. Lane, U. Bagge, C.E. Anagnostopoulos, D.T. Nash, K. Tanaka, P. Carmeliet, F. De Smet, S. Loges, M. Mazzone, L.K. Phng, H. Gerhardt, D.E. Conway, E. Tzima, G.S. Duncan, R. Benedito, H. Han, K. Tanigaki, T. Honjo, A.P. Kusumbe, R.D. Prisby, L.C. Murtaugh, B.Z. Stanger, K.M. Kwan, D.A. Melton, J.D. Hoeck, M.T. Drake, B.L. Clarke, S. Khosla, L.I. Plotkin, M. Acar, P.E. Boulais, P.S. Frenette, Y. Kunisaki, S.J. Morrison, D.T. Scadden, C. Maes, S. Stegen, N. van Gastel, G. Carmeliet, A.D. Berendsen, B.R. Olsen, J. Klein-Nulend, A.D. Bakker, R.G. Bacabac, A. Vatsa, S. Weinbaum, E. Kozhemyakina, A.B. Lassar, E. Zelzer, N. Ohashi, A.G. Robling, D.B. Burr, C.H. Turner, I. Noguera-Troise, A.F. Siekmann, N.D. Lawson, M. Corada, M.F. Morini, E. Dejana, J.E. Fish, J.D. Wythe, S. Obi, D. Morrow, J.P. Cullen, P.A. Cahill, E.M. Redmond, E.D. Jahnsen, O. Watson, I.B. Lobov, A.C. Chang, P.A. Murphy, I. MacIntyre, S. Imai, Y. Matsusue, M.J. Hilton, F. Engin, P. Liu, G. Marotti, H.J. Snippert, Y. Wang, M.A. Serrat, Blood flow controls bone vascular function and osteogenesis, Nat. Commun. 7 (2016) 13601. doi:10.1038/ncomms13601.</w:t>
      </w:r>
    </w:p>
    <w:p w14:paraId="0EC56DB6"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[42]</w:t>
      </w:r>
      <w:r w:rsidRPr="007721FB">
        <w:rPr>
          <w:rFonts w:ascii="Times New Roman" w:hAnsi="Times New Roman" w:cs="Times New Roman"/>
          <w:noProof/>
          <w:sz w:val="20"/>
          <w:szCs w:val="24"/>
        </w:rPr>
        <w:tab/>
        <w:t>J.F. Griffith, D.K. Yeung, P.H. Tsang, K.C. Choi, T.C. Kwok, A.T. Ahuja, K.S. Leung, P.C. Leung, Compromised Bone Marrow Perfusion in Osteoporosis, J. Bone Miner. Res. 23 (2008) 1068–1075. doi:10.1359/jbmr.080233.</w:t>
      </w:r>
    </w:p>
    <w:p w14:paraId="470EA83F"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[43]</w:t>
      </w:r>
      <w:r w:rsidRPr="007721FB">
        <w:rPr>
          <w:rFonts w:ascii="Times New Roman" w:hAnsi="Times New Roman" w:cs="Times New Roman"/>
          <w:noProof/>
          <w:sz w:val="20"/>
          <w:szCs w:val="24"/>
        </w:rPr>
        <w:tab/>
        <w:t>M.D. Ewalt, D. Gratzinger, Selective quantitation of microvessel density reveals sinusoidal expansion in myelodysplastic syndromes, Leuk. Lymphoma. 57 (2016) 2923–2926. doi:10.3109/10428194.2016.1170829.</w:t>
      </w:r>
    </w:p>
    <w:p w14:paraId="18595D85"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[44]</w:t>
      </w:r>
      <w:r w:rsidRPr="007721FB">
        <w:rPr>
          <w:rFonts w:ascii="Times New Roman" w:hAnsi="Times New Roman" w:cs="Times New Roman"/>
          <w:noProof/>
          <w:sz w:val="20"/>
          <w:szCs w:val="24"/>
        </w:rPr>
        <w:tab/>
        <w:t>H. Maeda, Toward a full understanding of the EPR effect in primary and metastatic tumors as well as issues related to its heterogeneity, Adv. Drug Deliv. Rev. 91 (2015) 3–6.</w:t>
      </w:r>
    </w:p>
    <w:p w14:paraId="3765689F"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[45]</w:t>
      </w:r>
      <w:r w:rsidRPr="007721FB">
        <w:rPr>
          <w:rFonts w:ascii="Times New Roman" w:hAnsi="Times New Roman" w:cs="Times New Roman"/>
          <w:noProof/>
          <w:sz w:val="20"/>
          <w:szCs w:val="24"/>
        </w:rPr>
        <w:tab/>
        <w:t>F. Danhier, To exploit the tumor microenvironment: Since the EPR effect fails in the clinic, what is the future of nanomedicine?, J. Control. Release. 244 (2016) 108–121. doi:https://doi.org/10.1016/j.jconrel.2016.11.015.</w:t>
      </w:r>
    </w:p>
    <w:p w14:paraId="486B632B"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[46]</w:t>
      </w:r>
      <w:r w:rsidRPr="007721FB">
        <w:rPr>
          <w:rFonts w:ascii="Times New Roman" w:hAnsi="Times New Roman" w:cs="Times New Roman"/>
          <w:noProof/>
          <w:sz w:val="20"/>
          <w:szCs w:val="24"/>
        </w:rPr>
        <w:tab/>
        <w:t>H. Maeda, K. Tsukigawa, J. Fang, A Retrospective 30 Years After Discovery of the Enhanced Permeability and Retention Effect of Solid Tumors: Next-Generation Chemotherapeutics and Photodynamic Therapy—Problems, Solutions, and Prospects, Microcirculation. 23 (2016) 173–182. doi:10.1111/micc.12228.</w:t>
      </w:r>
    </w:p>
    <w:p w14:paraId="5AC8466E"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[47]</w:t>
      </w:r>
      <w:r w:rsidRPr="007721FB">
        <w:rPr>
          <w:rFonts w:ascii="Times New Roman" w:hAnsi="Times New Roman" w:cs="Times New Roman"/>
          <w:noProof/>
          <w:sz w:val="20"/>
          <w:szCs w:val="24"/>
        </w:rPr>
        <w:tab/>
        <w:t>R. Kinoshita, Y. Ishima, V.T.G. Chuang, H. Nakamura, J. Fang, H. Watanabe, T. Shimizu, K. Okuhira, T. Ishida, H. Maeda, Improved anticancer effects of albumin-bound paclitaxel nanoparticle via augmentation of EPR effect and albumin-protein interactions using S-nitrosated human serum albumin dimer, Biomaterials. 140 (2017) 162–169.</w:t>
      </w:r>
    </w:p>
    <w:p w14:paraId="5042D3AF"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[48]</w:t>
      </w:r>
      <w:r w:rsidRPr="007721FB">
        <w:rPr>
          <w:rFonts w:ascii="Times New Roman" w:hAnsi="Times New Roman" w:cs="Times New Roman"/>
          <w:noProof/>
          <w:sz w:val="20"/>
          <w:szCs w:val="24"/>
        </w:rPr>
        <w:tab/>
        <w:t>M. Marenzana, T.R. Arnett, The Key Role of the Blood Supply to Bone, Bone Res. 1 (2013) 203–215. doi:10.4248/BR201303001.</w:t>
      </w:r>
    </w:p>
    <w:p w14:paraId="2EBFC5BB"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[49]</w:t>
      </w:r>
      <w:r w:rsidRPr="007721FB">
        <w:rPr>
          <w:rFonts w:ascii="Times New Roman" w:hAnsi="Times New Roman" w:cs="Times New Roman"/>
          <w:noProof/>
          <w:sz w:val="20"/>
          <w:szCs w:val="24"/>
        </w:rPr>
        <w:tab/>
        <w:t xml:space="preserve">F.A. Dinenno, H. Tanaka, B.L. Stauffer, D.R. Seals, Reductions in basal limb blood flow and </w:t>
      </w:r>
      <w:r w:rsidRPr="007721FB">
        <w:rPr>
          <w:rFonts w:ascii="Times New Roman" w:hAnsi="Times New Roman" w:cs="Times New Roman"/>
          <w:noProof/>
          <w:sz w:val="20"/>
          <w:szCs w:val="24"/>
        </w:rPr>
        <w:lastRenderedPageBreak/>
        <w:t>vascular conductance with human ageing: role for augmented α-adrenergic vasoconstriction, J. Physiol. 536 (2001) 977–983. doi:10.1111/j.1469-7793.2001.00977.x.</w:t>
      </w:r>
    </w:p>
    <w:p w14:paraId="0E1152A8"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[50]</w:t>
      </w:r>
      <w:r w:rsidRPr="007721FB">
        <w:rPr>
          <w:rFonts w:ascii="Times New Roman" w:hAnsi="Times New Roman" w:cs="Times New Roman"/>
          <w:noProof/>
          <w:sz w:val="20"/>
          <w:szCs w:val="24"/>
        </w:rPr>
        <w:tab/>
        <w:t>C.R. Howlett, M. Dickson, A.K. Sheridan, The fine structure of the proximal growth plate of the avian tibia: vascular supply., J. Anat. 139 ( Pt 1 (1984) 115–32.</w:t>
      </w:r>
    </w:p>
    <w:p w14:paraId="499CA197"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[51]</w:t>
      </w:r>
      <w:r w:rsidRPr="007721FB">
        <w:rPr>
          <w:rFonts w:ascii="Times New Roman" w:hAnsi="Times New Roman" w:cs="Times New Roman"/>
          <w:noProof/>
          <w:sz w:val="20"/>
          <w:szCs w:val="24"/>
        </w:rPr>
        <w:tab/>
        <w:t>M. Tavassoli, The marrow-blood barrier., Br. J. Haematol. 41 (1979) 297–302.</w:t>
      </w:r>
    </w:p>
    <w:p w14:paraId="18EFFE4A"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[52]</w:t>
      </w:r>
      <w:r w:rsidRPr="007721FB">
        <w:rPr>
          <w:rFonts w:ascii="Times New Roman" w:hAnsi="Times New Roman" w:cs="Times New Roman"/>
          <w:noProof/>
          <w:sz w:val="20"/>
          <w:szCs w:val="24"/>
        </w:rPr>
        <w:tab/>
        <w:t>K. Sou, B. Goins, B.O. Oyajobi, B.L. Travi, W.T. Phillips, Bone marrow-targeted liposomal carriers., Expert Opin. Drug Deliv. 8 (2011) 317–28. doi:10.1517/17425247.2011.553218.</w:t>
      </w:r>
    </w:p>
    <w:p w14:paraId="49FB2DF4"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[53]</w:t>
      </w:r>
      <w:r w:rsidRPr="007721FB">
        <w:rPr>
          <w:rFonts w:ascii="Times New Roman" w:hAnsi="Times New Roman" w:cs="Times New Roman"/>
          <w:noProof/>
          <w:sz w:val="20"/>
          <w:szCs w:val="24"/>
        </w:rPr>
        <w:tab/>
        <w:t>C.J. Porter, S.M. Moghimi, L. Illum, S.S. Davis, The polyoxyethylene / polyoxypropylene selectively redirects intravenously injected microspheres to sinusoidal endothelial cells of rabbit bone marrow, FEBS Lett. 305 (1992) 62–66.</w:t>
      </w:r>
    </w:p>
    <w:p w14:paraId="441ED803"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[54]</w:t>
      </w:r>
      <w:r w:rsidRPr="007721FB">
        <w:rPr>
          <w:rFonts w:ascii="Times New Roman" w:hAnsi="Times New Roman" w:cs="Times New Roman"/>
          <w:noProof/>
          <w:sz w:val="20"/>
          <w:szCs w:val="24"/>
        </w:rPr>
        <w:tab/>
        <w:t>A.P. Mann, T. Tanaka, A. Somasunderam, X. Liu, D.G. Gorenstein, M. Ferrari, E-selectin-targeted porous silicon particle for nanoparticle delivery to the bone marrow, Adv. Mater. 23 (2011) 278–282. doi:10.1002/adma.201101541.</w:t>
      </w:r>
    </w:p>
    <w:p w14:paraId="6E51B3EB"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[55]</w:t>
      </w:r>
      <w:r w:rsidRPr="007721FB">
        <w:rPr>
          <w:rFonts w:ascii="Times New Roman" w:hAnsi="Times New Roman" w:cs="Times New Roman"/>
          <w:noProof/>
          <w:sz w:val="20"/>
          <w:szCs w:val="24"/>
        </w:rPr>
        <w:tab/>
        <w:t>A. Albanese, P.S. Tang, W.C.W. Chan, The Effect of Nanoparticle Size, Shape, and Surface Chemistry on Biological Systems, Annu. Rev. Biomed. Eng. 14 (2012) 1–16. doi:10.1146/annurev-bioeng-071811-150124.</w:t>
      </w:r>
    </w:p>
    <w:p w14:paraId="4F702D7D"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[56]</w:t>
      </w:r>
      <w:r w:rsidRPr="007721FB">
        <w:rPr>
          <w:rFonts w:ascii="Times New Roman" w:hAnsi="Times New Roman" w:cs="Times New Roman"/>
          <w:noProof/>
          <w:sz w:val="20"/>
          <w:szCs w:val="24"/>
        </w:rPr>
        <w:tab/>
        <w:t>C. He, Y. Hu, L. Yin, C. Tang, C. Yin, Effects of particle size and surface charge on cellular uptake and biodistribution of polymeric nanoparticles, Biomaterials. 31 (2010) 3657–3666. doi:10.1016/j.biomaterials.2010.01.065.</w:t>
      </w:r>
    </w:p>
    <w:p w14:paraId="1D8DFCA3"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[57]</w:t>
      </w:r>
      <w:r w:rsidRPr="007721FB">
        <w:rPr>
          <w:rFonts w:ascii="Times New Roman" w:hAnsi="Times New Roman" w:cs="Times New Roman"/>
          <w:noProof/>
          <w:sz w:val="20"/>
          <w:szCs w:val="24"/>
        </w:rPr>
        <w:tab/>
        <w:t>A. Salvati, A.S. Pitek, M.P. Monopoli, K. Prapainop, F.B. Bombelli, D.R. Hristov, P.M. Kelly, C. Aberg, E. Mahon, K.A. Dawson, Transferrin-functionalized nanoparticles lose their targeting capabilities when a biomolecule corona adsorbs on the surface, Nat Nano. 8 (2013) 137–143. http://dx.doi.org/10.1038/nnano.2012.237.</w:t>
      </w:r>
    </w:p>
    <w:p w14:paraId="6B21C617"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[58]</w:t>
      </w:r>
      <w:r w:rsidRPr="007721FB">
        <w:rPr>
          <w:rFonts w:ascii="Times New Roman" w:hAnsi="Times New Roman" w:cs="Times New Roman"/>
          <w:noProof/>
          <w:sz w:val="20"/>
          <w:szCs w:val="24"/>
        </w:rPr>
        <w:tab/>
        <w:t>S. Milani, F. Baldelli Bombelli, A.S. Pitek, K.A. Dawson, J. Rädler, Reversible versus Irreversible Binding of Transferrin to Polystyrene Nanoparticles: Soft and Hard Corona, ACS Nano. 6 (2012) 2532–2541. doi:10.1021/nn204951s.</w:t>
      </w:r>
    </w:p>
    <w:p w14:paraId="09B94823"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[59]</w:t>
      </w:r>
      <w:r w:rsidRPr="007721FB">
        <w:rPr>
          <w:rFonts w:ascii="Times New Roman" w:hAnsi="Times New Roman" w:cs="Times New Roman"/>
          <w:noProof/>
          <w:sz w:val="20"/>
          <w:szCs w:val="24"/>
        </w:rPr>
        <w:tab/>
        <w:t>S. Sun, K.M. BŁazewska, A.P. Kadina, B.A. Kashemirov, X. Duan, J.T. Triffitt, J.E. Dunford, R.G.G. Russell, F.H. Ebetino, A.J. Roelofs, F.P. Coxon, M.W. Lundy, C.E. McKenna, Fluorescent Bisphosphonate and Carboxyphosphonate Probes: A Versatile Imaging Toolkit for Applications in Bone Biology and Biomedicine, Bioconjug. Chem. 27 (2016) 329–340. doi:10.1021/acs.bioconjchem.5b00369.</w:t>
      </w:r>
    </w:p>
    <w:p w14:paraId="241109DC"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[60]</w:t>
      </w:r>
      <w:r w:rsidRPr="007721FB">
        <w:rPr>
          <w:rFonts w:ascii="Times New Roman" w:hAnsi="Times New Roman" w:cs="Times New Roman"/>
          <w:noProof/>
          <w:sz w:val="20"/>
          <w:szCs w:val="24"/>
        </w:rPr>
        <w:tab/>
        <w:t>E.M. Peck, P.M. Battles, D.R. Rice, F.M. Roland, K.A. Norquest, B.D. Smith, Pre-Assembly of Near-Infrared Fluorescent Multivalent Molecular Probes for Biological Imaging, Bioconjug. Chem. 27 (2016) 1400–1410. doi:10.1021/acs.bioconjchem.6b00173.</w:t>
      </w:r>
    </w:p>
    <w:p w14:paraId="3CB3F7AB"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[61]</w:t>
      </w:r>
      <w:r w:rsidRPr="007721FB">
        <w:rPr>
          <w:rFonts w:ascii="Times New Roman" w:hAnsi="Times New Roman" w:cs="Times New Roman"/>
          <w:noProof/>
          <w:sz w:val="20"/>
          <w:szCs w:val="24"/>
        </w:rPr>
        <w:tab/>
        <w:t>A.R. Hayman, Tartrate-resistant acid phosphatase (TRAP) and the osteoclast/immune cell dichotomy., Autoimmunity. 41 (2008) 218–23. doi:10.1080/08916930701694667.</w:t>
      </w:r>
    </w:p>
    <w:p w14:paraId="5F311E2E"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[62]</w:t>
      </w:r>
      <w:r w:rsidRPr="007721FB">
        <w:rPr>
          <w:rFonts w:ascii="Times New Roman" w:hAnsi="Times New Roman" w:cs="Times New Roman"/>
          <w:noProof/>
          <w:sz w:val="20"/>
          <w:szCs w:val="24"/>
        </w:rPr>
        <w:tab/>
        <w:t>K.B.S. Paiva, J.M. Granjeiro, Bone tissue remodeling and development: Focus on matrix metalloproteinase functions, Arch. Biochem. Biophys. 561 (2014) 74–87. doi:10.1016/j.abb.2014.07.034.</w:t>
      </w:r>
    </w:p>
    <w:p w14:paraId="7A5FBA5A"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[63]</w:t>
      </w:r>
      <w:r w:rsidRPr="007721FB">
        <w:rPr>
          <w:rFonts w:ascii="Times New Roman" w:hAnsi="Times New Roman" w:cs="Times New Roman"/>
          <w:noProof/>
          <w:sz w:val="20"/>
          <w:szCs w:val="24"/>
        </w:rPr>
        <w:tab/>
        <w:t>V. Uskokovic, Nanostructured platforms for the sustained and local delivery of antibiotics in the treatment of osteomyelitis., Crit. Rev. Ther. Drug Carrier Syst. 32 (2015) 1–59. doi:10.1615/CritRevTherDrugCarrierSyst.2014010920.</w:t>
      </w:r>
    </w:p>
    <w:p w14:paraId="457D0143"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[64]</w:t>
      </w:r>
      <w:r w:rsidRPr="007721FB">
        <w:rPr>
          <w:rFonts w:ascii="Times New Roman" w:hAnsi="Times New Roman" w:cs="Times New Roman"/>
          <w:noProof/>
          <w:sz w:val="20"/>
          <w:szCs w:val="24"/>
        </w:rPr>
        <w:tab/>
        <w:t>P.F. Tsai, K. Richards, I. Tatom, The association between knee temperature and pain in elders with osteoarthritis of the knee: A pilot study, J. Adv. Nurs. 42 (2003) 373–381. doi:10.1046/j.1365-2648.2003.02629.x.</w:t>
      </w:r>
    </w:p>
    <w:p w14:paraId="67A636D6"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[65]</w:t>
      </w:r>
      <w:r w:rsidRPr="007721FB">
        <w:rPr>
          <w:rFonts w:ascii="Times New Roman" w:hAnsi="Times New Roman" w:cs="Times New Roman"/>
          <w:noProof/>
          <w:sz w:val="20"/>
          <w:szCs w:val="24"/>
        </w:rPr>
        <w:tab/>
        <w:t>M. Upreti, A. Jyoti, P. Sethi, Tumor microenvironment and nanotherapeutics, Transl. Cancer Res. 2 (2013) 309–319. doi:10.3978/j.issn.2218-676X.2013.08.11.Tumor.</w:t>
      </w:r>
    </w:p>
    <w:p w14:paraId="6E92A53A"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[66]</w:t>
      </w:r>
      <w:r w:rsidRPr="007721FB">
        <w:rPr>
          <w:rFonts w:ascii="Times New Roman" w:hAnsi="Times New Roman" w:cs="Times New Roman"/>
          <w:noProof/>
          <w:sz w:val="20"/>
          <w:szCs w:val="24"/>
        </w:rPr>
        <w:tab/>
        <w:t>T. Yoneda, M. Hiasa, Y. Nagata, T. Okui, F.A. White, Acidic microenvironment and bone pain in cancer-colonized bone., Bonekey Rep. 4 (2015) 690. doi:10.1038/bonekey.2015.58.</w:t>
      </w:r>
    </w:p>
    <w:p w14:paraId="0AD99B15"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[67]</w:t>
      </w:r>
      <w:r w:rsidRPr="007721FB">
        <w:rPr>
          <w:rFonts w:ascii="Times New Roman" w:hAnsi="Times New Roman" w:cs="Times New Roman"/>
          <w:noProof/>
          <w:sz w:val="20"/>
          <w:szCs w:val="24"/>
        </w:rPr>
        <w:tab/>
        <w:t>Q. Hu, P.S. Katti, Z. Gu, Enzyme-responsive nanomaterials for controlled drug delivery, Nanoscale. 6 (2014) 12273–12286. doi:10.1039/C4NR04249B.</w:t>
      </w:r>
    </w:p>
    <w:p w14:paraId="591F3597"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[68]</w:t>
      </w:r>
      <w:r w:rsidRPr="007721FB">
        <w:rPr>
          <w:rFonts w:ascii="Times New Roman" w:hAnsi="Times New Roman" w:cs="Times New Roman"/>
          <w:noProof/>
          <w:sz w:val="20"/>
          <w:szCs w:val="24"/>
        </w:rPr>
        <w:tab/>
        <w:t>C. Le Gall, A. Bellahcène, E. Bonnelye, J. a Gasser, V. Castronovo, J. Green, J. Zimmermann, P. Clézardin, A cathepsin K inhibitor reduces breast cancer induced osteolysis and skeletal tumor burden., Cancer Res. 67 (2007) 9894–9902. doi:10.1158/0008-5472.CAN-06-3940.</w:t>
      </w:r>
    </w:p>
    <w:p w14:paraId="1D57CE34"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[69]</w:t>
      </w:r>
      <w:r w:rsidRPr="007721FB">
        <w:rPr>
          <w:rFonts w:ascii="Times New Roman" w:hAnsi="Times New Roman" w:cs="Times New Roman"/>
          <w:noProof/>
          <w:sz w:val="20"/>
          <w:szCs w:val="24"/>
        </w:rPr>
        <w:tab/>
        <w:t>F. Bühling, C. Röcken, F. Brasch, R. Hartig, Y. Yasuda, P. Saftig, D. Brömme, T. Welte, Pivotal Role of Cathepsin K in Lung Fibrosis, Am. J. Pathol. 164 (2004) 2203–2216. http://www.ncbi.nlm.nih.gov/pmc/articles/PMC1615770/.</w:t>
      </w:r>
    </w:p>
    <w:p w14:paraId="4C8E6D64"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[70]</w:t>
      </w:r>
      <w:r w:rsidRPr="007721FB">
        <w:rPr>
          <w:rFonts w:ascii="Times New Roman" w:hAnsi="Times New Roman" w:cs="Times New Roman"/>
          <w:noProof/>
          <w:sz w:val="20"/>
          <w:szCs w:val="24"/>
        </w:rPr>
        <w:tab/>
        <w:t xml:space="preserve">H. Pan, M. Sima, S.C. Miller, P. Kopečková, J. Yang, J. Kopeček, Efficiency of high molecular weight backbone degradable HPMA copolymer-Prostaglandin E1 conjugate in promotion of bone formation in ovariectomized rats, Biomaterials. 34 (2013) 6528–6538. </w:t>
      </w:r>
      <w:r w:rsidRPr="007721FB">
        <w:rPr>
          <w:rFonts w:ascii="Times New Roman" w:hAnsi="Times New Roman" w:cs="Times New Roman"/>
          <w:noProof/>
          <w:sz w:val="20"/>
          <w:szCs w:val="24"/>
        </w:rPr>
        <w:lastRenderedPageBreak/>
        <w:t>doi:10.1016/j.biomaterials.2013.05.003.</w:t>
      </w:r>
    </w:p>
    <w:p w14:paraId="0F0780A1"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[71]</w:t>
      </w:r>
      <w:r w:rsidRPr="007721FB">
        <w:rPr>
          <w:rFonts w:ascii="Times New Roman" w:hAnsi="Times New Roman" w:cs="Times New Roman"/>
          <w:noProof/>
          <w:sz w:val="20"/>
          <w:szCs w:val="24"/>
        </w:rPr>
        <w:tab/>
        <w:t>C.W. Hsu, R.M. Olabisi, E.A. Olmsted-Davis, A.R. Davis, J.L. West, Cathepsin K-sensitive poly(ethylene glycol) hydrogels for degradation in response to bone resorption, J. Biomed. Mater. Res. - Part A. 98 A (2011) 53–62. doi:10.1002/jbm.a.33076.</w:t>
      </w:r>
    </w:p>
    <w:p w14:paraId="2DDE5829"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[72]</w:t>
      </w:r>
      <w:r w:rsidRPr="007721FB">
        <w:rPr>
          <w:rFonts w:ascii="Times New Roman" w:hAnsi="Times New Roman" w:cs="Times New Roman"/>
          <w:noProof/>
          <w:sz w:val="20"/>
          <w:szCs w:val="24"/>
        </w:rPr>
        <w:tab/>
        <w:t>X. Wang, Y. Yang, H. Jia, W. Jia, S. Miller, B. Bowman, J. Feng, F. Zhan, Peptide Decoration of Nanovehicles to Achieve Active Targeting and Pathology-Responsive Cellular Uptake for Bone Metastasis Chemotherapy., Biomater. Sci. 2 (2014) 961–971. doi:10.1039/C4BM00020J.</w:t>
      </w:r>
    </w:p>
    <w:p w14:paraId="45E8F529"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[73]</w:t>
      </w:r>
      <w:r w:rsidRPr="007721FB">
        <w:rPr>
          <w:rFonts w:ascii="Times New Roman" w:hAnsi="Times New Roman" w:cs="Times New Roman"/>
          <w:noProof/>
          <w:sz w:val="20"/>
          <w:szCs w:val="24"/>
        </w:rPr>
        <w:tab/>
        <w:t>C.C. Lynch, Matrix metalloproteinases as master regulators of the vicious cycle of bone metastasis, Bone. 48 (2011) 44–53. doi:10.1016/j.bone.2010.06.007.</w:t>
      </w:r>
    </w:p>
    <w:p w14:paraId="1511FEB0"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[74]</w:t>
      </w:r>
      <w:r w:rsidRPr="007721FB">
        <w:rPr>
          <w:rFonts w:ascii="Times New Roman" w:hAnsi="Times New Roman" w:cs="Times New Roman"/>
          <w:noProof/>
          <w:sz w:val="20"/>
          <w:szCs w:val="24"/>
        </w:rPr>
        <w:tab/>
        <w:t>P. Hou, T. Troen, M.C. Ovejero, T. Kirkegaard, T.L. Andersen, I. Byrjalsen, M. Ferreras, T. Sato, S.D. Shapiro, N.T. Foged, J.-M. Delaissé, Matrix metalloproteinase-12 (MMP-12) in osteoclasts: new lesson on the involvement of MMPs in bone resorption, Bone. 34 (2017) 37–47. doi:10.1016/j.bone.2003.08.011.</w:t>
      </w:r>
    </w:p>
    <w:p w14:paraId="6E6462C7"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[75]</w:t>
      </w:r>
      <w:r w:rsidRPr="007721FB">
        <w:rPr>
          <w:rFonts w:ascii="Times New Roman" w:hAnsi="Times New Roman" w:cs="Times New Roman"/>
          <w:noProof/>
          <w:sz w:val="20"/>
          <w:szCs w:val="24"/>
        </w:rPr>
        <w:tab/>
        <w:t>L.J. Raggatt, N.C. Partridge, Cellular and molecular mechanisms of bone remodeling, J. Biol. Chem. 285 (2010) 25103–25108.</w:t>
      </w:r>
    </w:p>
    <w:p w14:paraId="1C2E5904"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[76]</w:t>
      </w:r>
      <w:r w:rsidRPr="007721FB">
        <w:rPr>
          <w:rFonts w:ascii="Times New Roman" w:hAnsi="Times New Roman" w:cs="Times New Roman"/>
          <w:noProof/>
          <w:sz w:val="20"/>
          <w:szCs w:val="24"/>
        </w:rPr>
        <w:tab/>
        <w:t>N. Sarkar, J. Banerjee, A.J. Hanson, A.I. Elegbede, T. Rosendahl, A.B. Krueger, A.L. Banerjee, S. Tobwala, R. Wang, X. Lu, S. Mallik, D.K. Srivastava, Matrix metalloproteinase-assisted triggered release of liposomal contents, Bioconjug. Chem. 19 (2008) 57–64. doi:10.1021/bc070081p.</w:t>
      </w:r>
    </w:p>
    <w:p w14:paraId="3919B782"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[77]</w:t>
      </w:r>
      <w:r w:rsidRPr="007721FB">
        <w:rPr>
          <w:rFonts w:ascii="Times New Roman" w:hAnsi="Times New Roman" w:cs="Times New Roman"/>
          <w:noProof/>
          <w:sz w:val="20"/>
          <w:szCs w:val="24"/>
        </w:rPr>
        <w:tab/>
        <w:t>P.S. Kulkarni, M.K. Haldar, R.R. Nahire, P. Katti, A.H. Ambre, W.W. Muhonen, J.B. Shabb, S.K.R. Padi, R.K. Singh, P.P. Borowicz, MMP-9 responsive PEG cleavable nanovesicles for efficient delivery of chemotherapeutics to pancreatic cancer, Mol. Pharm. 11 (2014) 2390–2399.</w:t>
      </w:r>
    </w:p>
    <w:p w14:paraId="2AA1D3E3"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[78]</w:t>
      </w:r>
      <w:r w:rsidRPr="007721FB">
        <w:rPr>
          <w:rFonts w:ascii="Times New Roman" w:hAnsi="Times New Roman" w:cs="Times New Roman"/>
          <w:noProof/>
          <w:sz w:val="20"/>
          <w:szCs w:val="24"/>
        </w:rPr>
        <w:tab/>
        <w:t>A. Page-McCaw, A.J. Ewald, Z. Werb, Matrix metalloproteinases and the regulation of tissue remodelling., Nat. Rev. Mol. Cell Biol. 8 (2007) 221–33. doi:10.1038/nrm2125.</w:t>
      </w:r>
    </w:p>
    <w:p w14:paraId="1D4A8741"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[79]</w:t>
      </w:r>
      <w:r w:rsidRPr="007721FB">
        <w:rPr>
          <w:rFonts w:ascii="Times New Roman" w:hAnsi="Times New Roman" w:cs="Times New Roman"/>
          <w:noProof/>
          <w:sz w:val="20"/>
          <w:szCs w:val="24"/>
        </w:rPr>
        <w:tab/>
        <w:t>T.W. Liu, M.K. Akens, J. Chen, B.C. Wilson, G. Zheng, Matrix metalloproteinase-based photodynamic molecular beacons for targeted destruction of bone metastases in vivo, Photochem. Photobiol. Sci. 15 (2016) 375–381. doi:10.1039/C5PP00414D.</w:t>
      </w:r>
    </w:p>
    <w:p w14:paraId="4F338FA5"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[80]</w:t>
      </w:r>
      <w:r w:rsidRPr="007721FB">
        <w:rPr>
          <w:rFonts w:ascii="Times New Roman" w:hAnsi="Times New Roman" w:cs="Times New Roman"/>
          <w:noProof/>
          <w:sz w:val="20"/>
          <w:szCs w:val="24"/>
        </w:rPr>
        <w:tab/>
        <w:t>J. Hatzenbuehler, T.J. Pulling, Diagnosis and Management of Osteomyelitis, Am Fam Physician. 84 (2011) 1027–1033.</w:t>
      </w:r>
    </w:p>
    <w:p w14:paraId="081A8E47"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[81]</w:t>
      </w:r>
      <w:r w:rsidRPr="007721FB">
        <w:rPr>
          <w:rFonts w:ascii="Times New Roman" w:hAnsi="Times New Roman" w:cs="Times New Roman"/>
          <w:noProof/>
          <w:sz w:val="20"/>
          <w:szCs w:val="24"/>
        </w:rPr>
        <w:tab/>
        <w:t>G. Baier, A. Cavallaro, K. Vasilev, V. Mailander, A. Musyanovych, K. Landfester, Enzyme Responsive Hyaluronic Acid Nanocapsules Containing Polyhexanide and Their Exposure to Bacteria To Prevent Infection, Biomacromolecules. 14 (2013) 1103–1112. doi:10.1021/bm302003m.</w:t>
      </w:r>
    </w:p>
    <w:p w14:paraId="7DD0EB64"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[82]</w:t>
      </w:r>
      <w:r w:rsidRPr="007721FB">
        <w:rPr>
          <w:rFonts w:ascii="Times New Roman" w:hAnsi="Times New Roman" w:cs="Times New Roman"/>
          <w:noProof/>
          <w:sz w:val="20"/>
          <w:szCs w:val="24"/>
        </w:rPr>
        <w:tab/>
        <w:t>F. Danhier, O. Feron, V. Préat, To exploit the tumor microenvironment: Passive and active tumor targeting of nanocarriers for anti-cancer drug delivery, J. Control. Release. 148 (2010) 135–146. doi:10.1016/j.jconrel.2010.08.027.</w:t>
      </w:r>
    </w:p>
    <w:p w14:paraId="52E364F8"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[83]</w:t>
      </w:r>
      <w:r w:rsidRPr="007721FB">
        <w:rPr>
          <w:rFonts w:ascii="Times New Roman" w:hAnsi="Times New Roman" w:cs="Times New Roman"/>
          <w:noProof/>
          <w:sz w:val="20"/>
          <w:szCs w:val="24"/>
        </w:rPr>
        <w:tab/>
        <w:t>S.K. Calderwood, J. Gong, Heat Shock Proteins Promote Cancer: It’s a Protection Racket, Trends Biochem. Sci. 41 (2016) 311–323. doi:https://doi.org/10.1016/j.tibs.2016.01.003.</w:t>
      </w:r>
    </w:p>
    <w:p w14:paraId="78A571DB"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[84]</w:t>
      </w:r>
      <w:r w:rsidRPr="007721FB">
        <w:rPr>
          <w:rFonts w:ascii="Times New Roman" w:hAnsi="Times New Roman" w:cs="Times New Roman"/>
          <w:noProof/>
          <w:sz w:val="20"/>
          <w:szCs w:val="24"/>
        </w:rPr>
        <w:tab/>
        <w:t>D. Liu, L. Ma, Y. An, Y. Li, Y. Liu, L. Wang, J. Guo, J. Wang, J. Zhou, Thermoresponsive Nanogel-Encapsulated PEDOT and HSP70 Inhibitor for Improving the Depth of the Photothermal Therapeutic Effect, Adv. Funct. Mater. 26 (2016) 4749–4759. doi:10.1002/adfm.201600031.</w:t>
      </w:r>
    </w:p>
    <w:p w14:paraId="7E0DD0BF"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[85]</w:t>
      </w:r>
      <w:r w:rsidRPr="007721FB">
        <w:rPr>
          <w:rFonts w:ascii="Times New Roman" w:hAnsi="Times New Roman" w:cs="Times New Roman"/>
          <w:noProof/>
          <w:sz w:val="20"/>
          <w:szCs w:val="24"/>
        </w:rPr>
        <w:tab/>
        <w:t>R. Staruch, R. Chopra, K. Hynynen, Hyperthermia in Bone Generated with MR Imaging-controlled Focused Ultrasound: Control Strategies and Drug Delivery, Radiology. 263 (2012) 117–127. doi:10.1148/radiol.12111189.</w:t>
      </w:r>
    </w:p>
    <w:p w14:paraId="730E28B1"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[86]</w:t>
      </w:r>
      <w:r w:rsidRPr="007721FB">
        <w:rPr>
          <w:rFonts w:ascii="Times New Roman" w:hAnsi="Times New Roman" w:cs="Times New Roman"/>
          <w:noProof/>
          <w:sz w:val="20"/>
          <w:szCs w:val="24"/>
        </w:rPr>
        <w:tab/>
        <w:t>H. Song, J. Zhang, X. Liu, T. Deng, P. Yao, S. Zhou, W. Yan, Development of drug loaded nanoparticles binding to hydroxyapatite based on a bisphosphonate modified nonionic surfactant, J. Nanomater. 2015 (2015) 680–7. doi:10.1155/2015/393968.</w:t>
      </w:r>
    </w:p>
    <w:p w14:paraId="013C1181"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[87]</w:t>
      </w:r>
      <w:r w:rsidRPr="007721FB">
        <w:rPr>
          <w:rFonts w:ascii="Times New Roman" w:hAnsi="Times New Roman" w:cs="Times New Roman"/>
          <w:noProof/>
          <w:sz w:val="20"/>
          <w:szCs w:val="24"/>
        </w:rPr>
        <w:tab/>
        <w:t>S. Poh, J.B. Lin, A. Panitch, Release of Anti-inflammatory Peptides from Thermosensitive Nanoparticles with Degradable Cross-Links Suppresses Pro-inflammatory Cytokine Production, Biomacromolecules. 16 (2015) 1191–1200. doi:10.1021/bm501849p.</w:t>
      </w:r>
    </w:p>
    <w:p w14:paraId="7878376F"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[88]</w:t>
      </w:r>
      <w:r w:rsidRPr="007721FB">
        <w:rPr>
          <w:rFonts w:ascii="Times New Roman" w:hAnsi="Times New Roman" w:cs="Times New Roman"/>
          <w:noProof/>
          <w:sz w:val="20"/>
          <w:szCs w:val="24"/>
        </w:rPr>
        <w:tab/>
        <w:t>N. Cetin, A. Aytar, A. Atalay, M.N. Akman, Comparing hot pack, short-wave diathermy, ultrasound, and TENS on isokinetic strength, pain, and functional status of women with osteoarthritic knees: a single-blind, randomized, controlled trial., Am. J. Phys. Med. Rehabil. 87 (2008) 443–451. doi:10.1097/PHM.0b013e318174e467.</w:t>
      </w:r>
    </w:p>
    <w:p w14:paraId="36F398A9"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[89]</w:t>
      </w:r>
      <w:r w:rsidRPr="007721FB">
        <w:rPr>
          <w:rFonts w:ascii="Times New Roman" w:hAnsi="Times New Roman" w:cs="Times New Roman"/>
          <w:noProof/>
          <w:sz w:val="20"/>
          <w:szCs w:val="24"/>
        </w:rPr>
        <w:tab/>
        <w:t>J. Yang, R. Van Lith, K. Baler, R.A. Hoshi, G.A. Ameer, A thermoresponsive biodegradable polymer with intrinsic antioxidant properties, Biomacromolecules. 15 (2014) 3942–3952. doi:10.1021/bm5010004.</w:t>
      </w:r>
    </w:p>
    <w:p w14:paraId="3A3449A9"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[90]</w:t>
      </w:r>
      <w:r w:rsidRPr="007721FB">
        <w:rPr>
          <w:rFonts w:ascii="Times New Roman" w:hAnsi="Times New Roman" w:cs="Times New Roman"/>
          <w:noProof/>
          <w:sz w:val="20"/>
          <w:szCs w:val="24"/>
        </w:rPr>
        <w:tab/>
        <w:t>E. Fleige, M.A. Quadir, R. Haag, Stimuli-responsive polymeric nanocarriers for the controlled transport of active compounds: Concepts and applications, Adv. Drug Deliv. Rev. 64 (2012) 866–884. doi:10.1016/j.addr.2012.01.020.</w:t>
      </w:r>
    </w:p>
    <w:p w14:paraId="02FAB011"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lastRenderedPageBreak/>
        <w:t>[91]</w:t>
      </w:r>
      <w:r w:rsidRPr="007721FB">
        <w:rPr>
          <w:rFonts w:ascii="Times New Roman" w:hAnsi="Times New Roman" w:cs="Times New Roman"/>
          <w:noProof/>
          <w:sz w:val="20"/>
          <w:szCs w:val="24"/>
        </w:rPr>
        <w:tab/>
        <w:t>A.-Z. Zardad, Y. Choonara, L. du Toit, P. Kumar, M. Mabrouk, P. Kondiah, V. Pillay, A Review of Thermo- and Ultrasound-Responsive Polymeric Systems for Delivery of Chemotherapeutic Agents, Polymers (Basel). 8 (2016) 359. doi:10.3390/polym8100359.</w:t>
      </w:r>
    </w:p>
    <w:p w14:paraId="66411D38"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[92]</w:t>
      </w:r>
      <w:r w:rsidRPr="007721FB">
        <w:rPr>
          <w:rFonts w:ascii="Times New Roman" w:hAnsi="Times New Roman" w:cs="Times New Roman"/>
          <w:noProof/>
          <w:sz w:val="20"/>
          <w:szCs w:val="24"/>
        </w:rPr>
        <w:tab/>
        <w:t>R. Nahire, S. Paul, M.D. Scott, R.K. Singh, W.W. Muhonen, J. Shabb, K.N. Gange, D.K. Srivastava, K. Sarkar, S. Mallik, Ultrasound enhanced matrix metalloproteinase-9 triggered release of contents from echogenic liposomes, Mol. Pharm. 9 (2012) 2554–2564. doi:10.1021/mp300165s.</w:t>
      </w:r>
    </w:p>
    <w:p w14:paraId="6B0ACB27"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[93]</w:t>
      </w:r>
      <w:r w:rsidRPr="007721FB">
        <w:rPr>
          <w:rFonts w:ascii="Times New Roman" w:hAnsi="Times New Roman" w:cs="Times New Roman"/>
          <w:noProof/>
          <w:sz w:val="20"/>
          <w:szCs w:val="24"/>
        </w:rPr>
        <w:tab/>
        <w:t>G.J. Crasto, N. Kartner, N. Reznik, M. V. Spatafora, H. Chen, R. Williams, P.N. Burns, C. Clokie, M.F. Manolson, S.A.F. Peel, Controlled bone formation using ultrasound-triggered release of BMP-2 from liposomes, J. Control. Release. (2016). doi:10.1016/j.jconrel.2016.09.032.</w:t>
      </w:r>
    </w:p>
    <w:p w14:paraId="182097E6"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[94]</w:t>
      </w:r>
      <w:r w:rsidRPr="007721FB">
        <w:rPr>
          <w:rFonts w:ascii="Times New Roman" w:hAnsi="Times New Roman" w:cs="Times New Roman"/>
          <w:noProof/>
          <w:sz w:val="20"/>
          <w:szCs w:val="24"/>
        </w:rPr>
        <w:tab/>
        <w:t>G.J. Crasto, H. Chen, N. Kartner, N. Reznik, S.A.F. Peel, Ultrasound triggered delivery of growth factors from liposomes for tissue regeneration, (2016).</w:t>
      </w:r>
    </w:p>
    <w:p w14:paraId="3570086E"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[95]</w:t>
      </w:r>
      <w:r w:rsidRPr="007721FB">
        <w:rPr>
          <w:rFonts w:ascii="Times New Roman" w:hAnsi="Times New Roman" w:cs="Times New Roman"/>
          <w:noProof/>
          <w:sz w:val="20"/>
          <w:szCs w:val="24"/>
        </w:rPr>
        <w:tab/>
        <w:t>S. Sawant, R. Shegokar, Chapter 5 - Bone scaffolds: What’s new in nanoparticle drug delivery research? A2  - Grumezescu, Alexandru Mihai BT  - Nanobiomaterials in Hard Tissue Engineering, in: William Andrew Publishing, 2016: pp. 155–187. doi:http://dx.doi.org/10.1016/B978-0-323-42862-0.00005-5.</w:t>
      </w:r>
    </w:p>
    <w:p w14:paraId="26002E71"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[96]</w:t>
      </w:r>
      <w:r w:rsidRPr="007721FB">
        <w:rPr>
          <w:rFonts w:ascii="Times New Roman" w:hAnsi="Times New Roman" w:cs="Times New Roman"/>
          <w:noProof/>
          <w:sz w:val="20"/>
          <w:szCs w:val="24"/>
        </w:rPr>
        <w:tab/>
        <w:t>M. Nagao, N. Tanabe, S. Manaka, M. Naito, K. Nakai, T. Takayama, T. Kawato, G. Torigoe, J. Sekino, N. Tsukune, M. Maeno, N. Suzuki, S. Sato, LIPUS suppressed LPS-induced IL-1α through the inhibition of NF-κB nuclear translocation via AT1-PLCβ pathway in MC3T3-E1, J. Cell. Physiol. (2017). doi:10.1002/jcp.25777.</w:t>
      </w:r>
    </w:p>
    <w:p w14:paraId="70026DA7"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[97]</w:t>
      </w:r>
      <w:r w:rsidRPr="007721FB">
        <w:rPr>
          <w:rFonts w:ascii="Times New Roman" w:hAnsi="Times New Roman" w:cs="Times New Roman"/>
          <w:noProof/>
          <w:sz w:val="20"/>
          <w:szCs w:val="24"/>
        </w:rPr>
        <w:tab/>
        <w:t>R. Puts, J. Albers, A. Kadow-Romacker, S. Geissler, K. Raum, Influence of Donor Age and Stimulation Intensity on Osteogenic Differentiation of Rat Mesenchymal Stromal Cells in Response to Focused Low-Intensity Pulsed Ultrasound, Ultrasound Med. Biol. 42 (2016) 2965–2974. doi:10.1016/j.ultrasmedbio.2016.08.012.</w:t>
      </w:r>
    </w:p>
    <w:p w14:paraId="2835A03F"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[98]</w:t>
      </w:r>
      <w:r w:rsidRPr="007721FB">
        <w:rPr>
          <w:rFonts w:ascii="Times New Roman" w:hAnsi="Times New Roman" w:cs="Times New Roman"/>
          <w:noProof/>
          <w:sz w:val="20"/>
          <w:szCs w:val="24"/>
        </w:rPr>
        <w:tab/>
        <w:t>X.-S. Li, W.-Q. Li, W.-B. Wang, Using targeted magnetic arsenic trioxide nanoparticles for osteosarcoma treatment., Cancer Biother. Radiopharm. 22 (2007) 772–8. doi:10.1089/cbr.2007.352.</w:t>
      </w:r>
    </w:p>
    <w:p w14:paraId="2C515F0A"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[99]</w:t>
      </w:r>
      <w:r w:rsidRPr="007721FB">
        <w:rPr>
          <w:rFonts w:ascii="Times New Roman" w:hAnsi="Times New Roman" w:cs="Times New Roman"/>
          <w:noProof/>
          <w:sz w:val="20"/>
          <w:szCs w:val="24"/>
        </w:rPr>
        <w:tab/>
        <w:t>T. Matsuo, T. Sugita, T. Kubo, Y. Yasunaga, M. Ochi, T. Murakami, Injectable magnetic liposomes as a novel carrier of recombinant human BMP-2 for bone formation in a rat bone-defect model., J. Biomed. Mater. Res. A. 66 (2003) 747–54. doi:10.1002/jbm.a.10002.</w:t>
      </w:r>
    </w:p>
    <w:p w14:paraId="48B7C76B"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[100]</w:t>
      </w:r>
      <w:r w:rsidRPr="007721FB">
        <w:rPr>
          <w:rFonts w:ascii="Times New Roman" w:hAnsi="Times New Roman" w:cs="Times New Roman"/>
          <w:noProof/>
          <w:sz w:val="20"/>
          <w:szCs w:val="24"/>
        </w:rPr>
        <w:tab/>
        <w:t>E. Guisasola, A. Baeza, M. Talelli, D. Arcos, M. Moros, J.M.D. La Fuente, M. Vallet-regí, E. Guisasola, A. Baeza, M. Talelli, D. Arcos, M. Moros, J.M. De, Magnetic-responsive Release Controlled by Hot Spot Effect Magnetic-responsive Release Controlled by Hot Spot Effect, Langmuir. 31 (2015) 12777–12782. doi:10.1021/acs.langmuir.5b03470.</w:t>
      </w:r>
    </w:p>
    <w:p w14:paraId="4D6A23F8"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[101]</w:t>
      </w:r>
      <w:r w:rsidRPr="007721FB">
        <w:rPr>
          <w:rFonts w:ascii="Times New Roman" w:hAnsi="Times New Roman" w:cs="Times New Roman"/>
          <w:noProof/>
          <w:sz w:val="20"/>
          <w:szCs w:val="24"/>
        </w:rPr>
        <w:tab/>
        <w:t>Y. Shido, Y. Nishida, Y. Suzuki, T. Kobayashi, N. Ishiguro, Targeted hyperthermia using magnetite cationic liposomes and an alternating magnetic field in a mouse osteosarcoma model., J. Bone Joint Surg. Br. 92 (2010) 580–585. doi:10.1302/0301-620X.92B4.22814.</w:t>
      </w:r>
    </w:p>
    <w:p w14:paraId="7BF2C199"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[102]</w:t>
      </w:r>
      <w:r w:rsidRPr="007721FB">
        <w:rPr>
          <w:rFonts w:ascii="Times New Roman" w:hAnsi="Times New Roman" w:cs="Times New Roman"/>
          <w:noProof/>
          <w:sz w:val="20"/>
          <w:szCs w:val="24"/>
        </w:rPr>
        <w:tab/>
        <w:t>F. Matsuoka, M. Shinkai, H. Honda, T. Kubo, T. Sugita, T. Kobayashi, Hyperthermia using magnetite cationic liposomes for hamster osteosarcoma, Biomagn. Res. Technol. 2 (2004) 3. doi:10.1186/1477-044X-2-3.</w:t>
      </w:r>
    </w:p>
    <w:p w14:paraId="2AFA08FD"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[103]</w:t>
      </w:r>
      <w:r w:rsidRPr="007721FB">
        <w:rPr>
          <w:rFonts w:ascii="Times New Roman" w:hAnsi="Times New Roman" w:cs="Times New Roman"/>
          <w:noProof/>
          <w:sz w:val="20"/>
          <w:szCs w:val="24"/>
        </w:rPr>
        <w:tab/>
        <w:t>E. Amstad, J. Kohlbrecher, E. Müller, T. Schweizer, M. Textor, E. Reimhult, Triggered release from liposomes through magnetic actuation of iron oxide nanoparticle containing membranes, Nano Lett. 11 (2011) 1664–1670. doi:10.1021/nl2001499.</w:t>
      </w:r>
    </w:p>
    <w:p w14:paraId="553795DF"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[104]</w:t>
      </w:r>
      <w:r w:rsidRPr="007721FB">
        <w:rPr>
          <w:rFonts w:ascii="Times New Roman" w:hAnsi="Times New Roman" w:cs="Times New Roman"/>
          <w:noProof/>
          <w:sz w:val="20"/>
          <w:szCs w:val="24"/>
        </w:rPr>
        <w:tab/>
        <w:t>J.C. Kraft, J.P. Freeling, Z. Wang, R.J.Y. Ho, Emerging research and clinical development trends of liposome and lipid nanoparticle drug delivery systems, J. Pharm. Sci. 103 (2014) 29–52. doi:10.1002/jps.23773.</w:t>
      </w:r>
    </w:p>
    <w:p w14:paraId="507D5C2F"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[105]</w:t>
      </w:r>
      <w:r w:rsidRPr="007721FB">
        <w:rPr>
          <w:rFonts w:ascii="Times New Roman" w:hAnsi="Times New Roman" w:cs="Times New Roman"/>
          <w:noProof/>
          <w:sz w:val="20"/>
          <w:szCs w:val="24"/>
        </w:rPr>
        <w:tab/>
        <w:t>S.C. McBain, H.H.P. Yiu, J. Dobson, Magnetic nanoparticles for gene and drug delivery, Int. J. Nanomedicine. 3 (2008) 169–180. doi:10.2147/IJN.S1608.</w:t>
      </w:r>
    </w:p>
    <w:p w14:paraId="74465E8C"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[106]</w:t>
      </w:r>
      <w:r w:rsidRPr="007721FB">
        <w:rPr>
          <w:rFonts w:ascii="Times New Roman" w:hAnsi="Times New Roman" w:cs="Times New Roman"/>
          <w:noProof/>
          <w:sz w:val="20"/>
          <w:szCs w:val="24"/>
        </w:rPr>
        <w:tab/>
        <w:t>Z. Huang, N. Pei, Y. Wang, X. Xie, A. Sun, L. Shen, S. Zhang, X. Liu, Y. Zou, J. Qian, J. Ge, Deep magnetic capture of magnetically loaded cells for spatially targeted therapeutics, Biomaterials. 31 (2010) 2130–2140. doi:10.1016/j.biomaterials.2009.11.062.</w:t>
      </w:r>
    </w:p>
    <w:p w14:paraId="4AA61B24"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[107]</w:t>
      </w:r>
      <w:r w:rsidRPr="007721FB">
        <w:rPr>
          <w:rFonts w:ascii="Times New Roman" w:hAnsi="Times New Roman" w:cs="Times New Roman"/>
          <w:noProof/>
          <w:sz w:val="20"/>
          <w:szCs w:val="24"/>
        </w:rPr>
        <w:tab/>
        <w:t>M. Kanamala, W.R. Wilson, M. Yang, B.D. Palmer, Z. Wu, Mechanisms and biomaterials in pH-responsive tumour targeted drug delivery: a review, Biomaterials. 85 (2016) 152–167.</w:t>
      </w:r>
    </w:p>
    <w:p w14:paraId="616C1EB3"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[108]</w:t>
      </w:r>
      <w:r w:rsidRPr="007721FB">
        <w:rPr>
          <w:rFonts w:ascii="Times New Roman" w:hAnsi="Times New Roman" w:cs="Times New Roman"/>
          <w:noProof/>
          <w:sz w:val="20"/>
          <w:szCs w:val="24"/>
        </w:rPr>
        <w:tab/>
        <w:t>X. Pang, Y. Jiang, Q. Xiao, A.W. Leung, H. Hua, C. Xu, pH-responsive polymer–drug conjugates: design and progress, J. Control. Release. 222 (2016) 116–129.</w:t>
      </w:r>
    </w:p>
    <w:p w14:paraId="0BE2A514"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[109]</w:t>
      </w:r>
      <w:r w:rsidRPr="007721FB">
        <w:rPr>
          <w:rFonts w:ascii="Times New Roman" w:hAnsi="Times New Roman" w:cs="Times New Roman"/>
          <w:noProof/>
          <w:sz w:val="20"/>
          <w:szCs w:val="24"/>
        </w:rPr>
        <w:tab/>
        <w:t>D. Schmaljohann, Thermo- and pH-responsive polymers in drug delivery, Adv. Drug Deliv. Rev. 58 (2006) 1655–1670. doi:10.1016/j.addr.2006.09.020.</w:t>
      </w:r>
    </w:p>
    <w:p w14:paraId="10E3A0E6"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[110]</w:t>
      </w:r>
      <w:r w:rsidRPr="007721FB">
        <w:rPr>
          <w:rFonts w:ascii="Times New Roman" w:hAnsi="Times New Roman" w:cs="Times New Roman"/>
          <w:noProof/>
          <w:sz w:val="20"/>
          <w:szCs w:val="24"/>
        </w:rPr>
        <w:tab/>
        <w:t>V. Torchilin, Tumor delivery of macromolecular drugs based on the EPR effect, Adv. Drug Deliv. Rev. 63 (2011) 131–135. doi:10.1016/j.addr.2010.03.011.</w:t>
      </w:r>
    </w:p>
    <w:p w14:paraId="07A0469D"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[111]</w:t>
      </w:r>
      <w:r w:rsidRPr="007721FB">
        <w:rPr>
          <w:rFonts w:ascii="Times New Roman" w:hAnsi="Times New Roman" w:cs="Times New Roman"/>
          <w:noProof/>
          <w:sz w:val="20"/>
          <w:szCs w:val="24"/>
        </w:rPr>
        <w:tab/>
        <w:t>D. dos S. Ferreira, S.D. Faria, S.C. de A. Lopes, C.S. Teixeira, A. Malachias, R. Magalhães-</w:t>
      </w:r>
      <w:r w:rsidRPr="007721FB">
        <w:rPr>
          <w:rFonts w:ascii="Times New Roman" w:hAnsi="Times New Roman" w:cs="Times New Roman"/>
          <w:noProof/>
          <w:sz w:val="20"/>
          <w:szCs w:val="24"/>
        </w:rPr>
        <w:lastRenderedPageBreak/>
        <w:t>Paniago, J.D. de Souza Filho, B.L. Oliveira de Jesus Pinto, A.R. Guimarães, P. Caravan, L.A.M. Ferreira, R.J. Alves, M.C. Oliveira, Development of a bone-targeted pH-sensitive liposomal formulation containing doxorubicin: Physicochemical characterization, cytotoxicity, and biodistribution evaluation in a mouse model of bone metastasis, Int. J. Nanomedicine. 11 (2016) 3737–3751. doi:10.2147/IJN.S109966.</w:t>
      </w:r>
    </w:p>
    <w:p w14:paraId="2AC1AB36"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[112]</w:t>
      </w:r>
      <w:r w:rsidRPr="007721FB">
        <w:rPr>
          <w:rFonts w:ascii="Times New Roman" w:hAnsi="Times New Roman" w:cs="Times New Roman"/>
          <w:noProof/>
          <w:sz w:val="20"/>
          <w:szCs w:val="24"/>
        </w:rPr>
        <w:tab/>
        <w:t>Y. Wang, J. Wang, H. Hao, M. Cai, S. Wang, J. Ma, Y. Li, C. Mao, S. Zhang, In Vitro and in Vivo Mechanism of Bone Tumor Inhibition by Selenium-Doped Bone Mineral Nanoparticles, ACS Nano. 10 (2016) 9927–9937. doi:10.1021/acsnano.6b03835.</w:t>
      </w:r>
    </w:p>
    <w:p w14:paraId="62D1F69B"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[113]</w:t>
      </w:r>
      <w:r w:rsidRPr="007721FB">
        <w:rPr>
          <w:rFonts w:ascii="Times New Roman" w:hAnsi="Times New Roman" w:cs="Times New Roman"/>
          <w:noProof/>
          <w:sz w:val="20"/>
          <w:szCs w:val="24"/>
        </w:rPr>
        <w:tab/>
        <w:t>E. Alpaslan, H. Yazici, N.H. Golshan, K.S. Ziemer, T.J. Webster, pH-Dependent Activity of Dextran-Coated Cerium Oxide Nanoparticles on Prohibiting Osteosarcoma Cell Proliferation, ACS Biomater. Sci. Eng. 1 (2015) 1096–1103. doi:10.1021/acsbiomaterials.5b00194.</w:t>
      </w:r>
    </w:p>
    <w:p w14:paraId="2BEE76CB"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[114]</w:t>
      </w:r>
      <w:r w:rsidRPr="007721FB">
        <w:rPr>
          <w:rFonts w:ascii="Times New Roman" w:hAnsi="Times New Roman" w:cs="Times New Roman"/>
          <w:noProof/>
          <w:sz w:val="20"/>
          <w:szCs w:val="24"/>
        </w:rPr>
        <w:tab/>
        <w:t>Q. Gan, J. Zhu, Y. Yuan, H. Liu, J. Qian, Y. Li, C. Liu, A dual-delivery system of pH-responsive chitosan-functionalized mesoporous silica nanoparticles bearing BMP-2 and dexamethasone for enhanced bone regeneration, J. Mater. Chem. B. 3 (2015) 2056–2066. doi:10.1039/C4TB01897D.</w:t>
      </w:r>
    </w:p>
    <w:p w14:paraId="76502575"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[115]</w:t>
      </w:r>
      <w:r w:rsidRPr="007721FB">
        <w:rPr>
          <w:rFonts w:ascii="Times New Roman" w:hAnsi="Times New Roman" w:cs="Times New Roman"/>
          <w:noProof/>
          <w:sz w:val="20"/>
          <w:szCs w:val="24"/>
        </w:rPr>
        <w:tab/>
        <w:t>S.M.Z.M.D. Ferreira, G.P. Domingos, D.D.S. Ferreira, T.G.R. Rocha, R. Serakides, C.M. De Faria Rezende, V.N. Cardoso, S.O.A. Fernandes, M.C. Oliveira, Technetium-99m-labeled ceftizoxime loaded long-circulating and pH-sensitive liposomes used to identify osteomyelitis, Bioorganic Med. Chem. Lett. 22 (2012) 4605–4608. doi:10.1016/j.bmcl.2012.05.105.</w:t>
      </w:r>
    </w:p>
    <w:p w14:paraId="7BB9DFED"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[116]</w:t>
      </w:r>
      <w:r w:rsidRPr="007721FB">
        <w:rPr>
          <w:rFonts w:ascii="Times New Roman" w:hAnsi="Times New Roman" w:cs="Times New Roman"/>
          <w:noProof/>
          <w:sz w:val="20"/>
          <w:szCs w:val="24"/>
        </w:rPr>
        <w:tab/>
        <w:t>C. Y., Q. C., L. M., L. J., H. G., T. G., Y. Y., Z. C., J. Q., Alendronate-decorated biodegradable polymeric micelles for potential bone-targeted delivery of vancomycin, J. Biomater. Sci. Polym. Ed. 26 (2015) 629–643. doi:10.1080/09205063.2015.1053170.</w:t>
      </w:r>
    </w:p>
    <w:p w14:paraId="24D092FE"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[117]</w:t>
      </w:r>
      <w:r w:rsidRPr="007721FB">
        <w:rPr>
          <w:rFonts w:ascii="Times New Roman" w:hAnsi="Times New Roman" w:cs="Times New Roman"/>
          <w:noProof/>
          <w:sz w:val="20"/>
          <w:szCs w:val="24"/>
        </w:rPr>
        <w:tab/>
        <w:t>V.A. Sethuraman, M.C. Lee, Y.H. Bae, A biodegradable pH-sensitive micelle system for targeting acidic solid tumors, Pharm. Res. 25 (2008) 657–666. doi:10.1007/s11095-007-9480-4.</w:t>
      </w:r>
    </w:p>
    <w:p w14:paraId="70A3D28B"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[118]</w:t>
      </w:r>
      <w:r w:rsidRPr="007721FB">
        <w:rPr>
          <w:rFonts w:ascii="Times New Roman" w:hAnsi="Times New Roman" w:cs="Times New Roman"/>
          <w:noProof/>
          <w:sz w:val="20"/>
          <w:szCs w:val="24"/>
        </w:rPr>
        <w:tab/>
        <w:t>C. Wu, S. Wang, L. Bruelisauer, J. Leroux, M.A. Gauthier, Broad control of disulfide stability through microenvironmental effects and analysis in complex redox environments, Biomacromolecules. 14 (2013) 2383–2388. doi:10.1021/bm400501c.</w:t>
      </w:r>
    </w:p>
    <w:p w14:paraId="57D10825"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[119]</w:t>
      </w:r>
      <w:r w:rsidRPr="007721FB">
        <w:rPr>
          <w:rFonts w:ascii="Times New Roman" w:hAnsi="Times New Roman" w:cs="Times New Roman"/>
          <w:noProof/>
          <w:sz w:val="20"/>
          <w:szCs w:val="24"/>
        </w:rPr>
        <w:tab/>
        <w:t>L. Turell, R. Radi, B. Alvarez, Free Radical Biology and Medicine The thiol pool in human plasma : The central contribution of albumin to redox processes, Free Radic. Biol. Med. 65 (2013) 244–253. doi:10.1016/j.freeradbiomed.2013.05.050.</w:t>
      </w:r>
    </w:p>
    <w:p w14:paraId="093251C8"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[120]</w:t>
      </w:r>
      <w:r w:rsidRPr="007721FB">
        <w:rPr>
          <w:rFonts w:ascii="Times New Roman" w:hAnsi="Times New Roman" w:cs="Times New Roman"/>
          <w:noProof/>
          <w:sz w:val="20"/>
          <w:szCs w:val="24"/>
        </w:rPr>
        <w:tab/>
        <w:t>M.T. Drake, B.L. Clarke, S. Khosla, Bisphosphonates : Mechanism of Action and Role in Clinical Practice, Mayo Clin. Proc. 83 (2008) 1032–1045. doi:10.4065/83.9.1032.</w:t>
      </w:r>
    </w:p>
    <w:p w14:paraId="6A780D11"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[121]</w:t>
      </w:r>
      <w:r w:rsidRPr="007721FB">
        <w:rPr>
          <w:rFonts w:ascii="Times New Roman" w:hAnsi="Times New Roman" w:cs="Times New Roman"/>
          <w:noProof/>
          <w:sz w:val="20"/>
          <w:szCs w:val="24"/>
        </w:rPr>
        <w:tab/>
        <w:t>R. Cheng, F. Feng, F. Meng, C. Deng, J. Feijen, Z. Zhong, Glutathione-responsive nano-vehicles as a promising platform for targeted intracellular drug and gene delivery, J. Control. Release. 152 (2011) 2–12. doi:10.1016/j.jconrel.2011.01.030.</w:t>
      </w:r>
    </w:p>
    <w:p w14:paraId="1A9A33D9"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[122]</w:t>
      </w:r>
      <w:r w:rsidRPr="007721FB">
        <w:rPr>
          <w:rFonts w:ascii="Times New Roman" w:hAnsi="Times New Roman" w:cs="Times New Roman"/>
          <w:noProof/>
          <w:sz w:val="20"/>
          <w:szCs w:val="24"/>
        </w:rPr>
        <w:tab/>
        <w:t>J. Yang, H. Chen, I.R. Vlahov, J.-X. Cheng, P.S. Low, Evaluation of disulfide reduction during receptor-mediated endocytosis by using FRET imaging., Proc. Natl. Acad. Sci. U. S. A. 103 (2006) 13872–13877. doi:10.1073/pnas.0601455103.</w:t>
      </w:r>
    </w:p>
    <w:p w14:paraId="28C3CA2D"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[123]</w:t>
      </w:r>
      <w:r w:rsidRPr="007721FB">
        <w:rPr>
          <w:rFonts w:ascii="Times New Roman" w:hAnsi="Times New Roman" w:cs="Times New Roman"/>
          <w:noProof/>
          <w:sz w:val="20"/>
          <w:szCs w:val="24"/>
        </w:rPr>
        <w:tab/>
        <w:t>X. Zhang, L. Han, M. Liu, K. Wang, L. Tao, Q. Wan, Y. Wei, Recent progress and advances in redox-responsive polymers as controlled delivery nanoplatforms, Mater. Chem. Front. 1 (2017) 807–822.</w:t>
      </w:r>
    </w:p>
    <w:p w14:paraId="7A2FD89E"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[124]</w:t>
      </w:r>
      <w:r w:rsidRPr="007721FB">
        <w:rPr>
          <w:rFonts w:ascii="Times New Roman" w:hAnsi="Times New Roman" w:cs="Times New Roman"/>
          <w:noProof/>
          <w:sz w:val="20"/>
          <w:szCs w:val="24"/>
        </w:rPr>
        <w:tab/>
        <w:t>A.D. Baldwin, K.L. Kiick, Reversible maleimide–thiol adducts yield glutathione-sensitive poly(ethylene glycol)–heparin hydrogels, Polym. Chem. 4 (2012) 133–143. doi:10.1039/c2py20576a.</w:t>
      </w:r>
    </w:p>
    <w:p w14:paraId="18960F0D"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[125]</w:t>
      </w:r>
      <w:r w:rsidRPr="007721FB">
        <w:rPr>
          <w:rFonts w:ascii="Times New Roman" w:hAnsi="Times New Roman" w:cs="Times New Roman"/>
          <w:noProof/>
          <w:sz w:val="20"/>
          <w:szCs w:val="24"/>
        </w:rPr>
        <w:tab/>
        <w:t>H. Sun, F. Meng, R. Cheng, C. Deng, Z. Zhong, Reduction-responsive polymeric micelles and vesicles for triggered intracellular drug release., Antioxid. Redox Signal. 21 (2014) 755–67. doi:10.1089/ars.2013.5733.</w:t>
      </w:r>
    </w:p>
    <w:p w14:paraId="4FCC1DB2"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[126]</w:t>
      </w:r>
      <w:r w:rsidRPr="007721FB">
        <w:rPr>
          <w:rFonts w:ascii="Times New Roman" w:hAnsi="Times New Roman" w:cs="Times New Roman"/>
          <w:noProof/>
          <w:sz w:val="20"/>
          <w:szCs w:val="24"/>
        </w:rPr>
        <w:tab/>
        <w:t>M. Talelli, M. Barz, C.J.F. Rijcken, F. Kiessling, W.E. Hennink, T. Lammers, Core-crosslinked polymeric micelles: Principles, preparation, biomedical applications and clinical translation, Nano Today. 10 (2015) 93–117. doi:10.1016/j.nantod.2015.01.005.</w:t>
      </w:r>
    </w:p>
    <w:p w14:paraId="649C0370"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[127]</w:t>
      </w:r>
      <w:r w:rsidRPr="007721FB">
        <w:rPr>
          <w:rFonts w:ascii="Times New Roman" w:hAnsi="Times New Roman" w:cs="Times New Roman"/>
          <w:noProof/>
          <w:sz w:val="20"/>
          <w:szCs w:val="24"/>
        </w:rPr>
        <w:tab/>
        <w:t>D. Maciel, P. Figueira, S. Xiao, D. Hu, X. Shi, J. Rodrigues, H. Tom??s, Y. Li, Redox-responsive alginate nanogels with enhanced anticancer cytotoxicity, Biomacromolecules. 14 (2013) 3140–3146. doi:10.1021/bm400768m.</w:t>
      </w:r>
    </w:p>
    <w:p w14:paraId="503CCE5B"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[128]</w:t>
      </w:r>
      <w:r w:rsidRPr="007721FB">
        <w:rPr>
          <w:rFonts w:ascii="Times New Roman" w:hAnsi="Times New Roman" w:cs="Times New Roman"/>
          <w:noProof/>
          <w:sz w:val="20"/>
          <w:szCs w:val="24"/>
        </w:rPr>
        <w:tab/>
        <w:t>C. Yao, J. Liu, X. Wu, Z. Tai, Y. Gao, Q. Zhu, J. Li, L. Zhang, C. Hu, F. Gu, J. Gao, S. Gao, Reducible self-assembling cationic polypeptide-based micelles mediate co-delivery of doxorubicin and microRNA-34a for androgen-independent prostate cancer therapy, J. Control. Release. 232 (2016) 203–214. doi:10.1016/j.jconrel.2016.04.034.</w:t>
      </w:r>
    </w:p>
    <w:p w14:paraId="47C55DC3"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[129]</w:t>
      </w:r>
      <w:r w:rsidRPr="007721FB">
        <w:rPr>
          <w:rFonts w:ascii="Times New Roman" w:hAnsi="Times New Roman" w:cs="Times New Roman"/>
          <w:noProof/>
          <w:sz w:val="20"/>
          <w:szCs w:val="24"/>
        </w:rPr>
        <w:tab/>
        <w:t>X.J. Li, Z.J. Ren, J.H. Tang, MicroRNA-34a: a potential therapeutic target in human cancer., Cell Death Dis. 5 (2014) e1327. doi:10.1038/cddis.2014.270.</w:t>
      </w:r>
    </w:p>
    <w:p w14:paraId="79AAE079"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[130]</w:t>
      </w:r>
      <w:r w:rsidRPr="007721FB">
        <w:rPr>
          <w:rFonts w:ascii="Times New Roman" w:hAnsi="Times New Roman" w:cs="Times New Roman"/>
          <w:noProof/>
          <w:sz w:val="20"/>
          <w:szCs w:val="24"/>
        </w:rPr>
        <w:tab/>
        <w:t xml:space="preserve">J.B. Lin, S. Poh, A. Panitch, Controlled release of anti-inflammatory peptides from reducible thermosensitive nanoparticles suppresses cartilage inflammation., Nanomedicine. 12 (2016) </w:t>
      </w:r>
      <w:r w:rsidRPr="007721FB">
        <w:rPr>
          <w:rFonts w:ascii="Times New Roman" w:hAnsi="Times New Roman" w:cs="Times New Roman"/>
          <w:noProof/>
          <w:sz w:val="20"/>
          <w:szCs w:val="24"/>
        </w:rPr>
        <w:lastRenderedPageBreak/>
        <w:t>2095–2100. doi:10.1016/j.nano.2016.05.010.</w:t>
      </w:r>
    </w:p>
    <w:p w14:paraId="2B726B9C"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[131]</w:t>
      </w:r>
      <w:r w:rsidRPr="007721FB">
        <w:rPr>
          <w:rFonts w:ascii="Times New Roman" w:hAnsi="Times New Roman" w:cs="Times New Roman"/>
          <w:noProof/>
          <w:sz w:val="20"/>
          <w:szCs w:val="24"/>
        </w:rPr>
        <w:tab/>
        <w:t>W.A. Flavahan, E. Gaskell, B.E. Bernstein, Epigenetic plasticity and the hallmarks of cancer, Science (80-. ). 357 (2017) eaal2380.</w:t>
      </w:r>
    </w:p>
    <w:p w14:paraId="5F96F7A4"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[132]</w:t>
      </w:r>
      <w:r w:rsidRPr="007721FB">
        <w:rPr>
          <w:rFonts w:ascii="Times New Roman" w:hAnsi="Times New Roman" w:cs="Times New Roman"/>
          <w:noProof/>
          <w:sz w:val="20"/>
          <w:szCs w:val="24"/>
        </w:rPr>
        <w:tab/>
        <w:t>D. Hanahan, R.A. Weinberg, Hallmarks of cancer: the next generation, Cell. 144 (2011) 646–674.</w:t>
      </w:r>
    </w:p>
    <w:p w14:paraId="3DA742B8"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[133]</w:t>
      </w:r>
      <w:r w:rsidRPr="007721FB">
        <w:rPr>
          <w:rFonts w:ascii="Times New Roman" w:hAnsi="Times New Roman" w:cs="Times New Roman"/>
          <w:noProof/>
          <w:sz w:val="20"/>
          <w:szCs w:val="24"/>
        </w:rPr>
        <w:tab/>
        <w:t>J. Leroux, Drug Delivery: Too Much Complexity, Not Enough Reproducibility?, Angew. Chemie Int. Ed. (2017).</w:t>
      </w:r>
    </w:p>
    <w:p w14:paraId="54B75526"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[134]</w:t>
      </w:r>
      <w:r w:rsidRPr="007721FB">
        <w:rPr>
          <w:rFonts w:ascii="Times New Roman" w:hAnsi="Times New Roman" w:cs="Times New Roman"/>
          <w:noProof/>
          <w:sz w:val="20"/>
          <w:szCs w:val="24"/>
        </w:rPr>
        <w:tab/>
        <w:t>J.F. Mano, Stimuli-Responsive Polymeric Systems for Biomedical Applications, Adv. Eng. Mater. 10 (2008) 515–527. doi:10.1002/adem.200700355.</w:t>
      </w:r>
    </w:p>
    <w:p w14:paraId="184A7783"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721FB">
        <w:rPr>
          <w:rFonts w:ascii="Times New Roman" w:hAnsi="Times New Roman" w:cs="Times New Roman"/>
          <w:noProof/>
          <w:sz w:val="20"/>
          <w:szCs w:val="24"/>
        </w:rPr>
        <w:t>[135]</w:t>
      </w:r>
      <w:r w:rsidRPr="007721FB">
        <w:rPr>
          <w:rFonts w:ascii="Times New Roman" w:hAnsi="Times New Roman" w:cs="Times New Roman"/>
          <w:noProof/>
          <w:sz w:val="20"/>
          <w:szCs w:val="24"/>
        </w:rPr>
        <w:tab/>
        <w:t>A.C. Lima, C. Alvarez-Lorenzo, J.F. Mano, Design Advances in Particulate Systems for Biomedical Applications, Adv. Healthc. Mater. 5 (2016) 1687–1723. doi:10.1002/adhm.201600219.</w:t>
      </w:r>
    </w:p>
    <w:p w14:paraId="7BD794DC" w14:textId="77777777" w:rsidR="000A3B62" w:rsidRPr="007721FB" w:rsidRDefault="000A3B62" w:rsidP="000A3B62">
      <w:pPr>
        <w:widowControl w:val="0"/>
        <w:autoSpaceDE w:val="0"/>
        <w:autoSpaceDN w:val="0"/>
        <w:adjustRightInd w:val="0"/>
        <w:spacing w:after="0" w:line="240" w:lineRule="auto"/>
        <w:ind w:left="640" w:hanging="640"/>
        <w:rPr>
          <w:rFonts w:ascii="Times New Roman" w:hAnsi="Times New Roman" w:cs="Times New Roman"/>
          <w:noProof/>
          <w:sz w:val="20"/>
        </w:rPr>
      </w:pPr>
      <w:r w:rsidRPr="007721FB">
        <w:rPr>
          <w:rFonts w:ascii="Times New Roman" w:hAnsi="Times New Roman" w:cs="Times New Roman"/>
          <w:noProof/>
          <w:sz w:val="20"/>
          <w:szCs w:val="24"/>
        </w:rPr>
        <w:t>[136]</w:t>
      </w:r>
      <w:r w:rsidRPr="007721FB">
        <w:rPr>
          <w:rFonts w:ascii="Times New Roman" w:hAnsi="Times New Roman" w:cs="Times New Roman"/>
          <w:noProof/>
          <w:sz w:val="20"/>
          <w:szCs w:val="24"/>
        </w:rPr>
        <w:tab/>
        <w:t>T.J. Anchordoquy, D. Simberg, Watching the gorilla and questioning delivery dogma., J. Control. Release Off. J. Control. Release Soc. 262 (2017) 87.</w:t>
      </w:r>
    </w:p>
    <w:p w14:paraId="3D1EF206" w14:textId="77777777" w:rsidR="002A58C6" w:rsidRPr="007721FB" w:rsidRDefault="002A58C6">
      <w:pPr>
        <w:spacing w:after="0" w:line="240" w:lineRule="auto"/>
        <w:contextualSpacing/>
        <w:rPr>
          <w:rFonts w:ascii="Times New Roman" w:hAnsi="Times New Roman" w:cs="Times New Roman"/>
          <w:sz w:val="20"/>
          <w:szCs w:val="20"/>
          <w:lang w:val="en-GB"/>
        </w:rPr>
      </w:pPr>
      <w:r w:rsidRPr="007721FB">
        <w:rPr>
          <w:rFonts w:ascii="Times New Roman" w:hAnsi="Times New Roman" w:cs="Times New Roman"/>
          <w:sz w:val="20"/>
          <w:szCs w:val="20"/>
          <w:lang w:val="en-GB"/>
        </w:rPr>
        <w:fldChar w:fldCharType="end"/>
      </w:r>
    </w:p>
    <w:p w14:paraId="278A7E5A" w14:textId="77777777" w:rsidR="00E544BD" w:rsidRPr="007721FB" w:rsidRDefault="00E544BD">
      <w:pPr>
        <w:spacing w:line="240" w:lineRule="auto"/>
        <w:contextualSpacing/>
        <w:jc w:val="both"/>
        <w:rPr>
          <w:rFonts w:ascii="Times New Roman" w:hAnsi="Times New Roman" w:cs="Times New Roman"/>
          <w:sz w:val="20"/>
          <w:szCs w:val="20"/>
          <w:lang w:val="en-GB"/>
        </w:rPr>
      </w:pPr>
    </w:p>
    <w:p w14:paraId="266DC5A5" w14:textId="77777777" w:rsidR="00E544BD" w:rsidRPr="007721FB" w:rsidRDefault="00E544BD">
      <w:pPr>
        <w:spacing w:line="240" w:lineRule="auto"/>
        <w:contextualSpacing/>
        <w:jc w:val="both"/>
        <w:rPr>
          <w:rFonts w:ascii="Times New Roman" w:hAnsi="Times New Roman" w:cs="Times New Roman"/>
          <w:sz w:val="20"/>
          <w:szCs w:val="20"/>
          <w:lang w:val="en-GB"/>
        </w:rPr>
      </w:pPr>
    </w:p>
    <w:p w14:paraId="38EBB770" w14:textId="49D23FCD" w:rsidR="002A58C6" w:rsidRPr="002D187F" w:rsidRDefault="00E544BD" w:rsidP="00496BD7">
      <w:pPr>
        <w:rPr>
          <w:rFonts w:ascii="Times New Roman" w:hAnsi="Times New Roman" w:cs="Times New Roman"/>
          <w:sz w:val="20"/>
          <w:szCs w:val="20"/>
          <w:lang w:val="en-GB"/>
        </w:rPr>
      </w:pPr>
      <w:r w:rsidRPr="007721FB">
        <w:rPr>
          <w:rFonts w:ascii="Times New Roman" w:hAnsi="Times New Roman" w:cs="Times New Roman"/>
          <w:sz w:val="20"/>
          <w:szCs w:val="20"/>
          <w:lang w:val="en-GB"/>
        </w:rPr>
        <w:fldChar w:fldCharType="begin"/>
      </w:r>
      <w:r w:rsidRPr="007721FB">
        <w:rPr>
          <w:rFonts w:ascii="Times New Roman" w:hAnsi="Times New Roman" w:cs="Times New Roman"/>
          <w:sz w:val="20"/>
          <w:szCs w:val="20"/>
          <w:lang w:val="en-GB"/>
        </w:rPr>
        <w:instrText xml:space="preserve"> ADDIN EN.REFLIST </w:instrText>
      </w:r>
      <w:r w:rsidRPr="007721FB">
        <w:rPr>
          <w:rFonts w:ascii="Times New Roman" w:hAnsi="Times New Roman" w:cs="Times New Roman"/>
          <w:sz w:val="20"/>
          <w:szCs w:val="20"/>
          <w:lang w:val="en-GB"/>
        </w:rPr>
        <w:fldChar w:fldCharType="end"/>
      </w:r>
    </w:p>
    <w:sectPr w:rsidR="002A58C6" w:rsidRPr="002D187F" w:rsidSect="00DE062F">
      <w:footerReference w:type="default" r:id="rId17"/>
      <w:pgSz w:w="11906" w:h="16838"/>
      <w:pgMar w:top="1417" w:right="1701" w:bottom="1417"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C6F179" w14:textId="77777777" w:rsidR="006F5381" w:rsidRDefault="006F5381" w:rsidP="00724A70">
      <w:pPr>
        <w:spacing w:after="0" w:line="240" w:lineRule="auto"/>
      </w:pPr>
      <w:r>
        <w:separator/>
      </w:r>
    </w:p>
  </w:endnote>
  <w:endnote w:type="continuationSeparator" w:id="0">
    <w:p w14:paraId="18281349" w14:textId="77777777" w:rsidR="006F5381" w:rsidRDefault="006F5381" w:rsidP="00724A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2097384"/>
      <w:docPartObj>
        <w:docPartGallery w:val="Page Numbers (Bottom of Page)"/>
        <w:docPartUnique/>
      </w:docPartObj>
    </w:sdtPr>
    <w:sdtEndPr/>
    <w:sdtContent>
      <w:p w14:paraId="14F4CE12" w14:textId="20146EB7" w:rsidR="00415CCF" w:rsidRDefault="00415CCF">
        <w:pPr>
          <w:pStyle w:val="Rodap"/>
          <w:jc w:val="right"/>
        </w:pPr>
        <w:r>
          <w:fldChar w:fldCharType="begin"/>
        </w:r>
        <w:r w:rsidRPr="003F1E46">
          <w:instrText>PAGE   \* MERGEFORMAT</w:instrText>
        </w:r>
        <w:r>
          <w:fldChar w:fldCharType="separate"/>
        </w:r>
        <w:r w:rsidR="001904A9" w:rsidRPr="001904A9">
          <w:rPr>
            <w:noProof/>
            <w:lang w:val="pt-PT"/>
          </w:rPr>
          <w:t>26</w:t>
        </w:r>
        <w:r>
          <w:fldChar w:fldCharType="end"/>
        </w:r>
      </w:p>
    </w:sdtContent>
  </w:sdt>
  <w:p w14:paraId="0E924396" w14:textId="77777777" w:rsidR="00415CCF" w:rsidRDefault="00415CC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842089" w14:textId="77777777" w:rsidR="006F5381" w:rsidRDefault="006F5381" w:rsidP="00724A70">
      <w:pPr>
        <w:spacing w:after="0" w:line="240" w:lineRule="auto"/>
      </w:pPr>
      <w:r>
        <w:separator/>
      </w:r>
    </w:p>
  </w:footnote>
  <w:footnote w:type="continuationSeparator" w:id="0">
    <w:p w14:paraId="3491321E" w14:textId="77777777" w:rsidR="006F5381" w:rsidRDefault="006F5381" w:rsidP="00724A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A323C"/>
    <w:multiLevelType w:val="hybridMultilevel"/>
    <w:tmpl w:val="B45EFE6A"/>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08CC232F"/>
    <w:multiLevelType w:val="hybridMultilevel"/>
    <w:tmpl w:val="8E386162"/>
    <w:lvl w:ilvl="0" w:tplc="0816000F">
      <w:start w:val="1"/>
      <w:numFmt w:val="decimal"/>
      <w:lvlText w:val="%1."/>
      <w:lvlJc w:val="left"/>
      <w:pPr>
        <w:ind w:left="1776" w:hanging="360"/>
      </w:pPr>
    </w:lvl>
    <w:lvl w:ilvl="1" w:tplc="08160019" w:tentative="1">
      <w:start w:val="1"/>
      <w:numFmt w:val="lowerLetter"/>
      <w:lvlText w:val="%2."/>
      <w:lvlJc w:val="left"/>
      <w:pPr>
        <w:ind w:left="2496" w:hanging="360"/>
      </w:pPr>
    </w:lvl>
    <w:lvl w:ilvl="2" w:tplc="0816001B" w:tentative="1">
      <w:start w:val="1"/>
      <w:numFmt w:val="lowerRoman"/>
      <w:lvlText w:val="%3."/>
      <w:lvlJc w:val="right"/>
      <w:pPr>
        <w:ind w:left="3216" w:hanging="180"/>
      </w:pPr>
    </w:lvl>
    <w:lvl w:ilvl="3" w:tplc="0816000F" w:tentative="1">
      <w:start w:val="1"/>
      <w:numFmt w:val="decimal"/>
      <w:lvlText w:val="%4."/>
      <w:lvlJc w:val="left"/>
      <w:pPr>
        <w:ind w:left="3936" w:hanging="360"/>
      </w:pPr>
    </w:lvl>
    <w:lvl w:ilvl="4" w:tplc="08160019" w:tentative="1">
      <w:start w:val="1"/>
      <w:numFmt w:val="lowerLetter"/>
      <w:lvlText w:val="%5."/>
      <w:lvlJc w:val="left"/>
      <w:pPr>
        <w:ind w:left="4656" w:hanging="360"/>
      </w:pPr>
    </w:lvl>
    <w:lvl w:ilvl="5" w:tplc="0816001B" w:tentative="1">
      <w:start w:val="1"/>
      <w:numFmt w:val="lowerRoman"/>
      <w:lvlText w:val="%6."/>
      <w:lvlJc w:val="right"/>
      <w:pPr>
        <w:ind w:left="5376" w:hanging="180"/>
      </w:pPr>
    </w:lvl>
    <w:lvl w:ilvl="6" w:tplc="0816000F" w:tentative="1">
      <w:start w:val="1"/>
      <w:numFmt w:val="decimal"/>
      <w:lvlText w:val="%7."/>
      <w:lvlJc w:val="left"/>
      <w:pPr>
        <w:ind w:left="6096" w:hanging="360"/>
      </w:pPr>
    </w:lvl>
    <w:lvl w:ilvl="7" w:tplc="08160019" w:tentative="1">
      <w:start w:val="1"/>
      <w:numFmt w:val="lowerLetter"/>
      <w:lvlText w:val="%8."/>
      <w:lvlJc w:val="left"/>
      <w:pPr>
        <w:ind w:left="6816" w:hanging="360"/>
      </w:pPr>
    </w:lvl>
    <w:lvl w:ilvl="8" w:tplc="0816001B" w:tentative="1">
      <w:start w:val="1"/>
      <w:numFmt w:val="lowerRoman"/>
      <w:lvlText w:val="%9."/>
      <w:lvlJc w:val="right"/>
      <w:pPr>
        <w:ind w:left="7536" w:hanging="180"/>
      </w:pPr>
    </w:lvl>
  </w:abstractNum>
  <w:abstractNum w:abstractNumId="2" w15:restartNumberingAfterBreak="0">
    <w:nsid w:val="0C4B3D72"/>
    <w:multiLevelType w:val="hybridMultilevel"/>
    <w:tmpl w:val="1838901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0CA138B9"/>
    <w:multiLevelType w:val="hybridMultilevel"/>
    <w:tmpl w:val="FCA87F4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1E561158"/>
    <w:multiLevelType w:val="hybridMultilevel"/>
    <w:tmpl w:val="07663032"/>
    <w:lvl w:ilvl="0" w:tplc="0816000F">
      <w:start w:val="1"/>
      <w:numFmt w:val="decimal"/>
      <w:lvlText w:val="%1."/>
      <w:lvlJc w:val="left"/>
      <w:pPr>
        <w:ind w:left="1776" w:hanging="360"/>
      </w:pPr>
    </w:lvl>
    <w:lvl w:ilvl="1" w:tplc="08160019" w:tentative="1">
      <w:start w:val="1"/>
      <w:numFmt w:val="lowerLetter"/>
      <w:lvlText w:val="%2."/>
      <w:lvlJc w:val="left"/>
      <w:pPr>
        <w:ind w:left="2496" w:hanging="360"/>
      </w:pPr>
    </w:lvl>
    <w:lvl w:ilvl="2" w:tplc="0816001B" w:tentative="1">
      <w:start w:val="1"/>
      <w:numFmt w:val="lowerRoman"/>
      <w:lvlText w:val="%3."/>
      <w:lvlJc w:val="right"/>
      <w:pPr>
        <w:ind w:left="3216" w:hanging="180"/>
      </w:pPr>
    </w:lvl>
    <w:lvl w:ilvl="3" w:tplc="0816000F" w:tentative="1">
      <w:start w:val="1"/>
      <w:numFmt w:val="decimal"/>
      <w:lvlText w:val="%4."/>
      <w:lvlJc w:val="left"/>
      <w:pPr>
        <w:ind w:left="3936" w:hanging="360"/>
      </w:pPr>
    </w:lvl>
    <w:lvl w:ilvl="4" w:tplc="08160019" w:tentative="1">
      <w:start w:val="1"/>
      <w:numFmt w:val="lowerLetter"/>
      <w:lvlText w:val="%5."/>
      <w:lvlJc w:val="left"/>
      <w:pPr>
        <w:ind w:left="4656" w:hanging="360"/>
      </w:pPr>
    </w:lvl>
    <w:lvl w:ilvl="5" w:tplc="0816001B" w:tentative="1">
      <w:start w:val="1"/>
      <w:numFmt w:val="lowerRoman"/>
      <w:lvlText w:val="%6."/>
      <w:lvlJc w:val="right"/>
      <w:pPr>
        <w:ind w:left="5376" w:hanging="180"/>
      </w:pPr>
    </w:lvl>
    <w:lvl w:ilvl="6" w:tplc="0816000F" w:tentative="1">
      <w:start w:val="1"/>
      <w:numFmt w:val="decimal"/>
      <w:lvlText w:val="%7."/>
      <w:lvlJc w:val="left"/>
      <w:pPr>
        <w:ind w:left="6096" w:hanging="360"/>
      </w:pPr>
    </w:lvl>
    <w:lvl w:ilvl="7" w:tplc="08160019" w:tentative="1">
      <w:start w:val="1"/>
      <w:numFmt w:val="lowerLetter"/>
      <w:lvlText w:val="%8."/>
      <w:lvlJc w:val="left"/>
      <w:pPr>
        <w:ind w:left="6816" w:hanging="360"/>
      </w:pPr>
    </w:lvl>
    <w:lvl w:ilvl="8" w:tplc="0816001B" w:tentative="1">
      <w:start w:val="1"/>
      <w:numFmt w:val="lowerRoman"/>
      <w:lvlText w:val="%9."/>
      <w:lvlJc w:val="right"/>
      <w:pPr>
        <w:ind w:left="7536" w:hanging="180"/>
      </w:pPr>
    </w:lvl>
  </w:abstractNum>
  <w:abstractNum w:abstractNumId="5" w15:restartNumberingAfterBreak="0">
    <w:nsid w:val="22F83CD9"/>
    <w:multiLevelType w:val="hybridMultilevel"/>
    <w:tmpl w:val="D95C5B12"/>
    <w:lvl w:ilvl="0" w:tplc="FADA3176">
      <w:numFmt w:val="bullet"/>
      <w:lvlText w:val=""/>
      <w:lvlJc w:val="left"/>
      <w:pPr>
        <w:ind w:left="720" w:hanging="360"/>
      </w:pPr>
      <w:rPr>
        <w:rFonts w:ascii="Wingdings" w:eastAsiaTheme="minorHAnsi" w:hAnsi="Wingdings"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15:restartNumberingAfterBreak="0">
    <w:nsid w:val="28230CE9"/>
    <w:multiLevelType w:val="hybridMultilevel"/>
    <w:tmpl w:val="EC94A146"/>
    <w:lvl w:ilvl="0" w:tplc="B394C102">
      <w:numFmt w:val="bullet"/>
      <w:lvlText w:val=""/>
      <w:lvlJc w:val="left"/>
      <w:pPr>
        <w:ind w:left="420" w:hanging="360"/>
      </w:pPr>
      <w:rPr>
        <w:rFonts w:ascii="Wingdings" w:eastAsiaTheme="minorHAnsi" w:hAnsi="Wingdings" w:cs="Arial" w:hint="default"/>
        <w:color w:val="333333"/>
      </w:rPr>
    </w:lvl>
    <w:lvl w:ilvl="1" w:tplc="08160003" w:tentative="1">
      <w:start w:val="1"/>
      <w:numFmt w:val="bullet"/>
      <w:lvlText w:val="o"/>
      <w:lvlJc w:val="left"/>
      <w:pPr>
        <w:ind w:left="1140" w:hanging="360"/>
      </w:pPr>
      <w:rPr>
        <w:rFonts w:ascii="Courier New" w:hAnsi="Courier New" w:cs="Courier New" w:hint="default"/>
      </w:rPr>
    </w:lvl>
    <w:lvl w:ilvl="2" w:tplc="08160005" w:tentative="1">
      <w:start w:val="1"/>
      <w:numFmt w:val="bullet"/>
      <w:lvlText w:val=""/>
      <w:lvlJc w:val="left"/>
      <w:pPr>
        <w:ind w:left="1860" w:hanging="360"/>
      </w:pPr>
      <w:rPr>
        <w:rFonts w:ascii="Wingdings" w:hAnsi="Wingdings" w:hint="default"/>
      </w:rPr>
    </w:lvl>
    <w:lvl w:ilvl="3" w:tplc="08160001" w:tentative="1">
      <w:start w:val="1"/>
      <w:numFmt w:val="bullet"/>
      <w:lvlText w:val=""/>
      <w:lvlJc w:val="left"/>
      <w:pPr>
        <w:ind w:left="2580" w:hanging="360"/>
      </w:pPr>
      <w:rPr>
        <w:rFonts w:ascii="Symbol" w:hAnsi="Symbol" w:hint="default"/>
      </w:rPr>
    </w:lvl>
    <w:lvl w:ilvl="4" w:tplc="08160003" w:tentative="1">
      <w:start w:val="1"/>
      <w:numFmt w:val="bullet"/>
      <w:lvlText w:val="o"/>
      <w:lvlJc w:val="left"/>
      <w:pPr>
        <w:ind w:left="3300" w:hanging="360"/>
      </w:pPr>
      <w:rPr>
        <w:rFonts w:ascii="Courier New" w:hAnsi="Courier New" w:cs="Courier New" w:hint="default"/>
      </w:rPr>
    </w:lvl>
    <w:lvl w:ilvl="5" w:tplc="08160005" w:tentative="1">
      <w:start w:val="1"/>
      <w:numFmt w:val="bullet"/>
      <w:lvlText w:val=""/>
      <w:lvlJc w:val="left"/>
      <w:pPr>
        <w:ind w:left="4020" w:hanging="360"/>
      </w:pPr>
      <w:rPr>
        <w:rFonts w:ascii="Wingdings" w:hAnsi="Wingdings" w:hint="default"/>
      </w:rPr>
    </w:lvl>
    <w:lvl w:ilvl="6" w:tplc="08160001" w:tentative="1">
      <w:start w:val="1"/>
      <w:numFmt w:val="bullet"/>
      <w:lvlText w:val=""/>
      <w:lvlJc w:val="left"/>
      <w:pPr>
        <w:ind w:left="4740" w:hanging="360"/>
      </w:pPr>
      <w:rPr>
        <w:rFonts w:ascii="Symbol" w:hAnsi="Symbol" w:hint="default"/>
      </w:rPr>
    </w:lvl>
    <w:lvl w:ilvl="7" w:tplc="08160003" w:tentative="1">
      <w:start w:val="1"/>
      <w:numFmt w:val="bullet"/>
      <w:lvlText w:val="o"/>
      <w:lvlJc w:val="left"/>
      <w:pPr>
        <w:ind w:left="5460" w:hanging="360"/>
      </w:pPr>
      <w:rPr>
        <w:rFonts w:ascii="Courier New" w:hAnsi="Courier New" w:cs="Courier New" w:hint="default"/>
      </w:rPr>
    </w:lvl>
    <w:lvl w:ilvl="8" w:tplc="08160005" w:tentative="1">
      <w:start w:val="1"/>
      <w:numFmt w:val="bullet"/>
      <w:lvlText w:val=""/>
      <w:lvlJc w:val="left"/>
      <w:pPr>
        <w:ind w:left="6180" w:hanging="360"/>
      </w:pPr>
      <w:rPr>
        <w:rFonts w:ascii="Wingdings" w:hAnsi="Wingdings" w:hint="default"/>
      </w:rPr>
    </w:lvl>
  </w:abstractNum>
  <w:abstractNum w:abstractNumId="7" w15:restartNumberingAfterBreak="0">
    <w:nsid w:val="346B1F7D"/>
    <w:multiLevelType w:val="hybridMultilevel"/>
    <w:tmpl w:val="D800FFE4"/>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15:restartNumberingAfterBreak="0">
    <w:nsid w:val="3E0740C6"/>
    <w:multiLevelType w:val="hybridMultilevel"/>
    <w:tmpl w:val="4E8807CA"/>
    <w:lvl w:ilvl="0" w:tplc="0816000F">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441C30DE"/>
    <w:multiLevelType w:val="hybridMultilevel"/>
    <w:tmpl w:val="0A6C4D56"/>
    <w:lvl w:ilvl="0" w:tplc="AC12DD64">
      <w:start w:val="1"/>
      <w:numFmt w:val="bullet"/>
      <w:lvlText w:val="-"/>
      <w:lvlJc w:val="left"/>
      <w:pPr>
        <w:ind w:left="720" w:hanging="360"/>
      </w:pPr>
      <w:rPr>
        <w:rFonts w:ascii="Calibri" w:eastAsiaTheme="minorHAnsi" w:hAnsi="Calibri" w:cs="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15:restartNumberingAfterBreak="0">
    <w:nsid w:val="5BEB0900"/>
    <w:multiLevelType w:val="hybridMultilevel"/>
    <w:tmpl w:val="FA0889A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15:restartNumberingAfterBreak="0">
    <w:nsid w:val="6CDD1ADA"/>
    <w:multiLevelType w:val="hybridMultilevel"/>
    <w:tmpl w:val="F322E07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4"/>
  </w:num>
  <w:num w:numId="4">
    <w:abstractNumId w:val="11"/>
  </w:num>
  <w:num w:numId="5">
    <w:abstractNumId w:val="1"/>
  </w:num>
  <w:num w:numId="6">
    <w:abstractNumId w:val="7"/>
  </w:num>
  <w:num w:numId="7">
    <w:abstractNumId w:val="0"/>
  </w:num>
  <w:num w:numId="8">
    <w:abstractNumId w:val="8"/>
  </w:num>
  <w:num w:numId="9">
    <w:abstractNumId w:val="6"/>
  </w:num>
  <w:num w:numId="10">
    <w:abstractNumId w:val="5"/>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PT" w:vendorID="64" w:dllVersion="0" w:nlCheck="1" w:checkStyle="0"/>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J Controlled Releas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r25sartq92ve3e0e0q5r50hde0r5fwdwptt&quot;&gt;My EndNote Library&lt;record-ids&gt;&lt;item&gt;3124&lt;/item&gt;&lt;item&gt;3125&lt;/item&gt;&lt;item&gt;3126&lt;/item&gt;&lt;item&gt;3127&lt;/item&gt;&lt;item&gt;3128&lt;/item&gt;&lt;/record-ids&gt;&lt;/item&gt;&lt;/Libraries&gt;"/>
  </w:docVars>
  <w:rsids>
    <w:rsidRoot w:val="00CB54C7"/>
    <w:rsid w:val="0000109A"/>
    <w:rsid w:val="00001550"/>
    <w:rsid w:val="00001E85"/>
    <w:rsid w:val="00002FC5"/>
    <w:rsid w:val="0000334B"/>
    <w:rsid w:val="00003507"/>
    <w:rsid w:val="000038F6"/>
    <w:rsid w:val="00003B56"/>
    <w:rsid w:val="00004311"/>
    <w:rsid w:val="00004DCC"/>
    <w:rsid w:val="0000591F"/>
    <w:rsid w:val="00006CA3"/>
    <w:rsid w:val="00010163"/>
    <w:rsid w:val="0001049B"/>
    <w:rsid w:val="000106AC"/>
    <w:rsid w:val="0001175E"/>
    <w:rsid w:val="00013F65"/>
    <w:rsid w:val="000146E2"/>
    <w:rsid w:val="0001535F"/>
    <w:rsid w:val="000153A6"/>
    <w:rsid w:val="00015B3F"/>
    <w:rsid w:val="00016FA2"/>
    <w:rsid w:val="000170D1"/>
    <w:rsid w:val="0001732B"/>
    <w:rsid w:val="0002027B"/>
    <w:rsid w:val="00020D00"/>
    <w:rsid w:val="00021295"/>
    <w:rsid w:val="00021727"/>
    <w:rsid w:val="000217CF"/>
    <w:rsid w:val="00021983"/>
    <w:rsid w:val="00021ECE"/>
    <w:rsid w:val="00021FF5"/>
    <w:rsid w:val="00022292"/>
    <w:rsid w:val="000229D6"/>
    <w:rsid w:val="000246FE"/>
    <w:rsid w:val="0002529D"/>
    <w:rsid w:val="00027098"/>
    <w:rsid w:val="00027953"/>
    <w:rsid w:val="00030565"/>
    <w:rsid w:val="00031C47"/>
    <w:rsid w:val="00031E5B"/>
    <w:rsid w:val="000320AD"/>
    <w:rsid w:val="00032635"/>
    <w:rsid w:val="00032807"/>
    <w:rsid w:val="00032B21"/>
    <w:rsid w:val="00032D2F"/>
    <w:rsid w:val="00033180"/>
    <w:rsid w:val="00033AE8"/>
    <w:rsid w:val="00034475"/>
    <w:rsid w:val="00034803"/>
    <w:rsid w:val="00035A78"/>
    <w:rsid w:val="00035DCD"/>
    <w:rsid w:val="00036188"/>
    <w:rsid w:val="00036265"/>
    <w:rsid w:val="00036919"/>
    <w:rsid w:val="0003785D"/>
    <w:rsid w:val="00037E8A"/>
    <w:rsid w:val="00037F91"/>
    <w:rsid w:val="0004148E"/>
    <w:rsid w:val="00041554"/>
    <w:rsid w:val="0004288D"/>
    <w:rsid w:val="00043067"/>
    <w:rsid w:val="000436E3"/>
    <w:rsid w:val="00043723"/>
    <w:rsid w:val="00043B1F"/>
    <w:rsid w:val="00044AED"/>
    <w:rsid w:val="00044C0E"/>
    <w:rsid w:val="00044F33"/>
    <w:rsid w:val="00044F51"/>
    <w:rsid w:val="00045285"/>
    <w:rsid w:val="000461A8"/>
    <w:rsid w:val="00046747"/>
    <w:rsid w:val="0004704F"/>
    <w:rsid w:val="00047EB3"/>
    <w:rsid w:val="00050AC7"/>
    <w:rsid w:val="000541F1"/>
    <w:rsid w:val="0005457F"/>
    <w:rsid w:val="00054A75"/>
    <w:rsid w:val="000551B8"/>
    <w:rsid w:val="0006054B"/>
    <w:rsid w:val="0006079F"/>
    <w:rsid w:val="0006236F"/>
    <w:rsid w:val="000628B8"/>
    <w:rsid w:val="000636CF"/>
    <w:rsid w:val="000636DB"/>
    <w:rsid w:val="000671FB"/>
    <w:rsid w:val="000672CD"/>
    <w:rsid w:val="0006784C"/>
    <w:rsid w:val="00070D81"/>
    <w:rsid w:val="00071353"/>
    <w:rsid w:val="00071C51"/>
    <w:rsid w:val="00072F32"/>
    <w:rsid w:val="0007314E"/>
    <w:rsid w:val="0007328E"/>
    <w:rsid w:val="00073C7F"/>
    <w:rsid w:val="0007467C"/>
    <w:rsid w:val="000760CD"/>
    <w:rsid w:val="00076ABB"/>
    <w:rsid w:val="00076E88"/>
    <w:rsid w:val="000771D0"/>
    <w:rsid w:val="000771D4"/>
    <w:rsid w:val="00077819"/>
    <w:rsid w:val="00077A33"/>
    <w:rsid w:val="00080339"/>
    <w:rsid w:val="0008039A"/>
    <w:rsid w:val="00081509"/>
    <w:rsid w:val="00081D43"/>
    <w:rsid w:val="00081F55"/>
    <w:rsid w:val="00082467"/>
    <w:rsid w:val="00082C1B"/>
    <w:rsid w:val="00082D98"/>
    <w:rsid w:val="0008384D"/>
    <w:rsid w:val="00083957"/>
    <w:rsid w:val="000851E7"/>
    <w:rsid w:val="000856BB"/>
    <w:rsid w:val="00086A02"/>
    <w:rsid w:val="00086E1D"/>
    <w:rsid w:val="00086E8C"/>
    <w:rsid w:val="00087625"/>
    <w:rsid w:val="00087701"/>
    <w:rsid w:val="00087A20"/>
    <w:rsid w:val="00087AD0"/>
    <w:rsid w:val="00090238"/>
    <w:rsid w:val="00090D3A"/>
    <w:rsid w:val="00091FB6"/>
    <w:rsid w:val="00092150"/>
    <w:rsid w:val="00093C8C"/>
    <w:rsid w:val="00094E80"/>
    <w:rsid w:val="00096257"/>
    <w:rsid w:val="00096A03"/>
    <w:rsid w:val="000A0331"/>
    <w:rsid w:val="000A041F"/>
    <w:rsid w:val="000A07EE"/>
    <w:rsid w:val="000A0EB4"/>
    <w:rsid w:val="000A126C"/>
    <w:rsid w:val="000A2085"/>
    <w:rsid w:val="000A26CF"/>
    <w:rsid w:val="000A2B4D"/>
    <w:rsid w:val="000A2B75"/>
    <w:rsid w:val="000A3B62"/>
    <w:rsid w:val="000A4850"/>
    <w:rsid w:val="000A50A6"/>
    <w:rsid w:val="000A5164"/>
    <w:rsid w:val="000A5C7D"/>
    <w:rsid w:val="000A6D68"/>
    <w:rsid w:val="000A74D1"/>
    <w:rsid w:val="000A7DBE"/>
    <w:rsid w:val="000A7DD8"/>
    <w:rsid w:val="000B0C73"/>
    <w:rsid w:val="000B0EAC"/>
    <w:rsid w:val="000B1520"/>
    <w:rsid w:val="000B1D10"/>
    <w:rsid w:val="000B1DB0"/>
    <w:rsid w:val="000B210A"/>
    <w:rsid w:val="000B2694"/>
    <w:rsid w:val="000B2822"/>
    <w:rsid w:val="000B2862"/>
    <w:rsid w:val="000B2C7B"/>
    <w:rsid w:val="000B3212"/>
    <w:rsid w:val="000B3344"/>
    <w:rsid w:val="000B3962"/>
    <w:rsid w:val="000B3D5F"/>
    <w:rsid w:val="000B3ECE"/>
    <w:rsid w:val="000B55A7"/>
    <w:rsid w:val="000B5A94"/>
    <w:rsid w:val="000B6324"/>
    <w:rsid w:val="000B6685"/>
    <w:rsid w:val="000B6705"/>
    <w:rsid w:val="000B6842"/>
    <w:rsid w:val="000B6B5A"/>
    <w:rsid w:val="000B75CA"/>
    <w:rsid w:val="000B7FF2"/>
    <w:rsid w:val="000C007E"/>
    <w:rsid w:val="000C08C8"/>
    <w:rsid w:val="000C0F0C"/>
    <w:rsid w:val="000C16A6"/>
    <w:rsid w:val="000C1BA2"/>
    <w:rsid w:val="000C2821"/>
    <w:rsid w:val="000C2912"/>
    <w:rsid w:val="000C3EF4"/>
    <w:rsid w:val="000C4B8E"/>
    <w:rsid w:val="000C4C3B"/>
    <w:rsid w:val="000C4EB0"/>
    <w:rsid w:val="000C5A52"/>
    <w:rsid w:val="000C6579"/>
    <w:rsid w:val="000C6D5D"/>
    <w:rsid w:val="000C6E08"/>
    <w:rsid w:val="000C6F19"/>
    <w:rsid w:val="000D06D3"/>
    <w:rsid w:val="000D0FE5"/>
    <w:rsid w:val="000D114C"/>
    <w:rsid w:val="000D1183"/>
    <w:rsid w:val="000D170A"/>
    <w:rsid w:val="000D27A8"/>
    <w:rsid w:val="000D32CF"/>
    <w:rsid w:val="000D3668"/>
    <w:rsid w:val="000D48B8"/>
    <w:rsid w:val="000D50B7"/>
    <w:rsid w:val="000D54F9"/>
    <w:rsid w:val="000D6B6A"/>
    <w:rsid w:val="000D7E2A"/>
    <w:rsid w:val="000E01F7"/>
    <w:rsid w:val="000E03E9"/>
    <w:rsid w:val="000E06F7"/>
    <w:rsid w:val="000E0C86"/>
    <w:rsid w:val="000E207E"/>
    <w:rsid w:val="000E28BE"/>
    <w:rsid w:val="000E38F5"/>
    <w:rsid w:val="000E4DE6"/>
    <w:rsid w:val="000E513B"/>
    <w:rsid w:val="000E5231"/>
    <w:rsid w:val="000E5941"/>
    <w:rsid w:val="000E5BD5"/>
    <w:rsid w:val="000E5C21"/>
    <w:rsid w:val="000E6598"/>
    <w:rsid w:val="000E6B99"/>
    <w:rsid w:val="000E70D5"/>
    <w:rsid w:val="000F0343"/>
    <w:rsid w:val="000F0C55"/>
    <w:rsid w:val="000F0DFD"/>
    <w:rsid w:val="000F0F6D"/>
    <w:rsid w:val="000F0FF4"/>
    <w:rsid w:val="000F1814"/>
    <w:rsid w:val="000F1E77"/>
    <w:rsid w:val="000F2252"/>
    <w:rsid w:val="000F325A"/>
    <w:rsid w:val="000F3EA3"/>
    <w:rsid w:val="000F3EFB"/>
    <w:rsid w:val="000F3FB2"/>
    <w:rsid w:val="000F43DA"/>
    <w:rsid w:val="000F441E"/>
    <w:rsid w:val="000F5FC2"/>
    <w:rsid w:val="000F61B1"/>
    <w:rsid w:val="000F628D"/>
    <w:rsid w:val="000F6BAC"/>
    <w:rsid w:val="00101084"/>
    <w:rsid w:val="001018D9"/>
    <w:rsid w:val="00101A84"/>
    <w:rsid w:val="00102530"/>
    <w:rsid w:val="00102C85"/>
    <w:rsid w:val="001034A5"/>
    <w:rsid w:val="00103BAB"/>
    <w:rsid w:val="0010483F"/>
    <w:rsid w:val="00106860"/>
    <w:rsid w:val="001076FD"/>
    <w:rsid w:val="001078BC"/>
    <w:rsid w:val="00107CAD"/>
    <w:rsid w:val="00107D63"/>
    <w:rsid w:val="00107DB8"/>
    <w:rsid w:val="001104DD"/>
    <w:rsid w:val="001108EF"/>
    <w:rsid w:val="0011134D"/>
    <w:rsid w:val="0011178D"/>
    <w:rsid w:val="001119BB"/>
    <w:rsid w:val="00111B7C"/>
    <w:rsid w:val="001122CD"/>
    <w:rsid w:val="001124C5"/>
    <w:rsid w:val="001129DA"/>
    <w:rsid w:val="00112FCA"/>
    <w:rsid w:val="00114CA2"/>
    <w:rsid w:val="00116C2D"/>
    <w:rsid w:val="0011770B"/>
    <w:rsid w:val="00120E9A"/>
    <w:rsid w:val="0012136A"/>
    <w:rsid w:val="00121A5F"/>
    <w:rsid w:val="00121C9D"/>
    <w:rsid w:val="0012212B"/>
    <w:rsid w:val="00122A9F"/>
    <w:rsid w:val="00123DA4"/>
    <w:rsid w:val="0012467A"/>
    <w:rsid w:val="0012485A"/>
    <w:rsid w:val="00124973"/>
    <w:rsid w:val="00125026"/>
    <w:rsid w:val="0012556B"/>
    <w:rsid w:val="001260A4"/>
    <w:rsid w:val="001270CB"/>
    <w:rsid w:val="001278DE"/>
    <w:rsid w:val="00127A5C"/>
    <w:rsid w:val="00127F9B"/>
    <w:rsid w:val="001305A2"/>
    <w:rsid w:val="00130686"/>
    <w:rsid w:val="00131198"/>
    <w:rsid w:val="00131D67"/>
    <w:rsid w:val="00131DB6"/>
    <w:rsid w:val="00131DD1"/>
    <w:rsid w:val="00133928"/>
    <w:rsid w:val="001340D9"/>
    <w:rsid w:val="001341FB"/>
    <w:rsid w:val="001349E5"/>
    <w:rsid w:val="00135076"/>
    <w:rsid w:val="00135B08"/>
    <w:rsid w:val="00135E7C"/>
    <w:rsid w:val="0013601B"/>
    <w:rsid w:val="001379C5"/>
    <w:rsid w:val="00140A27"/>
    <w:rsid w:val="001418FB"/>
    <w:rsid w:val="00141A03"/>
    <w:rsid w:val="001427FF"/>
    <w:rsid w:val="00142933"/>
    <w:rsid w:val="00142B10"/>
    <w:rsid w:val="00142B68"/>
    <w:rsid w:val="00143B87"/>
    <w:rsid w:val="001448FB"/>
    <w:rsid w:val="00145D9F"/>
    <w:rsid w:val="00145EB6"/>
    <w:rsid w:val="001466FB"/>
    <w:rsid w:val="0014684B"/>
    <w:rsid w:val="00146B4B"/>
    <w:rsid w:val="00146B7B"/>
    <w:rsid w:val="0014712A"/>
    <w:rsid w:val="00147511"/>
    <w:rsid w:val="001476CC"/>
    <w:rsid w:val="001500C1"/>
    <w:rsid w:val="0015053C"/>
    <w:rsid w:val="00150EC3"/>
    <w:rsid w:val="001528A7"/>
    <w:rsid w:val="00152F58"/>
    <w:rsid w:val="00152FA3"/>
    <w:rsid w:val="00152FDC"/>
    <w:rsid w:val="0015418F"/>
    <w:rsid w:val="00154969"/>
    <w:rsid w:val="0015601A"/>
    <w:rsid w:val="0015602E"/>
    <w:rsid w:val="00160005"/>
    <w:rsid w:val="0016022F"/>
    <w:rsid w:val="001609BA"/>
    <w:rsid w:val="00160B5D"/>
    <w:rsid w:val="00160CC2"/>
    <w:rsid w:val="00161F8B"/>
    <w:rsid w:val="00162477"/>
    <w:rsid w:val="00162F80"/>
    <w:rsid w:val="00163C07"/>
    <w:rsid w:val="00163D62"/>
    <w:rsid w:val="00163EEE"/>
    <w:rsid w:val="00164087"/>
    <w:rsid w:val="00164D36"/>
    <w:rsid w:val="0016513B"/>
    <w:rsid w:val="00166041"/>
    <w:rsid w:val="001660E0"/>
    <w:rsid w:val="0016619E"/>
    <w:rsid w:val="001664E9"/>
    <w:rsid w:val="00167A20"/>
    <w:rsid w:val="001701A0"/>
    <w:rsid w:val="001702EE"/>
    <w:rsid w:val="0017087C"/>
    <w:rsid w:val="00170D30"/>
    <w:rsid w:val="00170F05"/>
    <w:rsid w:val="001714A8"/>
    <w:rsid w:val="001717C2"/>
    <w:rsid w:val="00171F22"/>
    <w:rsid w:val="00172205"/>
    <w:rsid w:val="001727AC"/>
    <w:rsid w:val="00172B5B"/>
    <w:rsid w:val="0017307D"/>
    <w:rsid w:val="0017334D"/>
    <w:rsid w:val="0017514D"/>
    <w:rsid w:val="00175BA9"/>
    <w:rsid w:val="00176D38"/>
    <w:rsid w:val="00180450"/>
    <w:rsid w:val="00181B52"/>
    <w:rsid w:val="001838DD"/>
    <w:rsid w:val="00183A80"/>
    <w:rsid w:val="00183E96"/>
    <w:rsid w:val="00184988"/>
    <w:rsid w:val="00185328"/>
    <w:rsid w:val="00185579"/>
    <w:rsid w:val="00185658"/>
    <w:rsid w:val="00185FA5"/>
    <w:rsid w:val="00186724"/>
    <w:rsid w:val="001871D7"/>
    <w:rsid w:val="001878A7"/>
    <w:rsid w:val="001904A9"/>
    <w:rsid w:val="001905FB"/>
    <w:rsid w:val="00190ED7"/>
    <w:rsid w:val="00191712"/>
    <w:rsid w:val="00191740"/>
    <w:rsid w:val="00192D87"/>
    <w:rsid w:val="0019360A"/>
    <w:rsid w:val="00193A0F"/>
    <w:rsid w:val="00193EF3"/>
    <w:rsid w:val="00194EE7"/>
    <w:rsid w:val="00196607"/>
    <w:rsid w:val="00197BFF"/>
    <w:rsid w:val="001A05BD"/>
    <w:rsid w:val="001A2820"/>
    <w:rsid w:val="001A2C18"/>
    <w:rsid w:val="001A2EA8"/>
    <w:rsid w:val="001A4AD6"/>
    <w:rsid w:val="001A5053"/>
    <w:rsid w:val="001A50D1"/>
    <w:rsid w:val="001A53AF"/>
    <w:rsid w:val="001A5531"/>
    <w:rsid w:val="001A5CBA"/>
    <w:rsid w:val="001A6828"/>
    <w:rsid w:val="001A7215"/>
    <w:rsid w:val="001B0145"/>
    <w:rsid w:val="001B064F"/>
    <w:rsid w:val="001B35D8"/>
    <w:rsid w:val="001B3651"/>
    <w:rsid w:val="001B3E6F"/>
    <w:rsid w:val="001B3FBE"/>
    <w:rsid w:val="001B49FC"/>
    <w:rsid w:val="001B519C"/>
    <w:rsid w:val="001B548E"/>
    <w:rsid w:val="001B7085"/>
    <w:rsid w:val="001B75C8"/>
    <w:rsid w:val="001C019C"/>
    <w:rsid w:val="001C172C"/>
    <w:rsid w:val="001C2767"/>
    <w:rsid w:val="001C2F8D"/>
    <w:rsid w:val="001C354E"/>
    <w:rsid w:val="001C37A3"/>
    <w:rsid w:val="001C4879"/>
    <w:rsid w:val="001C48B0"/>
    <w:rsid w:val="001C5368"/>
    <w:rsid w:val="001C53CE"/>
    <w:rsid w:val="001C58DF"/>
    <w:rsid w:val="001C5A3C"/>
    <w:rsid w:val="001C5F16"/>
    <w:rsid w:val="001C62DB"/>
    <w:rsid w:val="001C65F5"/>
    <w:rsid w:val="001C69CC"/>
    <w:rsid w:val="001C715D"/>
    <w:rsid w:val="001C7541"/>
    <w:rsid w:val="001C7BAD"/>
    <w:rsid w:val="001D02E9"/>
    <w:rsid w:val="001D1428"/>
    <w:rsid w:val="001D1823"/>
    <w:rsid w:val="001D18CC"/>
    <w:rsid w:val="001D233D"/>
    <w:rsid w:val="001D28EC"/>
    <w:rsid w:val="001D29B8"/>
    <w:rsid w:val="001D341E"/>
    <w:rsid w:val="001D36F2"/>
    <w:rsid w:val="001D3747"/>
    <w:rsid w:val="001D401E"/>
    <w:rsid w:val="001D5C81"/>
    <w:rsid w:val="001D5F83"/>
    <w:rsid w:val="001D6047"/>
    <w:rsid w:val="001D6DFC"/>
    <w:rsid w:val="001D70D3"/>
    <w:rsid w:val="001D7704"/>
    <w:rsid w:val="001E0C00"/>
    <w:rsid w:val="001E1441"/>
    <w:rsid w:val="001E149E"/>
    <w:rsid w:val="001E1628"/>
    <w:rsid w:val="001E2404"/>
    <w:rsid w:val="001E36A7"/>
    <w:rsid w:val="001E3B1B"/>
    <w:rsid w:val="001E3E8B"/>
    <w:rsid w:val="001E3E98"/>
    <w:rsid w:val="001E4165"/>
    <w:rsid w:val="001E4307"/>
    <w:rsid w:val="001E48ED"/>
    <w:rsid w:val="001E4EDC"/>
    <w:rsid w:val="001E55F3"/>
    <w:rsid w:val="001E5EAA"/>
    <w:rsid w:val="001E66A0"/>
    <w:rsid w:val="001E6B06"/>
    <w:rsid w:val="001F0A4D"/>
    <w:rsid w:val="001F0BE3"/>
    <w:rsid w:val="001F153A"/>
    <w:rsid w:val="001F2361"/>
    <w:rsid w:val="001F2490"/>
    <w:rsid w:val="001F24F4"/>
    <w:rsid w:val="001F281E"/>
    <w:rsid w:val="001F2AE4"/>
    <w:rsid w:val="001F4663"/>
    <w:rsid w:val="001F53D4"/>
    <w:rsid w:val="001F5744"/>
    <w:rsid w:val="001F6451"/>
    <w:rsid w:val="001F70A3"/>
    <w:rsid w:val="001F79D2"/>
    <w:rsid w:val="001F7CB6"/>
    <w:rsid w:val="001F7F09"/>
    <w:rsid w:val="00200BC5"/>
    <w:rsid w:val="0020345B"/>
    <w:rsid w:val="0020367C"/>
    <w:rsid w:val="00203851"/>
    <w:rsid w:val="00204063"/>
    <w:rsid w:val="0020620A"/>
    <w:rsid w:val="002079BE"/>
    <w:rsid w:val="00210321"/>
    <w:rsid w:val="00210594"/>
    <w:rsid w:val="002108B9"/>
    <w:rsid w:val="00211215"/>
    <w:rsid w:val="002112C8"/>
    <w:rsid w:val="002119C8"/>
    <w:rsid w:val="00212408"/>
    <w:rsid w:val="00213725"/>
    <w:rsid w:val="00213775"/>
    <w:rsid w:val="00214C03"/>
    <w:rsid w:val="00215A4E"/>
    <w:rsid w:val="00215D3D"/>
    <w:rsid w:val="00215E43"/>
    <w:rsid w:val="00216266"/>
    <w:rsid w:val="002163FB"/>
    <w:rsid w:val="00216C48"/>
    <w:rsid w:val="00217577"/>
    <w:rsid w:val="0021759E"/>
    <w:rsid w:val="00220737"/>
    <w:rsid w:val="002216E9"/>
    <w:rsid w:val="002216F8"/>
    <w:rsid w:val="00221ACB"/>
    <w:rsid w:val="00221C06"/>
    <w:rsid w:val="00222370"/>
    <w:rsid w:val="00222467"/>
    <w:rsid w:val="00222484"/>
    <w:rsid w:val="002232C6"/>
    <w:rsid w:val="00223546"/>
    <w:rsid w:val="00223DD2"/>
    <w:rsid w:val="00224446"/>
    <w:rsid w:val="002255F3"/>
    <w:rsid w:val="002262B0"/>
    <w:rsid w:val="00226EA2"/>
    <w:rsid w:val="00227182"/>
    <w:rsid w:val="00227520"/>
    <w:rsid w:val="00227954"/>
    <w:rsid w:val="002279DA"/>
    <w:rsid w:val="0023062A"/>
    <w:rsid w:val="00230984"/>
    <w:rsid w:val="00230EB7"/>
    <w:rsid w:val="00230F16"/>
    <w:rsid w:val="002312A2"/>
    <w:rsid w:val="00231B2F"/>
    <w:rsid w:val="00232CF2"/>
    <w:rsid w:val="00233C15"/>
    <w:rsid w:val="002347FE"/>
    <w:rsid w:val="00235041"/>
    <w:rsid w:val="00235948"/>
    <w:rsid w:val="00235C95"/>
    <w:rsid w:val="0023637D"/>
    <w:rsid w:val="00237232"/>
    <w:rsid w:val="002405A1"/>
    <w:rsid w:val="00241E8E"/>
    <w:rsid w:val="002420C3"/>
    <w:rsid w:val="00243B5B"/>
    <w:rsid w:val="00245192"/>
    <w:rsid w:val="00245361"/>
    <w:rsid w:val="00245AD8"/>
    <w:rsid w:val="00246B39"/>
    <w:rsid w:val="002516B1"/>
    <w:rsid w:val="00252791"/>
    <w:rsid w:val="002527FB"/>
    <w:rsid w:val="002536BA"/>
    <w:rsid w:val="00253BC4"/>
    <w:rsid w:val="0025419E"/>
    <w:rsid w:val="00254AC2"/>
    <w:rsid w:val="00254D24"/>
    <w:rsid w:val="00255213"/>
    <w:rsid w:val="00255452"/>
    <w:rsid w:val="00256A20"/>
    <w:rsid w:val="00257E8D"/>
    <w:rsid w:val="00262213"/>
    <w:rsid w:val="00262500"/>
    <w:rsid w:val="00262A32"/>
    <w:rsid w:val="002637E3"/>
    <w:rsid w:val="00264066"/>
    <w:rsid w:val="00264D5E"/>
    <w:rsid w:val="00265736"/>
    <w:rsid w:val="00265C51"/>
    <w:rsid w:val="002665A3"/>
    <w:rsid w:val="0026721B"/>
    <w:rsid w:val="00270E46"/>
    <w:rsid w:val="00271217"/>
    <w:rsid w:val="00271290"/>
    <w:rsid w:val="0027177E"/>
    <w:rsid w:val="00273B87"/>
    <w:rsid w:val="00274D74"/>
    <w:rsid w:val="00274F01"/>
    <w:rsid w:val="00276C0E"/>
    <w:rsid w:val="00276C99"/>
    <w:rsid w:val="00276E91"/>
    <w:rsid w:val="00277CA8"/>
    <w:rsid w:val="00280A66"/>
    <w:rsid w:val="00280B14"/>
    <w:rsid w:val="00280BF9"/>
    <w:rsid w:val="0028135A"/>
    <w:rsid w:val="002817B4"/>
    <w:rsid w:val="0028254E"/>
    <w:rsid w:val="002826CC"/>
    <w:rsid w:val="00282BEB"/>
    <w:rsid w:val="00282C1E"/>
    <w:rsid w:val="00283030"/>
    <w:rsid w:val="002835A2"/>
    <w:rsid w:val="002836B6"/>
    <w:rsid w:val="002837D4"/>
    <w:rsid w:val="00283C4B"/>
    <w:rsid w:val="00285875"/>
    <w:rsid w:val="002869AD"/>
    <w:rsid w:val="002871E9"/>
    <w:rsid w:val="002873C4"/>
    <w:rsid w:val="00287B04"/>
    <w:rsid w:val="00287BD5"/>
    <w:rsid w:val="00290CC2"/>
    <w:rsid w:val="00292068"/>
    <w:rsid w:val="0029331D"/>
    <w:rsid w:val="00294125"/>
    <w:rsid w:val="00294DDD"/>
    <w:rsid w:val="00295655"/>
    <w:rsid w:val="00295ACF"/>
    <w:rsid w:val="00296AC6"/>
    <w:rsid w:val="00296F1A"/>
    <w:rsid w:val="00297598"/>
    <w:rsid w:val="002A02E8"/>
    <w:rsid w:val="002A0C88"/>
    <w:rsid w:val="002A1CA9"/>
    <w:rsid w:val="002A1CC1"/>
    <w:rsid w:val="002A3077"/>
    <w:rsid w:val="002A3734"/>
    <w:rsid w:val="002A3962"/>
    <w:rsid w:val="002A3FE0"/>
    <w:rsid w:val="002A523A"/>
    <w:rsid w:val="002A58C6"/>
    <w:rsid w:val="002A59FA"/>
    <w:rsid w:val="002A6505"/>
    <w:rsid w:val="002B029F"/>
    <w:rsid w:val="002B0D3D"/>
    <w:rsid w:val="002B0F91"/>
    <w:rsid w:val="002B0FFE"/>
    <w:rsid w:val="002B111A"/>
    <w:rsid w:val="002B1760"/>
    <w:rsid w:val="002B2299"/>
    <w:rsid w:val="002B259F"/>
    <w:rsid w:val="002B29D3"/>
    <w:rsid w:val="002B3276"/>
    <w:rsid w:val="002B4C00"/>
    <w:rsid w:val="002B4D3B"/>
    <w:rsid w:val="002B5F64"/>
    <w:rsid w:val="002B7A14"/>
    <w:rsid w:val="002C00E9"/>
    <w:rsid w:val="002C102F"/>
    <w:rsid w:val="002C17B8"/>
    <w:rsid w:val="002C2575"/>
    <w:rsid w:val="002C2CB6"/>
    <w:rsid w:val="002C3562"/>
    <w:rsid w:val="002C49D4"/>
    <w:rsid w:val="002C541D"/>
    <w:rsid w:val="002C570B"/>
    <w:rsid w:val="002C571E"/>
    <w:rsid w:val="002C6315"/>
    <w:rsid w:val="002C6DC5"/>
    <w:rsid w:val="002D0D86"/>
    <w:rsid w:val="002D187F"/>
    <w:rsid w:val="002D1F79"/>
    <w:rsid w:val="002D5175"/>
    <w:rsid w:val="002D61F3"/>
    <w:rsid w:val="002D7061"/>
    <w:rsid w:val="002D7B76"/>
    <w:rsid w:val="002E024D"/>
    <w:rsid w:val="002E039F"/>
    <w:rsid w:val="002E0BD7"/>
    <w:rsid w:val="002E16F5"/>
    <w:rsid w:val="002E1A3D"/>
    <w:rsid w:val="002E1E64"/>
    <w:rsid w:val="002E2228"/>
    <w:rsid w:val="002E23CE"/>
    <w:rsid w:val="002E2AD0"/>
    <w:rsid w:val="002E344B"/>
    <w:rsid w:val="002E478C"/>
    <w:rsid w:val="002E4864"/>
    <w:rsid w:val="002E4C53"/>
    <w:rsid w:val="002E4E89"/>
    <w:rsid w:val="002E5118"/>
    <w:rsid w:val="002E5928"/>
    <w:rsid w:val="002E6F61"/>
    <w:rsid w:val="002E779F"/>
    <w:rsid w:val="002F0F1A"/>
    <w:rsid w:val="002F1DF5"/>
    <w:rsid w:val="002F1EF8"/>
    <w:rsid w:val="002F254A"/>
    <w:rsid w:val="002F2B25"/>
    <w:rsid w:val="002F30A4"/>
    <w:rsid w:val="002F3DFC"/>
    <w:rsid w:val="002F4807"/>
    <w:rsid w:val="002F4D18"/>
    <w:rsid w:val="002F5AA0"/>
    <w:rsid w:val="002F6035"/>
    <w:rsid w:val="002F607A"/>
    <w:rsid w:val="002F63A9"/>
    <w:rsid w:val="002F7921"/>
    <w:rsid w:val="002F7AB0"/>
    <w:rsid w:val="0030031F"/>
    <w:rsid w:val="0030072E"/>
    <w:rsid w:val="00300A95"/>
    <w:rsid w:val="00300C19"/>
    <w:rsid w:val="00300C22"/>
    <w:rsid w:val="0030133E"/>
    <w:rsid w:val="00301C32"/>
    <w:rsid w:val="003023CA"/>
    <w:rsid w:val="00304193"/>
    <w:rsid w:val="00304442"/>
    <w:rsid w:val="003047F2"/>
    <w:rsid w:val="0030523F"/>
    <w:rsid w:val="00305DA2"/>
    <w:rsid w:val="00305FF8"/>
    <w:rsid w:val="00306588"/>
    <w:rsid w:val="00306802"/>
    <w:rsid w:val="00306FF1"/>
    <w:rsid w:val="003076B3"/>
    <w:rsid w:val="00307CFC"/>
    <w:rsid w:val="0031177A"/>
    <w:rsid w:val="003131F4"/>
    <w:rsid w:val="00313504"/>
    <w:rsid w:val="0031358D"/>
    <w:rsid w:val="00313E20"/>
    <w:rsid w:val="00313E74"/>
    <w:rsid w:val="003147B3"/>
    <w:rsid w:val="00314893"/>
    <w:rsid w:val="00314918"/>
    <w:rsid w:val="00314E8B"/>
    <w:rsid w:val="003157F7"/>
    <w:rsid w:val="0031670B"/>
    <w:rsid w:val="0031674A"/>
    <w:rsid w:val="00316F61"/>
    <w:rsid w:val="003211BC"/>
    <w:rsid w:val="003216E7"/>
    <w:rsid w:val="003223D7"/>
    <w:rsid w:val="003234C2"/>
    <w:rsid w:val="00323704"/>
    <w:rsid w:val="003237DB"/>
    <w:rsid w:val="0032455B"/>
    <w:rsid w:val="00324B6A"/>
    <w:rsid w:val="0032721C"/>
    <w:rsid w:val="00331016"/>
    <w:rsid w:val="00332A74"/>
    <w:rsid w:val="00332E43"/>
    <w:rsid w:val="00333E5C"/>
    <w:rsid w:val="00333E8D"/>
    <w:rsid w:val="00333FBF"/>
    <w:rsid w:val="0033491F"/>
    <w:rsid w:val="00334EA1"/>
    <w:rsid w:val="003354AF"/>
    <w:rsid w:val="0033665A"/>
    <w:rsid w:val="00336A04"/>
    <w:rsid w:val="00336AAA"/>
    <w:rsid w:val="00336BE8"/>
    <w:rsid w:val="0033781C"/>
    <w:rsid w:val="0033785C"/>
    <w:rsid w:val="003404F3"/>
    <w:rsid w:val="00340699"/>
    <w:rsid w:val="00340A74"/>
    <w:rsid w:val="00342026"/>
    <w:rsid w:val="003428E6"/>
    <w:rsid w:val="00342D76"/>
    <w:rsid w:val="00343DB4"/>
    <w:rsid w:val="00344371"/>
    <w:rsid w:val="00345721"/>
    <w:rsid w:val="00345EA5"/>
    <w:rsid w:val="00346161"/>
    <w:rsid w:val="003477C9"/>
    <w:rsid w:val="00350B55"/>
    <w:rsid w:val="00350D93"/>
    <w:rsid w:val="0035102D"/>
    <w:rsid w:val="0035126E"/>
    <w:rsid w:val="0035143C"/>
    <w:rsid w:val="003517D1"/>
    <w:rsid w:val="003518D6"/>
    <w:rsid w:val="00351A90"/>
    <w:rsid w:val="00351D7A"/>
    <w:rsid w:val="003530D0"/>
    <w:rsid w:val="003535CD"/>
    <w:rsid w:val="00354B4B"/>
    <w:rsid w:val="0035595A"/>
    <w:rsid w:val="00356865"/>
    <w:rsid w:val="00357FC1"/>
    <w:rsid w:val="00360400"/>
    <w:rsid w:val="00360804"/>
    <w:rsid w:val="00360808"/>
    <w:rsid w:val="0036296D"/>
    <w:rsid w:val="00363178"/>
    <w:rsid w:val="003633D2"/>
    <w:rsid w:val="0036345B"/>
    <w:rsid w:val="00363DA9"/>
    <w:rsid w:val="0036413B"/>
    <w:rsid w:val="00364175"/>
    <w:rsid w:val="003643B7"/>
    <w:rsid w:val="0036466A"/>
    <w:rsid w:val="00364DC2"/>
    <w:rsid w:val="0036522B"/>
    <w:rsid w:val="003670C9"/>
    <w:rsid w:val="00367794"/>
    <w:rsid w:val="00370B3E"/>
    <w:rsid w:val="00370BAA"/>
    <w:rsid w:val="00371635"/>
    <w:rsid w:val="003718A8"/>
    <w:rsid w:val="003720F9"/>
    <w:rsid w:val="0037240C"/>
    <w:rsid w:val="00372BDF"/>
    <w:rsid w:val="00373CD2"/>
    <w:rsid w:val="00374CBD"/>
    <w:rsid w:val="00376ED3"/>
    <w:rsid w:val="003779BB"/>
    <w:rsid w:val="003800A0"/>
    <w:rsid w:val="0038034F"/>
    <w:rsid w:val="00380DD8"/>
    <w:rsid w:val="003812A5"/>
    <w:rsid w:val="003820FC"/>
    <w:rsid w:val="00382AD4"/>
    <w:rsid w:val="003832A0"/>
    <w:rsid w:val="003835A9"/>
    <w:rsid w:val="00383D68"/>
    <w:rsid w:val="0038458A"/>
    <w:rsid w:val="00384B49"/>
    <w:rsid w:val="0038501A"/>
    <w:rsid w:val="00385579"/>
    <w:rsid w:val="003859AB"/>
    <w:rsid w:val="00385B80"/>
    <w:rsid w:val="00385E7C"/>
    <w:rsid w:val="00386234"/>
    <w:rsid w:val="00386487"/>
    <w:rsid w:val="0038721F"/>
    <w:rsid w:val="0038731E"/>
    <w:rsid w:val="0038767F"/>
    <w:rsid w:val="00387958"/>
    <w:rsid w:val="00387C89"/>
    <w:rsid w:val="00387DE3"/>
    <w:rsid w:val="00390096"/>
    <w:rsid w:val="00390F59"/>
    <w:rsid w:val="003912F6"/>
    <w:rsid w:val="0039301F"/>
    <w:rsid w:val="00395551"/>
    <w:rsid w:val="00395779"/>
    <w:rsid w:val="00395B20"/>
    <w:rsid w:val="003963B9"/>
    <w:rsid w:val="0039664B"/>
    <w:rsid w:val="00396F05"/>
    <w:rsid w:val="0039787D"/>
    <w:rsid w:val="00397C8A"/>
    <w:rsid w:val="003A0372"/>
    <w:rsid w:val="003A06DF"/>
    <w:rsid w:val="003A0CA5"/>
    <w:rsid w:val="003A1D1C"/>
    <w:rsid w:val="003A2593"/>
    <w:rsid w:val="003A33E7"/>
    <w:rsid w:val="003A3512"/>
    <w:rsid w:val="003A4002"/>
    <w:rsid w:val="003A464D"/>
    <w:rsid w:val="003A571E"/>
    <w:rsid w:val="003A59F6"/>
    <w:rsid w:val="003A5EC3"/>
    <w:rsid w:val="003B0B3A"/>
    <w:rsid w:val="003B0C4A"/>
    <w:rsid w:val="003B0DAB"/>
    <w:rsid w:val="003B2647"/>
    <w:rsid w:val="003B2720"/>
    <w:rsid w:val="003B27AA"/>
    <w:rsid w:val="003B2A52"/>
    <w:rsid w:val="003B318F"/>
    <w:rsid w:val="003B37BF"/>
    <w:rsid w:val="003B4D4D"/>
    <w:rsid w:val="003B6FD3"/>
    <w:rsid w:val="003B70F6"/>
    <w:rsid w:val="003B713C"/>
    <w:rsid w:val="003C0DB8"/>
    <w:rsid w:val="003C11A0"/>
    <w:rsid w:val="003C14E8"/>
    <w:rsid w:val="003C1E29"/>
    <w:rsid w:val="003C20D4"/>
    <w:rsid w:val="003C325A"/>
    <w:rsid w:val="003C3A0A"/>
    <w:rsid w:val="003C45DD"/>
    <w:rsid w:val="003C4DB1"/>
    <w:rsid w:val="003C5302"/>
    <w:rsid w:val="003D039D"/>
    <w:rsid w:val="003D04C3"/>
    <w:rsid w:val="003D141D"/>
    <w:rsid w:val="003D1CA7"/>
    <w:rsid w:val="003D1CFA"/>
    <w:rsid w:val="003D28AA"/>
    <w:rsid w:val="003D315D"/>
    <w:rsid w:val="003D478A"/>
    <w:rsid w:val="003D4906"/>
    <w:rsid w:val="003D4B6E"/>
    <w:rsid w:val="003D4B96"/>
    <w:rsid w:val="003D4C2C"/>
    <w:rsid w:val="003D52BA"/>
    <w:rsid w:val="003D6256"/>
    <w:rsid w:val="003D736B"/>
    <w:rsid w:val="003D7A76"/>
    <w:rsid w:val="003E08A9"/>
    <w:rsid w:val="003E0990"/>
    <w:rsid w:val="003E1BA8"/>
    <w:rsid w:val="003E1EB6"/>
    <w:rsid w:val="003E2413"/>
    <w:rsid w:val="003E2423"/>
    <w:rsid w:val="003E2BA5"/>
    <w:rsid w:val="003E3461"/>
    <w:rsid w:val="003E366C"/>
    <w:rsid w:val="003E3930"/>
    <w:rsid w:val="003E3FE1"/>
    <w:rsid w:val="003E5246"/>
    <w:rsid w:val="003E52DC"/>
    <w:rsid w:val="003E54CF"/>
    <w:rsid w:val="003E5ACA"/>
    <w:rsid w:val="003E5C1E"/>
    <w:rsid w:val="003E5E1E"/>
    <w:rsid w:val="003E5F0F"/>
    <w:rsid w:val="003E6A7C"/>
    <w:rsid w:val="003E6B1B"/>
    <w:rsid w:val="003F020F"/>
    <w:rsid w:val="003F0431"/>
    <w:rsid w:val="003F08CC"/>
    <w:rsid w:val="003F09C7"/>
    <w:rsid w:val="003F0ACB"/>
    <w:rsid w:val="003F0D02"/>
    <w:rsid w:val="003F15B5"/>
    <w:rsid w:val="003F197A"/>
    <w:rsid w:val="003F1E46"/>
    <w:rsid w:val="003F1F95"/>
    <w:rsid w:val="003F30C1"/>
    <w:rsid w:val="003F35D7"/>
    <w:rsid w:val="003F3950"/>
    <w:rsid w:val="003F4070"/>
    <w:rsid w:val="003F4C6C"/>
    <w:rsid w:val="003F5289"/>
    <w:rsid w:val="003F52E0"/>
    <w:rsid w:val="003F558F"/>
    <w:rsid w:val="003F637A"/>
    <w:rsid w:val="003F638F"/>
    <w:rsid w:val="003F6582"/>
    <w:rsid w:val="003F6BDA"/>
    <w:rsid w:val="00400571"/>
    <w:rsid w:val="00400601"/>
    <w:rsid w:val="00401442"/>
    <w:rsid w:val="0040309B"/>
    <w:rsid w:val="00404195"/>
    <w:rsid w:val="0040427E"/>
    <w:rsid w:val="0040452A"/>
    <w:rsid w:val="004048DE"/>
    <w:rsid w:val="00404945"/>
    <w:rsid w:val="0040521A"/>
    <w:rsid w:val="00406849"/>
    <w:rsid w:val="00406C89"/>
    <w:rsid w:val="00406E41"/>
    <w:rsid w:val="0040709A"/>
    <w:rsid w:val="00407941"/>
    <w:rsid w:val="00410F99"/>
    <w:rsid w:val="004113EB"/>
    <w:rsid w:val="0041152B"/>
    <w:rsid w:val="00411959"/>
    <w:rsid w:val="00411CC9"/>
    <w:rsid w:val="00411D9B"/>
    <w:rsid w:val="00412AE5"/>
    <w:rsid w:val="00413276"/>
    <w:rsid w:val="00413534"/>
    <w:rsid w:val="00413A34"/>
    <w:rsid w:val="0041463B"/>
    <w:rsid w:val="004146A3"/>
    <w:rsid w:val="004155F7"/>
    <w:rsid w:val="00415CCF"/>
    <w:rsid w:val="00416755"/>
    <w:rsid w:val="00416E5F"/>
    <w:rsid w:val="00416EF6"/>
    <w:rsid w:val="00420791"/>
    <w:rsid w:val="00420AD0"/>
    <w:rsid w:val="00421251"/>
    <w:rsid w:val="00421A26"/>
    <w:rsid w:val="00422CB7"/>
    <w:rsid w:val="004252EE"/>
    <w:rsid w:val="004274AB"/>
    <w:rsid w:val="004309AC"/>
    <w:rsid w:val="004309E8"/>
    <w:rsid w:val="00430BB1"/>
    <w:rsid w:val="00430F78"/>
    <w:rsid w:val="0043139E"/>
    <w:rsid w:val="00431DB0"/>
    <w:rsid w:val="00432FA8"/>
    <w:rsid w:val="004335F6"/>
    <w:rsid w:val="00433A9E"/>
    <w:rsid w:val="00433FA0"/>
    <w:rsid w:val="00434033"/>
    <w:rsid w:val="004344B8"/>
    <w:rsid w:val="004352EB"/>
    <w:rsid w:val="00435628"/>
    <w:rsid w:val="00435E53"/>
    <w:rsid w:val="00436D1A"/>
    <w:rsid w:val="00436DEE"/>
    <w:rsid w:val="0043712A"/>
    <w:rsid w:val="00440841"/>
    <w:rsid w:val="004409F7"/>
    <w:rsid w:val="00440B5C"/>
    <w:rsid w:val="004426EB"/>
    <w:rsid w:val="0044771A"/>
    <w:rsid w:val="00450019"/>
    <w:rsid w:val="0045027D"/>
    <w:rsid w:val="00450D2B"/>
    <w:rsid w:val="00450D84"/>
    <w:rsid w:val="00451893"/>
    <w:rsid w:val="00451A60"/>
    <w:rsid w:val="00451CCA"/>
    <w:rsid w:val="00452CF9"/>
    <w:rsid w:val="00452F73"/>
    <w:rsid w:val="004534E5"/>
    <w:rsid w:val="004551A3"/>
    <w:rsid w:val="00455BEB"/>
    <w:rsid w:val="004562BC"/>
    <w:rsid w:val="00456ECC"/>
    <w:rsid w:val="0045707A"/>
    <w:rsid w:val="00457DAE"/>
    <w:rsid w:val="0046114D"/>
    <w:rsid w:val="00461DB2"/>
    <w:rsid w:val="0046203B"/>
    <w:rsid w:val="004628FD"/>
    <w:rsid w:val="00463E9F"/>
    <w:rsid w:val="0046499C"/>
    <w:rsid w:val="00464A94"/>
    <w:rsid w:val="00465E99"/>
    <w:rsid w:val="004666F7"/>
    <w:rsid w:val="00466DA9"/>
    <w:rsid w:val="00466DCA"/>
    <w:rsid w:val="004670EF"/>
    <w:rsid w:val="00470891"/>
    <w:rsid w:val="00470948"/>
    <w:rsid w:val="0047099E"/>
    <w:rsid w:val="00470F25"/>
    <w:rsid w:val="004713E5"/>
    <w:rsid w:val="004717AB"/>
    <w:rsid w:val="00471805"/>
    <w:rsid w:val="00471D5A"/>
    <w:rsid w:val="00472050"/>
    <w:rsid w:val="00472954"/>
    <w:rsid w:val="00474419"/>
    <w:rsid w:val="0047483C"/>
    <w:rsid w:val="00474AA4"/>
    <w:rsid w:val="00475371"/>
    <w:rsid w:val="00476357"/>
    <w:rsid w:val="00476A11"/>
    <w:rsid w:val="0047755F"/>
    <w:rsid w:val="0047761F"/>
    <w:rsid w:val="00477DBF"/>
    <w:rsid w:val="004821ED"/>
    <w:rsid w:val="0048339E"/>
    <w:rsid w:val="0048348B"/>
    <w:rsid w:val="004834F9"/>
    <w:rsid w:val="004837B7"/>
    <w:rsid w:val="00483BD2"/>
    <w:rsid w:val="004843D4"/>
    <w:rsid w:val="0048515B"/>
    <w:rsid w:val="00485DF6"/>
    <w:rsid w:val="00486698"/>
    <w:rsid w:val="00486757"/>
    <w:rsid w:val="00486CAD"/>
    <w:rsid w:val="00490062"/>
    <w:rsid w:val="00490763"/>
    <w:rsid w:val="00490BAF"/>
    <w:rsid w:val="00491164"/>
    <w:rsid w:val="00491A41"/>
    <w:rsid w:val="00491AF4"/>
    <w:rsid w:val="00491B77"/>
    <w:rsid w:val="00492250"/>
    <w:rsid w:val="004929EF"/>
    <w:rsid w:val="004930F6"/>
    <w:rsid w:val="00493853"/>
    <w:rsid w:val="00493F93"/>
    <w:rsid w:val="00493FDA"/>
    <w:rsid w:val="004944A3"/>
    <w:rsid w:val="0049600C"/>
    <w:rsid w:val="00496BD7"/>
    <w:rsid w:val="00496D23"/>
    <w:rsid w:val="00497A97"/>
    <w:rsid w:val="00497B18"/>
    <w:rsid w:val="004A00C0"/>
    <w:rsid w:val="004A0650"/>
    <w:rsid w:val="004A09B7"/>
    <w:rsid w:val="004A3561"/>
    <w:rsid w:val="004A47D3"/>
    <w:rsid w:val="004A4A23"/>
    <w:rsid w:val="004A607C"/>
    <w:rsid w:val="004A65E7"/>
    <w:rsid w:val="004A6B8B"/>
    <w:rsid w:val="004B0062"/>
    <w:rsid w:val="004B038B"/>
    <w:rsid w:val="004B131A"/>
    <w:rsid w:val="004B1B25"/>
    <w:rsid w:val="004B1E12"/>
    <w:rsid w:val="004B2BFD"/>
    <w:rsid w:val="004B3B1B"/>
    <w:rsid w:val="004B42FB"/>
    <w:rsid w:val="004B4761"/>
    <w:rsid w:val="004B47AF"/>
    <w:rsid w:val="004B49B1"/>
    <w:rsid w:val="004B6B19"/>
    <w:rsid w:val="004B78DC"/>
    <w:rsid w:val="004C17A0"/>
    <w:rsid w:val="004C1FA6"/>
    <w:rsid w:val="004C1FAB"/>
    <w:rsid w:val="004C25A8"/>
    <w:rsid w:val="004C3C36"/>
    <w:rsid w:val="004C4625"/>
    <w:rsid w:val="004C4B33"/>
    <w:rsid w:val="004C5343"/>
    <w:rsid w:val="004C69F2"/>
    <w:rsid w:val="004C6CF9"/>
    <w:rsid w:val="004C6DFF"/>
    <w:rsid w:val="004C714F"/>
    <w:rsid w:val="004C7D54"/>
    <w:rsid w:val="004D0A19"/>
    <w:rsid w:val="004D0FE2"/>
    <w:rsid w:val="004D2E85"/>
    <w:rsid w:val="004D36DC"/>
    <w:rsid w:val="004D3DEA"/>
    <w:rsid w:val="004D437D"/>
    <w:rsid w:val="004D4EC5"/>
    <w:rsid w:val="004D4F68"/>
    <w:rsid w:val="004D59FB"/>
    <w:rsid w:val="004D6ED7"/>
    <w:rsid w:val="004D7658"/>
    <w:rsid w:val="004D7C46"/>
    <w:rsid w:val="004D7F09"/>
    <w:rsid w:val="004E19EF"/>
    <w:rsid w:val="004E1BB5"/>
    <w:rsid w:val="004E23A6"/>
    <w:rsid w:val="004E318B"/>
    <w:rsid w:val="004E36A7"/>
    <w:rsid w:val="004E399A"/>
    <w:rsid w:val="004E3C16"/>
    <w:rsid w:val="004E6D22"/>
    <w:rsid w:val="004E6F85"/>
    <w:rsid w:val="004F0699"/>
    <w:rsid w:val="004F0C7A"/>
    <w:rsid w:val="004F14C3"/>
    <w:rsid w:val="004F157A"/>
    <w:rsid w:val="004F16AC"/>
    <w:rsid w:val="004F1E65"/>
    <w:rsid w:val="004F22BE"/>
    <w:rsid w:val="004F449B"/>
    <w:rsid w:val="004F4EE5"/>
    <w:rsid w:val="004F4F26"/>
    <w:rsid w:val="004F5D4C"/>
    <w:rsid w:val="004F6D0E"/>
    <w:rsid w:val="004F702F"/>
    <w:rsid w:val="004F7098"/>
    <w:rsid w:val="004F7D8B"/>
    <w:rsid w:val="00500376"/>
    <w:rsid w:val="005012E9"/>
    <w:rsid w:val="00502142"/>
    <w:rsid w:val="00502539"/>
    <w:rsid w:val="00502C31"/>
    <w:rsid w:val="005047BC"/>
    <w:rsid w:val="005061A0"/>
    <w:rsid w:val="005066C5"/>
    <w:rsid w:val="00507A34"/>
    <w:rsid w:val="00507CE5"/>
    <w:rsid w:val="00507EBF"/>
    <w:rsid w:val="00511346"/>
    <w:rsid w:val="0051145C"/>
    <w:rsid w:val="005116C1"/>
    <w:rsid w:val="005124F9"/>
    <w:rsid w:val="00512C13"/>
    <w:rsid w:val="00513125"/>
    <w:rsid w:val="00513F10"/>
    <w:rsid w:val="005141FB"/>
    <w:rsid w:val="00514B1C"/>
    <w:rsid w:val="00517433"/>
    <w:rsid w:val="0051748C"/>
    <w:rsid w:val="00520284"/>
    <w:rsid w:val="00520BE5"/>
    <w:rsid w:val="00521C77"/>
    <w:rsid w:val="0052327D"/>
    <w:rsid w:val="005234B2"/>
    <w:rsid w:val="0052394A"/>
    <w:rsid w:val="00523CCA"/>
    <w:rsid w:val="00523F00"/>
    <w:rsid w:val="00524886"/>
    <w:rsid w:val="00524A0C"/>
    <w:rsid w:val="005250D5"/>
    <w:rsid w:val="0052659F"/>
    <w:rsid w:val="00526E53"/>
    <w:rsid w:val="005270F4"/>
    <w:rsid w:val="00527157"/>
    <w:rsid w:val="005275F3"/>
    <w:rsid w:val="00527AC7"/>
    <w:rsid w:val="00530334"/>
    <w:rsid w:val="00532D5A"/>
    <w:rsid w:val="00533326"/>
    <w:rsid w:val="005338B3"/>
    <w:rsid w:val="00535677"/>
    <w:rsid w:val="00535C90"/>
    <w:rsid w:val="00535EC0"/>
    <w:rsid w:val="005360DE"/>
    <w:rsid w:val="005370ED"/>
    <w:rsid w:val="00537EF0"/>
    <w:rsid w:val="00540358"/>
    <w:rsid w:val="00540512"/>
    <w:rsid w:val="00541044"/>
    <w:rsid w:val="0054267C"/>
    <w:rsid w:val="005428DF"/>
    <w:rsid w:val="00542CA8"/>
    <w:rsid w:val="0054357E"/>
    <w:rsid w:val="005438E8"/>
    <w:rsid w:val="00543BD5"/>
    <w:rsid w:val="005442E0"/>
    <w:rsid w:val="005447B8"/>
    <w:rsid w:val="00544DB5"/>
    <w:rsid w:val="0054512E"/>
    <w:rsid w:val="005457AC"/>
    <w:rsid w:val="00546888"/>
    <w:rsid w:val="0054723E"/>
    <w:rsid w:val="00547D4F"/>
    <w:rsid w:val="00550F2D"/>
    <w:rsid w:val="005515C2"/>
    <w:rsid w:val="00551CC9"/>
    <w:rsid w:val="0055220E"/>
    <w:rsid w:val="0055259E"/>
    <w:rsid w:val="00553267"/>
    <w:rsid w:val="005533E1"/>
    <w:rsid w:val="0055342B"/>
    <w:rsid w:val="00554405"/>
    <w:rsid w:val="005566BA"/>
    <w:rsid w:val="005568F8"/>
    <w:rsid w:val="00556AF1"/>
    <w:rsid w:val="005572DC"/>
    <w:rsid w:val="00557BD9"/>
    <w:rsid w:val="0056027C"/>
    <w:rsid w:val="005606F9"/>
    <w:rsid w:val="0056112A"/>
    <w:rsid w:val="005613AA"/>
    <w:rsid w:val="00561A7E"/>
    <w:rsid w:val="00563422"/>
    <w:rsid w:val="00564215"/>
    <w:rsid w:val="00564ECA"/>
    <w:rsid w:val="00565D9A"/>
    <w:rsid w:val="0056670B"/>
    <w:rsid w:val="00566C82"/>
    <w:rsid w:val="00567C31"/>
    <w:rsid w:val="00570D79"/>
    <w:rsid w:val="00571621"/>
    <w:rsid w:val="0057183D"/>
    <w:rsid w:val="00572729"/>
    <w:rsid w:val="005739C4"/>
    <w:rsid w:val="00574054"/>
    <w:rsid w:val="005741F0"/>
    <w:rsid w:val="00574896"/>
    <w:rsid w:val="0057621C"/>
    <w:rsid w:val="00576645"/>
    <w:rsid w:val="00577094"/>
    <w:rsid w:val="005802CE"/>
    <w:rsid w:val="00580C01"/>
    <w:rsid w:val="005815A8"/>
    <w:rsid w:val="00581819"/>
    <w:rsid w:val="00581AD3"/>
    <w:rsid w:val="00581C89"/>
    <w:rsid w:val="005820F1"/>
    <w:rsid w:val="00583233"/>
    <w:rsid w:val="00583789"/>
    <w:rsid w:val="005839C5"/>
    <w:rsid w:val="00584170"/>
    <w:rsid w:val="00585283"/>
    <w:rsid w:val="005862C1"/>
    <w:rsid w:val="005865E4"/>
    <w:rsid w:val="0058754D"/>
    <w:rsid w:val="00587D0E"/>
    <w:rsid w:val="00590337"/>
    <w:rsid w:val="00590BEE"/>
    <w:rsid w:val="00590D48"/>
    <w:rsid w:val="00590D57"/>
    <w:rsid w:val="0059323B"/>
    <w:rsid w:val="0059387E"/>
    <w:rsid w:val="00595867"/>
    <w:rsid w:val="005963EA"/>
    <w:rsid w:val="005966D0"/>
    <w:rsid w:val="00597209"/>
    <w:rsid w:val="00597781"/>
    <w:rsid w:val="005978F4"/>
    <w:rsid w:val="005A1543"/>
    <w:rsid w:val="005A1C7D"/>
    <w:rsid w:val="005A1E09"/>
    <w:rsid w:val="005A213E"/>
    <w:rsid w:val="005A2A61"/>
    <w:rsid w:val="005A4A79"/>
    <w:rsid w:val="005A55CB"/>
    <w:rsid w:val="005A685E"/>
    <w:rsid w:val="005A6B92"/>
    <w:rsid w:val="005A6FA8"/>
    <w:rsid w:val="005A74B6"/>
    <w:rsid w:val="005A76AE"/>
    <w:rsid w:val="005B03B8"/>
    <w:rsid w:val="005B042E"/>
    <w:rsid w:val="005B0BBE"/>
    <w:rsid w:val="005B11E3"/>
    <w:rsid w:val="005B1C27"/>
    <w:rsid w:val="005B1F13"/>
    <w:rsid w:val="005B2E14"/>
    <w:rsid w:val="005B3DB9"/>
    <w:rsid w:val="005B479B"/>
    <w:rsid w:val="005B4DCB"/>
    <w:rsid w:val="005B4DD7"/>
    <w:rsid w:val="005B4EF7"/>
    <w:rsid w:val="005B5EEB"/>
    <w:rsid w:val="005B5F34"/>
    <w:rsid w:val="005B63A7"/>
    <w:rsid w:val="005B671C"/>
    <w:rsid w:val="005B6AEA"/>
    <w:rsid w:val="005B6D7B"/>
    <w:rsid w:val="005B7998"/>
    <w:rsid w:val="005B7A3C"/>
    <w:rsid w:val="005C0072"/>
    <w:rsid w:val="005C0271"/>
    <w:rsid w:val="005C079D"/>
    <w:rsid w:val="005C1AE0"/>
    <w:rsid w:val="005C2FA0"/>
    <w:rsid w:val="005C34D6"/>
    <w:rsid w:val="005C35EB"/>
    <w:rsid w:val="005C3B19"/>
    <w:rsid w:val="005C40A4"/>
    <w:rsid w:val="005C5631"/>
    <w:rsid w:val="005C592E"/>
    <w:rsid w:val="005C5952"/>
    <w:rsid w:val="005C5C02"/>
    <w:rsid w:val="005C6854"/>
    <w:rsid w:val="005C6B5E"/>
    <w:rsid w:val="005C7798"/>
    <w:rsid w:val="005C7B06"/>
    <w:rsid w:val="005D15A0"/>
    <w:rsid w:val="005D295D"/>
    <w:rsid w:val="005D2D65"/>
    <w:rsid w:val="005D3260"/>
    <w:rsid w:val="005D3885"/>
    <w:rsid w:val="005D396C"/>
    <w:rsid w:val="005D3E1F"/>
    <w:rsid w:val="005D3F1F"/>
    <w:rsid w:val="005D4200"/>
    <w:rsid w:val="005D4339"/>
    <w:rsid w:val="005D4517"/>
    <w:rsid w:val="005D4CD9"/>
    <w:rsid w:val="005E124A"/>
    <w:rsid w:val="005E12B6"/>
    <w:rsid w:val="005E324F"/>
    <w:rsid w:val="005E3638"/>
    <w:rsid w:val="005E4092"/>
    <w:rsid w:val="005E4B18"/>
    <w:rsid w:val="005E4E5D"/>
    <w:rsid w:val="005E51B0"/>
    <w:rsid w:val="005E6667"/>
    <w:rsid w:val="005E7090"/>
    <w:rsid w:val="005E712C"/>
    <w:rsid w:val="005E7713"/>
    <w:rsid w:val="005E7877"/>
    <w:rsid w:val="005F0438"/>
    <w:rsid w:val="005F0907"/>
    <w:rsid w:val="005F0E14"/>
    <w:rsid w:val="005F301D"/>
    <w:rsid w:val="005F38D3"/>
    <w:rsid w:val="005F4F0C"/>
    <w:rsid w:val="005F5BAD"/>
    <w:rsid w:val="005F64F7"/>
    <w:rsid w:val="005F69A4"/>
    <w:rsid w:val="005F6A3D"/>
    <w:rsid w:val="005F6A76"/>
    <w:rsid w:val="005F7129"/>
    <w:rsid w:val="005F76EC"/>
    <w:rsid w:val="005F779B"/>
    <w:rsid w:val="005F7ADE"/>
    <w:rsid w:val="00600073"/>
    <w:rsid w:val="00601505"/>
    <w:rsid w:val="006026BC"/>
    <w:rsid w:val="0060296B"/>
    <w:rsid w:val="006039A4"/>
    <w:rsid w:val="006042D5"/>
    <w:rsid w:val="00605568"/>
    <w:rsid w:val="006063BB"/>
    <w:rsid w:val="00606F95"/>
    <w:rsid w:val="0060733A"/>
    <w:rsid w:val="0060747E"/>
    <w:rsid w:val="00610422"/>
    <w:rsid w:val="00610756"/>
    <w:rsid w:val="006109BE"/>
    <w:rsid w:val="00610B1B"/>
    <w:rsid w:val="006117B8"/>
    <w:rsid w:val="00611C98"/>
    <w:rsid w:val="00611E75"/>
    <w:rsid w:val="00612214"/>
    <w:rsid w:val="0061255E"/>
    <w:rsid w:val="00612C23"/>
    <w:rsid w:val="00613DE1"/>
    <w:rsid w:val="00614B6D"/>
    <w:rsid w:val="00615490"/>
    <w:rsid w:val="00616109"/>
    <w:rsid w:val="00617363"/>
    <w:rsid w:val="006179AD"/>
    <w:rsid w:val="00617CD0"/>
    <w:rsid w:val="0062016B"/>
    <w:rsid w:val="00621722"/>
    <w:rsid w:val="00623601"/>
    <w:rsid w:val="00623B39"/>
    <w:rsid w:val="00623D33"/>
    <w:rsid w:val="00624AA2"/>
    <w:rsid w:val="00624B5E"/>
    <w:rsid w:val="00625042"/>
    <w:rsid w:val="006251EA"/>
    <w:rsid w:val="006260C4"/>
    <w:rsid w:val="006264AC"/>
    <w:rsid w:val="00630056"/>
    <w:rsid w:val="006305BF"/>
    <w:rsid w:val="00630CBA"/>
    <w:rsid w:val="00631894"/>
    <w:rsid w:val="006318BF"/>
    <w:rsid w:val="00631BDB"/>
    <w:rsid w:val="00632572"/>
    <w:rsid w:val="006328B0"/>
    <w:rsid w:val="00632C93"/>
    <w:rsid w:val="00633BE0"/>
    <w:rsid w:val="0063403D"/>
    <w:rsid w:val="0063419A"/>
    <w:rsid w:val="006360EF"/>
    <w:rsid w:val="006360F0"/>
    <w:rsid w:val="00636AAB"/>
    <w:rsid w:val="00636E49"/>
    <w:rsid w:val="006374A0"/>
    <w:rsid w:val="006377F4"/>
    <w:rsid w:val="00640DB8"/>
    <w:rsid w:val="006424A0"/>
    <w:rsid w:val="006436CF"/>
    <w:rsid w:val="00643834"/>
    <w:rsid w:val="00644274"/>
    <w:rsid w:val="00645470"/>
    <w:rsid w:val="00646629"/>
    <w:rsid w:val="006503BD"/>
    <w:rsid w:val="006505C1"/>
    <w:rsid w:val="00651096"/>
    <w:rsid w:val="006511B5"/>
    <w:rsid w:val="00651807"/>
    <w:rsid w:val="00651B6B"/>
    <w:rsid w:val="00652AE8"/>
    <w:rsid w:val="00652D1A"/>
    <w:rsid w:val="00652DA3"/>
    <w:rsid w:val="00653A27"/>
    <w:rsid w:val="00653C4B"/>
    <w:rsid w:val="006542B5"/>
    <w:rsid w:val="00654D29"/>
    <w:rsid w:val="00654E8F"/>
    <w:rsid w:val="006567A6"/>
    <w:rsid w:val="006571F0"/>
    <w:rsid w:val="0065775D"/>
    <w:rsid w:val="00660738"/>
    <w:rsid w:val="00660A33"/>
    <w:rsid w:val="0066171F"/>
    <w:rsid w:val="0066230E"/>
    <w:rsid w:val="0066355B"/>
    <w:rsid w:val="0066480F"/>
    <w:rsid w:val="00665957"/>
    <w:rsid w:val="006664C9"/>
    <w:rsid w:val="00666560"/>
    <w:rsid w:val="0066682D"/>
    <w:rsid w:val="00666D15"/>
    <w:rsid w:val="00667149"/>
    <w:rsid w:val="006674D3"/>
    <w:rsid w:val="006675F2"/>
    <w:rsid w:val="00670931"/>
    <w:rsid w:val="00670A71"/>
    <w:rsid w:val="00671463"/>
    <w:rsid w:val="00671868"/>
    <w:rsid w:val="00673B84"/>
    <w:rsid w:val="00674AA1"/>
    <w:rsid w:val="00674C16"/>
    <w:rsid w:val="006758AB"/>
    <w:rsid w:val="006762F7"/>
    <w:rsid w:val="0067637C"/>
    <w:rsid w:val="00677506"/>
    <w:rsid w:val="00677756"/>
    <w:rsid w:val="00677CAF"/>
    <w:rsid w:val="00677D61"/>
    <w:rsid w:val="0068035C"/>
    <w:rsid w:val="00680394"/>
    <w:rsid w:val="006807E7"/>
    <w:rsid w:val="006809A4"/>
    <w:rsid w:val="006818B2"/>
    <w:rsid w:val="00681ADB"/>
    <w:rsid w:val="00681F82"/>
    <w:rsid w:val="00682068"/>
    <w:rsid w:val="006821CC"/>
    <w:rsid w:val="00682B86"/>
    <w:rsid w:val="006831C4"/>
    <w:rsid w:val="00683EB3"/>
    <w:rsid w:val="00684884"/>
    <w:rsid w:val="00685758"/>
    <w:rsid w:val="00685EB2"/>
    <w:rsid w:val="006869E2"/>
    <w:rsid w:val="006877C2"/>
    <w:rsid w:val="006877D8"/>
    <w:rsid w:val="0069074F"/>
    <w:rsid w:val="00690C9B"/>
    <w:rsid w:val="00690CBE"/>
    <w:rsid w:val="0069132B"/>
    <w:rsid w:val="0069181B"/>
    <w:rsid w:val="00692E6A"/>
    <w:rsid w:val="00693D4B"/>
    <w:rsid w:val="00693E2B"/>
    <w:rsid w:val="006943AF"/>
    <w:rsid w:val="00694E6B"/>
    <w:rsid w:val="00695230"/>
    <w:rsid w:val="006956AF"/>
    <w:rsid w:val="006958DE"/>
    <w:rsid w:val="006958F8"/>
    <w:rsid w:val="00696BAA"/>
    <w:rsid w:val="00697DC0"/>
    <w:rsid w:val="006A0443"/>
    <w:rsid w:val="006A20E3"/>
    <w:rsid w:val="006A2460"/>
    <w:rsid w:val="006A2C76"/>
    <w:rsid w:val="006A2E0D"/>
    <w:rsid w:val="006A3480"/>
    <w:rsid w:val="006A3828"/>
    <w:rsid w:val="006A3854"/>
    <w:rsid w:val="006A3EF3"/>
    <w:rsid w:val="006A478E"/>
    <w:rsid w:val="006A5336"/>
    <w:rsid w:val="006A59D5"/>
    <w:rsid w:val="006A61B4"/>
    <w:rsid w:val="006A63F0"/>
    <w:rsid w:val="006A7415"/>
    <w:rsid w:val="006A746D"/>
    <w:rsid w:val="006B07EC"/>
    <w:rsid w:val="006B0B42"/>
    <w:rsid w:val="006B0D44"/>
    <w:rsid w:val="006B0E5A"/>
    <w:rsid w:val="006B1670"/>
    <w:rsid w:val="006B1A5F"/>
    <w:rsid w:val="006B1EC9"/>
    <w:rsid w:val="006B361D"/>
    <w:rsid w:val="006B366D"/>
    <w:rsid w:val="006B39AA"/>
    <w:rsid w:val="006B3D9D"/>
    <w:rsid w:val="006B4223"/>
    <w:rsid w:val="006B49E2"/>
    <w:rsid w:val="006B4BA6"/>
    <w:rsid w:val="006B4FA2"/>
    <w:rsid w:val="006B5152"/>
    <w:rsid w:val="006B536A"/>
    <w:rsid w:val="006B5577"/>
    <w:rsid w:val="006B64D6"/>
    <w:rsid w:val="006B650F"/>
    <w:rsid w:val="006B72D8"/>
    <w:rsid w:val="006C0069"/>
    <w:rsid w:val="006C1A08"/>
    <w:rsid w:val="006C2904"/>
    <w:rsid w:val="006C3006"/>
    <w:rsid w:val="006C3042"/>
    <w:rsid w:val="006C365E"/>
    <w:rsid w:val="006C3D6F"/>
    <w:rsid w:val="006C4588"/>
    <w:rsid w:val="006C53DE"/>
    <w:rsid w:val="006C5A6A"/>
    <w:rsid w:val="006C610F"/>
    <w:rsid w:val="006C7634"/>
    <w:rsid w:val="006C78A1"/>
    <w:rsid w:val="006C7B86"/>
    <w:rsid w:val="006D029F"/>
    <w:rsid w:val="006D2A27"/>
    <w:rsid w:val="006D2E74"/>
    <w:rsid w:val="006D3083"/>
    <w:rsid w:val="006D3DCC"/>
    <w:rsid w:val="006D3F90"/>
    <w:rsid w:val="006D44F5"/>
    <w:rsid w:val="006D457B"/>
    <w:rsid w:val="006D466B"/>
    <w:rsid w:val="006D4EC1"/>
    <w:rsid w:val="006D6855"/>
    <w:rsid w:val="006D68AD"/>
    <w:rsid w:val="006D68D9"/>
    <w:rsid w:val="006D758C"/>
    <w:rsid w:val="006D7653"/>
    <w:rsid w:val="006D7A13"/>
    <w:rsid w:val="006D7C05"/>
    <w:rsid w:val="006E0206"/>
    <w:rsid w:val="006E05CE"/>
    <w:rsid w:val="006E10DD"/>
    <w:rsid w:val="006E139A"/>
    <w:rsid w:val="006E1DF7"/>
    <w:rsid w:val="006E2388"/>
    <w:rsid w:val="006E2593"/>
    <w:rsid w:val="006E2824"/>
    <w:rsid w:val="006E28DF"/>
    <w:rsid w:val="006E2C67"/>
    <w:rsid w:val="006E55AA"/>
    <w:rsid w:val="006E5730"/>
    <w:rsid w:val="006E67FB"/>
    <w:rsid w:val="006E6BE2"/>
    <w:rsid w:val="006E71C2"/>
    <w:rsid w:val="006E756E"/>
    <w:rsid w:val="006E7B55"/>
    <w:rsid w:val="006E7E5F"/>
    <w:rsid w:val="006F0703"/>
    <w:rsid w:val="006F088B"/>
    <w:rsid w:val="006F0D25"/>
    <w:rsid w:val="006F1D06"/>
    <w:rsid w:val="006F1E33"/>
    <w:rsid w:val="006F26C7"/>
    <w:rsid w:val="006F4466"/>
    <w:rsid w:val="006F4963"/>
    <w:rsid w:val="006F4D12"/>
    <w:rsid w:val="006F5381"/>
    <w:rsid w:val="006F5BE3"/>
    <w:rsid w:val="006F5CF3"/>
    <w:rsid w:val="006F6062"/>
    <w:rsid w:val="006F6BCC"/>
    <w:rsid w:val="006F6C92"/>
    <w:rsid w:val="006F6FA4"/>
    <w:rsid w:val="006F7170"/>
    <w:rsid w:val="007005B8"/>
    <w:rsid w:val="0070090D"/>
    <w:rsid w:val="00700FDC"/>
    <w:rsid w:val="007017C6"/>
    <w:rsid w:val="00702401"/>
    <w:rsid w:val="0070379D"/>
    <w:rsid w:val="007044BD"/>
    <w:rsid w:val="007048F5"/>
    <w:rsid w:val="00704927"/>
    <w:rsid w:val="00710EF4"/>
    <w:rsid w:val="007111FA"/>
    <w:rsid w:val="007119D0"/>
    <w:rsid w:val="00711C9A"/>
    <w:rsid w:val="00712B09"/>
    <w:rsid w:val="00713711"/>
    <w:rsid w:val="00714AB2"/>
    <w:rsid w:val="007151BC"/>
    <w:rsid w:val="00715F49"/>
    <w:rsid w:val="00720A87"/>
    <w:rsid w:val="00721F8D"/>
    <w:rsid w:val="00722054"/>
    <w:rsid w:val="00723111"/>
    <w:rsid w:val="00723264"/>
    <w:rsid w:val="007237B9"/>
    <w:rsid w:val="00723F81"/>
    <w:rsid w:val="00724A70"/>
    <w:rsid w:val="00725DDD"/>
    <w:rsid w:val="00730AB6"/>
    <w:rsid w:val="00730EE6"/>
    <w:rsid w:val="00731BC0"/>
    <w:rsid w:val="00733CBF"/>
    <w:rsid w:val="0073488C"/>
    <w:rsid w:val="00735410"/>
    <w:rsid w:val="00735ED3"/>
    <w:rsid w:val="007364E9"/>
    <w:rsid w:val="00736E19"/>
    <w:rsid w:val="00737331"/>
    <w:rsid w:val="00740AE4"/>
    <w:rsid w:val="00741C77"/>
    <w:rsid w:val="00743880"/>
    <w:rsid w:val="00743B8C"/>
    <w:rsid w:val="007440CF"/>
    <w:rsid w:val="00747EEE"/>
    <w:rsid w:val="00747FF2"/>
    <w:rsid w:val="00750AB8"/>
    <w:rsid w:val="00752B48"/>
    <w:rsid w:val="00752C20"/>
    <w:rsid w:val="007541B2"/>
    <w:rsid w:val="007541DA"/>
    <w:rsid w:val="00755CE5"/>
    <w:rsid w:val="00756593"/>
    <w:rsid w:val="00756FC6"/>
    <w:rsid w:val="00757337"/>
    <w:rsid w:val="0076044E"/>
    <w:rsid w:val="0076250A"/>
    <w:rsid w:val="007629FD"/>
    <w:rsid w:val="00762C40"/>
    <w:rsid w:val="00764B82"/>
    <w:rsid w:val="00765B4E"/>
    <w:rsid w:val="00765EF2"/>
    <w:rsid w:val="007672C7"/>
    <w:rsid w:val="007703A6"/>
    <w:rsid w:val="007706BB"/>
    <w:rsid w:val="0077077F"/>
    <w:rsid w:val="00770D75"/>
    <w:rsid w:val="0077209A"/>
    <w:rsid w:val="007721FB"/>
    <w:rsid w:val="00772B0E"/>
    <w:rsid w:val="0077351C"/>
    <w:rsid w:val="00773B7A"/>
    <w:rsid w:val="0077404E"/>
    <w:rsid w:val="0077418C"/>
    <w:rsid w:val="0077471E"/>
    <w:rsid w:val="0077486C"/>
    <w:rsid w:val="00774B5C"/>
    <w:rsid w:val="007751EC"/>
    <w:rsid w:val="007758F2"/>
    <w:rsid w:val="0077645C"/>
    <w:rsid w:val="0077708F"/>
    <w:rsid w:val="00777110"/>
    <w:rsid w:val="00777669"/>
    <w:rsid w:val="00777758"/>
    <w:rsid w:val="007779F1"/>
    <w:rsid w:val="00777C9A"/>
    <w:rsid w:val="007801C7"/>
    <w:rsid w:val="00780578"/>
    <w:rsid w:val="007806C0"/>
    <w:rsid w:val="00780FD5"/>
    <w:rsid w:val="007810BD"/>
    <w:rsid w:val="0078130C"/>
    <w:rsid w:val="00781E92"/>
    <w:rsid w:val="00783573"/>
    <w:rsid w:val="007850D6"/>
    <w:rsid w:val="0078515E"/>
    <w:rsid w:val="00785474"/>
    <w:rsid w:val="0078674D"/>
    <w:rsid w:val="00787DED"/>
    <w:rsid w:val="0079019B"/>
    <w:rsid w:val="00790CC8"/>
    <w:rsid w:val="00790D3A"/>
    <w:rsid w:val="0079169E"/>
    <w:rsid w:val="007919CD"/>
    <w:rsid w:val="00792A27"/>
    <w:rsid w:val="007934C9"/>
    <w:rsid w:val="007936FC"/>
    <w:rsid w:val="007943FB"/>
    <w:rsid w:val="00794690"/>
    <w:rsid w:val="00795C95"/>
    <w:rsid w:val="0079609B"/>
    <w:rsid w:val="007966FA"/>
    <w:rsid w:val="00796D68"/>
    <w:rsid w:val="007975FE"/>
    <w:rsid w:val="0079771C"/>
    <w:rsid w:val="007A0079"/>
    <w:rsid w:val="007A101B"/>
    <w:rsid w:val="007A14C9"/>
    <w:rsid w:val="007A154F"/>
    <w:rsid w:val="007A29B4"/>
    <w:rsid w:val="007A4F3C"/>
    <w:rsid w:val="007A69A8"/>
    <w:rsid w:val="007A6A45"/>
    <w:rsid w:val="007A7F2F"/>
    <w:rsid w:val="007B03BC"/>
    <w:rsid w:val="007B0450"/>
    <w:rsid w:val="007B1290"/>
    <w:rsid w:val="007B15D5"/>
    <w:rsid w:val="007B1E31"/>
    <w:rsid w:val="007B2923"/>
    <w:rsid w:val="007B32BE"/>
    <w:rsid w:val="007B49D8"/>
    <w:rsid w:val="007B4A39"/>
    <w:rsid w:val="007B4C34"/>
    <w:rsid w:val="007B579A"/>
    <w:rsid w:val="007B5E36"/>
    <w:rsid w:val="007B7D07"/>
    <w:rsid w:val="007C0187"/>
    <w:rsid w:val="007C0D0C"/>
    <w:rsid w:val="007C119D"/>
    <w:rsid w:val="007C2229"/>
    <w:rsid w:val="007C266F"/>
    <w:rsid w:val="007C2C4F"/>
    <w:rsid w:val="007C3850"/>
    <w:rsid w:val="007C3D54"/>
    <w:rsid w:val="007C3D82"/>
    <w:rsid w:val="007C3F29"/>
    <w:rsid w:val="007C3FB1"/>
    <w:rsid w:val="007C4377"/>
    <w:rsid w:val="007C4B18"/>
    <w:rsid w:val="007C5330"/>
    <w:rsid w:val="007C571B"/>
    <w:rsid w:val="007C5E68"/>
    <w:rsid w:val="007C755C"/>
    <w:rsid w:val="007C7B10"/>
    <w:rsid w:val="007D0894"/>
    <w:rsid w:val="007D0AF8"/>
    <w:rsid w:val="007D123A"/>
    <w:rsid w:val="007D21F8"/>
    <w:rsid w:val="007D233F"/>
    <w:rsid w:val="007D2748"/>
    <w:rsid w:val="007D2EC6"/>
    <w:rsid w:val="007D36B7"/>
    <w:rsid w:val="007D3D2C"/>
    <w:rsid w:val="007D4817"/>
    <w:rsid w:val="007D496B"/>
    <w:rsid w:val="007D4ADE"/>
    <w:rsid w:val="007D4E58"/>
    <w:rsid w:val="007D667C"/>
    <w:rsid w:val="007E053C"/>
    <w:rsid w:val="007E0C04"/>
    <w:rsid w:val="007E15EC"/>
    <w:rsid w:val="007E1EBC"/>
    <w:rsid w:val="007E2D98"/>
    <w:rsid w:val="007E2EA9"/>
    <w:rsid w:val="007E369D"/>
    <w:rsid w:val="007E37DB"/>
    <w:rsid w:val="007E4044"/>
    <w:rsid w:val="007E48D8"/>
    <w:rsid w:val="007E4A6D"/>
    <w:rsid w:val="007E4FC5"/>
    <w:rsid w:val="007E554A"/>
    <w:rsid w:val="007E6D9A"/>
    <w:rsid w:val="007E7ACF"/>
    <w:rsid w:val="007F0584"/>
    <w:rsid w:val="007F0A3C"/>
    <w:rsid w:val="007F10F1"/>
    <w:rsid w:val="007F15D6"/>
    <w:rsid w:val="007F1AA3"/>
    <w:rsid w:val="007F236D"/>
    <w:rsid w:val="007F2531"/>
    <w:rsid w:val="007F301E"/>
    <w:rsid w:val="007F3397"/>
    <w:rsid w:val="007F370A"/>
    <w:rsid w:val="007F39F7"/>
    <w:rsid w:val="007F3CF4"/>
    <w:rsid w:val="007F4049"/>
    <w:rsid w:val="007F4128"/>
    <w:rsid w:val="007F45C4"/>
    <w:rsid w:val="007F537A"/>
    <w:rsid w:val="007F5B37"/>
    <w:rsid w:val="007F7036"/>
    <w:rsid w:val="007F7B8B"/>
    <w:rsid w:val="008004D3"/>
    <w:rsid w:val="00800C4C"/>
    <w:rsid w:val="00801060"/>
    <w:rsid w:val="00802EB2"/>
    <w:rsid w:val="0080310E"/>
    <w:rsid w:val="00804768"/>
    <w:rsid w:val="00807324"/>
    <w:rsid w:val="00807A13"/>
    <w:rsid w:val="00810193"/>
    <w:rsid w:val="00810D6F"/>
    <w:rsid w:val="0081125A"/>
    <w:rsid w:val="008112B2"/>
    <w:rsid w:val="00811C0F"/>
    <w:rsid w:val="0081202D"/>
    <w:rsid w:val="0081240F"/>
    <w:rsid w:val="008131F3"/>
    <w:rsid w:val="0081493C"/>
    <w:rsid w:val="00816F93"/>
    <w:rsid w:val="008200D9"/>
    <w:rsid w:val="00820954"/>
    <w:rsid w:val="00820CDF"/>
    <w:rsid w:val="0082158B"/>
    <w:rsid w:val="00822425"/>
    <w:rsid w:val="00822B19"/>
    <w:rsid w:val="008237C9"/>
    <w:rsid w:val="00823B51"/>
    <w:rsid w:val="00824AE8"/>
    <w:rsid w:val="008269B8"/>
    <w:rsid w:val="00827133"/>
    <w:rsid w:val="00827AE8"/>
    <w:rsid w:val="0083075E"/>
    <w:rsid w:val="00830896"/>
    <w:rsid w:val="00830C35"/>
    <w:rsid w:val="00831184"/>
    <w:rsid w:val="00831B48"/>
    <w:rsid w:val="00831B58"/>
    <w:rsid w:val="00831B6F"/>
    <w:rsid w:val="00831B99"/>
    <w:rsid w:val="00831C1B"/>
    <w:rsid w:val="00832171"/>
    <w:rsid w:val="0083281A"/>
    <w:rsid w:val="00833F9C"/>
    <w:rsid w:val="008342C1"/>
    <w:rsid w:val="00834779"/>
    <w:rsid w:val="0083487C"/>
    <w:rsid w:val="0083504D"/>
    <w:rsid w:val="008352BB"/>
    <w:rsid w:val="00835794"/>
    <w:rsid w:val="00836301"/>
    <w:rsid w:val="00836B1D"/>
    <w:rsid w:val="00836D20"/>
    <w:rsid w:val="00837612"/>
    <w:rsid w:val="00840050"/>
    <w:rsid w:val="00840182"/>
    <w:rsid w:val="008401EF"/>
    <w:rsid w:val="008404F8"/>
    <w:rsid w:val="008419CB"/>
    <w:rsid w:val="0084363B"/>
    <w:rsid w:val="0084384C"/>
    <w:rsid w:val="00844CA1"/>
    <w:rsid w:val="008468A8"/>
    <w:rsid w:val="00846C60"/>
    <w:rsid w:val="00846CB7"/>
    <w:rsid w:val="00846ED1"/>
    <w:rsid w:val="008473B8"/>
    <w:rsid w:val="00847F92"/>
    <w:rsid w:val="00850E24"/>
    <w:rsid w:val="00850F5B"/>
    <w:rsid w:val="00851A66"/>
    <w:rsid w:val="00851C3C"/>
    <w:rsid w:val="00853F81"/>
    <w:rsid w:val="00854E5E"/>
    <w:rsid w:val="00855032"/>
    <w:rsid w:val="008550C8"/>
    <w:rsid w:val="00855519"/>
    <w:rsid w:val="00855CFF"/>
    <w:rsid w:val="00855E19"/>
    <w:rsid w:val="008579A4"/>
    <w:rsid w:val="0086218E"/>
    <w:rsid w:val="008624F2"/>
    <w:rsid w:val="00863773"/>
    <w:rsid w:val="00864716"/>
    <w:rsid w:val="00864F1F"/>
    <w:rsid w:val="0086692F"/>
    <w:rsid w:val="00867C0B"/>
    <w:rsid w:val="00867E90"/>
    <w:rsid w:val="00870BC1"/>
    <w:rsid w:val="00870EB6"/>
    <w:rsid w:val="008712DB"/>
    <w:rsid w:val="0087159D"/>
    <w:rsid w:val="008715EB"/>
    <w:rsid w:val="00871845"/>
    <w:rsid w:val="0087398B"/>
    <w:rsid w:val="00873DBA"/>
    <w:rsid w:val="00874297"/>
    <w:rsid w:val="0087469C"/>
    <w:rsid w:val="008746C7"/>
    <w:rsid w:val="00876618"/>
    <w:rsid w:val="008766A3"/>
    <w:rsid w:val="0087706D"/>
    <w:rsid w:val="0087715F"/>
    <w:rsid w:val="00877FF6"/>
    <w:rsid w:val="0088052D"/>
    <w:rsid w:val="0088055A"/>
    <w:rsid w:val="008805AC"/>
    <w:rsid w:val="00881942"/>
    <w:rsid w:val="0088198F"/>
    <w:rsid w:val="00881C5F"/>
    <w:rsid w:val="00881D17"/>
    <w:rsid w:val="008821BB"/>
    <w:rsid w:val="00883614"/>
    <w:rsid w:val="008837A1"/>
    <w:rsid w:val="00885358"/>
    <w:rsid w:val="00885503"/>
    <w:rsid w:val="008858F3"/>
    <w:rsid w:val="00887669"/>
    <w:rsid w:val="0088766A"/>
    <w:rsid w:val="0089011F"/>
    <w:rsid w:val="00890285"/>
    <w:rsid w:val="0089028F"/>
    <w:rsid w:val="00890D13"/>
    <w:rsid w:val="008911CE"/>
    <w:rsid w:val="008912EB"/>
    <w:rsid w:val="00892044"/>
    <w:rsid w:val="0089251D"/>
    <w:rsid w:val="008928BE"/>
    <w:rsid w:val="00894332"/>
    <w:rsid w:val="00894657"/>
    <w:rsid w:val="008949B7"/>
    <w:rsid w:val="00895A6C"/>
    <w:rsid w:val="008974E5"/>
    <w:rsid w:val="008979E3"/>
    <w:rsid w:val="00897D50"/>
    <w:rsid w:val="00897D5E"/>
    <w:rsid w:val="00897E3D"/>
    <w:rsid w:val="008A06F8"/>
    <w:rsid w:val="008A2994"/>
    <w:rsid w:val="008A3837"/>
    <w:rsid w:val="008A3A95"/>
    <w:rsid w:val="008A483E"/>
    <w:rsid w:val="008A4EFA"/>
    <w:rsid w:val="008A7F45"/>
    <w:rsid w:val="008B040F"/>
    <w:rsid w:val="008B0852"/>
    <w:rsid w:val="008B12DB"/>
    <w:rsid w:val="008B16E3"/>
    <w:rsid w:val="008B1B31"/>
    <w:rsid w:val="008B1E97"/>
    <w:rsid w:val="008B1EA4"/>
    <w:rsid w:val="008B3FC5"/>
    <w:rsid w:val="008B54AA"/>
    <w:rsid w:val="008B57C6"/>
    <w:rsid w:val="008B5BCF"/>
    <w:rsid w:val="008B60E6"/>
    <w:rsid w:val="008B6A28"/>
    <w:rsid w:val="008B740B"/>
    <w:rsid w:val="008C0705"/>
    <w:rsid w:val="008C07DD"/>
    <w:rsid w:val="008C0F5A"/>
    <w:rsid w:val="008C0F6E"/>
    <w:rsid w:val="008C10B4"/>
    <w:rsid w:val="008C1C6C"/>
    <w:rsid w:val="008C26AD"/>
    <w:rsid w:val="008C289D"/>
    <w:rsid w:val="008C2936"/>
    <w:rsid w:val="008C3218"/>
    <w:rsid w:val="008C3A8C"/>
    <w:rsid w:val="008C49B8"/>
    <w:rsid w:val="008C5507"/>
    <w:rsid w:val="008C56A5"/>
    <w:rsid w:val="008C7862"/>
    <w:rsid w:val="008D04C7"/>
    <w:rsid w:val="008D0A82"/>
    <w:rsid w:val="008D0B7B"/>
    <w:rsid w:val="008D0ED1"/>
    <w:rsid w:val="008D1106"/>
    <w:rsid w:val="008D160B"/>
    <w:rsid w:val="008D178E"/>
    <w:rsid w:val="008D1C6B"/>
    <w:rsid w:val="008D1CFF"/>
    <w:rsid w:val="008D1D3E"/>
    <w:rsid w:val="008D2584"/>
    <w:rsid w:val="008D2C12"/>
    <w:rsid w:val="008D44C0"/>
    <w:rsid w:val="008D6C07"/>
    <w:rsid w:val="008D7614"/>
    <w:rsid w:val="008D7758"/>
    <w:rsid w:val="008E0A4B"/>
    <w:rsid w:val="008E1A0A"/>
    <w:rsid w:val="008E1F59"/>
    <w:rsid w:val="008E2DC2"/>
    <w:rsid w:val="008E2FB3"/>
    <w:rsid w:val="008E334A"/>
    <w:rsid w:val="008E35A7"/>
    <w:rsid w:val="008E438A"/>
    <w:rsid w:val="008E5056"/>
    <w:rsid w:val="008E64F5"/>
    <w:rsid w:val="008E65F7"/>
    <w:rsid w:val="008E7715"/>
    <w:rsid w:val="008F0C18"/>
    <w:rsid w:val="008F1878"/>
    <w:rsid w:val="008F2562"/>
    <w:rsid w:val="008F2A06"/>
    <w:rsid w:val="008F37B9"/>
    <w:rsid w:val="008F37BF"/>
    <w:rsid w:val="008F4019"/>
    <w:rsid w:val="008F448C"/>
    <w:rsid w:val="008F505E"/>
    <w:rsid w:val="008F5324"/>
    <w:rsid w:val="008F59E9"/>
    <w:rsid w:val="008F5A14"/>
    <w:rsid w:val="008F5E15"/>
    <w:rsid w:val="008F6DAD"/>
    <w:rsid w:val="008F74ED"/>
    <w:rsid w:val="008F79B1"/>
    <w:rsid w:val="008F7CE1"/>
    <w:rsid w:val="00900144"/>
    <w:rsid w:val="009002CC"/>
    <w:rsid w:val="00900C1D"/>
    <w:rsid w:val="00901E31"/>
    <w:rsid w:val="009023A9"/>
    <w:rsid w:val="009023F5"/>
    <w:rsid w:val="00902B7E"/>
    <w:rsid w:val="0090411A"/>
    <w:rsid w:val="009042A2"/>
    <w:rsid w:val="00906451"/>
    <w:rsid w:val="00910DC8"/>
    <w:rsid w:val="00911137"/>
    <w:rsid w:val="0091206F"/>
    <w:rsid w:val="0091383D"/>
    <w:rsid w:val="00913D88"/>
    <w:rsid w:val="00914347"/>
    <w:rsid w:val="009149DE"/>
    <w:rsid w:val="00914AA4"/>
    <w:rsid w:val="0091597F"/>
    <w:rsid w:val="009159E9"/>
    <w:rsid w:val="00915C35"/>
    <w:rsid w:val="0091626A"/>
    <w:rsid w:val="009169CC"/>
    <w:rsid w:val="00920610"/>
    <w:rsid w:val="009210DB"/>
    <w:rsid w:val="00921208"/>
    <w:rsid w:val="00921643"/>
    <w:rsid w:val="009227B3"/>
    <w:rsid w:val="00922D95"/>
    <w:rsid w:val="0092460E"/>
    <w:rsid w:val="00924DD7"/>
    <w:rsid w:val="00924EC8"/>
    <w:rsid w:val="009254D8"/>
    <w:rsid w:val="00926826"/>
    <w:rsid w:val="0092748F"/>
    <w:rsid w:val="009305CA"/>
    <w:rsid w:val="00930698"/>
    <w:rsid w:val="00933571"/>
    <w:rsid w:val="00933A15"/>
    <w:rsid w:val="00934421"/>
    <w:rsid w:val="00934649"/>
    <w:rsid w:val="00935B30"/>
    <w:rsid w:val="0093603A"/>
    <w:rsid w:val="00936BFA"/>
    <w:rsid w:val="00937206"/>
    <w:rsid w:val="009374C5"/>
    <w:rsid w:val="00937695"/>
    <w:rsid w:val="00937719"/>
    <w:rsid w:val="00940692"/>
    <w:rsid w:val="00940CFA"/>
    <w:rsid w:val="009413A1"/>
    <w:rsid w:val="00941877"/>
    <w:rsid w:val="00941E27"/>
    <w:rsid w:val="009435FC"/>
    <w:rsid w:val="0094370C"/>
    <w:rsid w:val="00943E11"/>
    <w:rsid w:val="00944061"/>
    <w:rsid w:val="009448FA"/>
    <w:rsid w:val="00944DD0"/>
    <w:rsid w:val="00945AAC"/>
    <w:rsid w:val="0094688D"/>
    <w:rsid w:val="00947A0C"/>
    <w:rsid w:val="00947DCA"/>
    <w:rsid w:val="0095028F"/>
    <w:rsid w:val="009502A4"/>
    <w:rsid w:val="009509CD"/>
    <w:rsid w:val="00950B0C"/>
    <w:rsid w:val="009524FA"/>
    <w:rsid w:val="00953221"/>
    <w:rsid w:val="00953389"/>
    <w:rsid w:val="00954A83"/>
    <w:rsid w:val="0095529F"/>
    <w:rsid w:val="00955A69"/>
    <w:rsid w:val="00956E59"/>
    <w:rsid w:val="00957310"/>
    <w:rsid w:val="00957597"/>
    <w:rsid w:val="00957931"/>
    <w:rsid w:val="0096071B"/>
    <w:rsid w:val="0096083F"/>
    <w:rsid w:val="00960D77"/>
    <w:rsid w:val="00961155"/>
    <w:rsid w:val="009613A5"/>
    <w:rsid w:val="00961B44"/>
    <w:rsid w:val="00961C8E"/>
    <w:rsid w:val="009621F4"/>
    <w:rsid w:val="00962BBD"/>
    <w:rsid w:val="00962F2B"/>
    <w:rsid w:val="00963D1F"/>
    <w:rsid w:val="009640EA"/>
    <w:rsid w:val="00964312"/>
    <w:rsid w:val="0096582B"/>
    <w:rsid w:val="00965D47"/>
    <w:rsid w:val="009661E8"/>
    <w:rsid w:val="00966B3A"/>
    <w:rsid w:val="00967208"/>
    <w:rsid w:val="00967519"/>
    <w:rsid w:val="00967D11"/>
    <w:rsid w:val="00967F5B"/>
    <w:rsid w:val="00970529"/>
    <w:rsid w:val="0097124C"/>
    <w:rsid w:val="00971461"/>
    <w:rsid w:val="009730A8"/>
    <w:rsid w:val="00973316"/>
    <w:rsid w:val="00973389"/>
    <w:rsid w:val="00973521"/>
    <w:rsid w:val="00973621"/>
    <w:rsid w:val="009738B5"/>
    <w:rsid w:val="00976575"/>
    <w:rsid w:val="009767F2"/>
    <w:rsid w:val="00976C09"/>
    <w:rsid w:val="00976CB1"/>
    <w:rsid w:val="00980CA1"/>
    <w:rsid w:val="00981D7A"/>
    <w:rsid w:val="00982C7E"/>
    <w:rsid w:val="00982D96"/>
    <w:rsid w:val="00983291"/>
    <w:rsid w:val="00985BC2"/>
    <w:rsid w:val="009871A8"/>
    <w:rsid w:val="00991434"/>
    <w:rsid w:val="00992082"/>
    <w:rsid w:val="00992CD0"/>
    <w:rsid w:val="009936FD"/>
    <w:rsid w:val="00993CB6"/>
    <w:rsid w:val="00993DB9"/>
    <w:rsid w:val="009948D1"/>
    <w:rsid w:val="00995B73"/>
    <w:rsid w:val="00995F27"/>
    <w:rsid w:val="00997498"/>
    <w:rsid w:val="009A081F"/>
    <w:rsid w:val="009A0FD9"/>
    <w:rsid w:val="009A137A"/>
    <w:rsid w:val="009A1A63"/>
    <w:rsid w:val="009A1F47"/>
    <w:rsid w:val="009A2559"/>
    <w:rsid w:val="009A2D62"/>
    <w:rsid w:val="009A4341"/>
    <w:rsid w:val="009A4857"/>
    <w:rsid w:val="009A4FFC"/>
    <w:rsid w:val="009A526E"/>
    <w:rsid w:val="009A528E"/>
    <w:rsid w:val="009A6E43"/>
    <w:rsid w:val="009B025B"/>
    <w:rsid w:val="009B1F17"/>
    <w:rsid w:val="009B347D"/>
    <w:rsid w:val="009B4F6B"/>
    <w:rsid w:val="009B506A"/>
    <w:rsid w:val="009B56B7"/>
    <w:rsid w:val="009B5718"/>
    <w:rsid w:val="009B5AB5"/>
    <w:rsid w:val="009B6211"/>
    <w:rsid w:val="009B6E47"/>
    <w:rsid w:val="009B6FFB"/>
    <w:rsid w:val="009B71FD"/>
    <w:rsid w:val="009B7EA3"/>
    <w:rsid w:val="009C04C7"/>
    <w:rsid w:val="009C209F"/>
    <w:rsid w:val="009C20D9"/>
    <w:rsid w:val="009C2885"/>
    <w:rsid w:val="009C2AB2"/>
    <w:rsid w:val="009C436A"/>
    <w:rsid w:val="009C466F"/>
    <w:rsid w:val="009C4DAE"/>
    <w:rsid w:val="009C4F1D"/>
    <w:rsid w:val="009C533B"/>
    <w:rsid w:val="009C613E"/>
    <w:rsid w:val="009C74C4"/>
    <w:rsid w:val="009C75DA"/>
    <w:rsid w:val="009C76CB"/>
    <w:rsid w:val="009D038B"/>
    <w:rsid w:val="009D0A5D"/>
    <w:rsid w:val="009D0DBF"/>
    <w:rsid w:val="009D1303"/>
    <w:rsid w:val="009D1BBB"/>
    <w:rsid w:val="009D35A2"/>
    <w:rsid w:val="009D39EC"/>
    <w:rsid w:val="009D40CE"/>
    <w:rsid w:val="009D4DE4"/>
    <w:rsid w:val="009D4F1E"/>
    <w:rsid w:val="009D6781"/>
    <w:rsid w:val="009D711F"/>
    <w:rsid w:val="009D79D8"/>
    <w:rsid w:val="009E06A1"/>
    <w:rsid w:val="009E16B1"/>
    <w:rsid w:val="009E1898"/>
    <w:rsid w:val="009E1EB4"/>
    <w:rsid w:val="009E2A8B"/>
    <w:rsid w:val="009E3024"/>
    <w:rsid w:val="009E3BE2"/>
    <w:rsid w:val="009E3D18"/>
    <w:rsid w:val="009E485B"/>
    <w:rsid w:val="009E5312"/>
    <w:rsid w:val="009E5863"/>
    <w:rsid w:val="009E68CF"/>
    <w:rsid w:val="009E698B"/>
    <w:rsid w:val="009E7CD3"/>
    <w:rsid w:val="009E7EB3"/>
    <w:rsid w:val="009F0360"/>
    <w:rsid w:val="009F0592"/>
    <w:rsid w:val="009F177E"/>
    <w:rsid w:val="009F29C4"/>
    <w:rsid w:val="009F3445"/>
    <w:rsid w:val="009F37C4"/>
    <w:rsid w:val="009F462C"/>
    <w:rsid w:val="009F4CBE"/>
    <w:rsid w:val="009F5877"/>
    <w:rsid w:val="009F5BAD"/>
    <w:rsid w:val="009F5CDC"/>
    <w:rsid w:val="009F6606"/>
    <w:rsid w:val="009F7698"/>
    <w:rsid w:val="00A01895"/>
    <w:rsid w:val="00A01A52"/>
    <w:rsid w:val="00A022F6"/>
    <w:rsid w:val="00A027F4"/>
    <w:rsid w:val="00A0291F"/>
    <w:rsid w:val="00A031D0"/>
    <w:rsid w:val="00A03CC3"/>
    <w:rsid w:val="00A03D8A"/>
    <w:rsid w:val="00A041F5"/>
    <w:rsid w:val="00A053BA"/>
    <w:rsid w:val="00A0551D"/>
    <w:rsid w:val="00A05EAB"/>
    <w:rsid w:val="00A06280"/>
    <w:rsid w:val="00A0706B"/>
    <w:rsid w:val="00A078B0"/>
    <w:rsid w:val="00A078E1"/>
    <w:rsid w:val="00A07A6C"/>
    <w:rsid w:val="00A10111"/>
    <w:rsid w:val="00A1126C"/>
    <w:rsid w:val="00A1154C"/>
    <w:rsid w:val="00A12FF4"/>
    <w:rsid w:val="00A134C8"/>
    <w:rsid w:val="00A135A3"/>
    <w:rsid w:val="00A13B9F"/>
    <w:rsid w:val="00A1655C"/>
    <w:rsid w:val="00A1658C"/>
    <w:rsid w:val="00A16C54"/>
    <w:rsid w:val="00A201D8"/>
    <w:rsid w:val="00A2359C"/>
    <w:rsid w:val="00A23786"/>
    <w:rsid w:val="00A23D6A"/>
    <w:rsid w:val="00A23ECF"/>
    <w:rsid w:val="00A24836"/>
    <w:rsid w:val="00A25DB2"/>
    <w:rsid w:val="00A27581"/>
    <w:rsid w:val="00A30093"/>
    <w:rsid w:val="00A30314"/>
    <w:rsid w:val="00A31ED9"/>
    <w:rsid w:val="00A32758"/>
    <w:rsid w:val="00A34065"/>
    <w:rsid w:val="00A34A40"/>
    <w:rsid w:val="00A35543"/>
    <w:rsid w:val="00A35C43"/>
    <w:rsid w:val="00A35F44"/>
    <w:rsid w:val="00A366E0"/>
    <w:rsid w:val="00A36744"/>
    <w:rsid w:val="00A37677"/>
    <w:rsid w:val="00A40273"/>
    <w:rsid w:val="00A412AB"/>
    <w:rsid w:val="00A41C13"/>
    <w:rsid w:val="00A42164"/>
    <w:rsid w:val="00A4286F"/>
    <w:rsid w:val="00A4297A"/>
    <w:rsid w:val="00A42D55"/>
    <w:rsid w:val="00A43661"/>
    <w:rsid w:val="00A43EFC"/>
    <w:rsid w:val="00A45EB4"/>
    <w:rsid w:val="00A474FB"/>
    <w:rsid w:val="00A478E0"/>
    <w:rsid w:val="00A50366"/>
    <w:rsid w:val="00A506A5"/>
    <w:rsid w:val="00A50DF8"/>
    <w:rsid w:val="00A530F6"/>
    <w:rsid w:val="00A53686"/>
    <w:rsid w:val="00A5383E"/>
    <w:rsid w:val="00A54443"/>
    <w:rsid w:val="00A55347"/>
    <w:rsid w:val="00A55D78"/>
    <w:rsid w:val="00A60358"/>
    <w:rsid w:val="00A60B0B"/>
    <w:rsid w:val="00A60FCC"/>
    <w:rsid w:val="00A62AE0"/>
    <w:rsid w:val="00A639E3"/>
    <w:rsid w:val="00A63BD9"/>
    <w:rsid w:val="00A643B9"/>
    <w:rsid w:val="00A65FAF"/>
    <w:rsid w:val="00A66B8C"/>
    <w:rsid w:val="00A67199"/>
    <w:rsid w:val="00A70009"/>
    <w:rsid w:val="00A701E7"/>
    <w:rsid w:val="00A70CE3"/>
    <w:rsid w:val="00A70F3B"/>
    <w:rsid w:val="00A717F0"/>
    <w:rsid w:val="00A7280D"/>
    <w:rsid w:val="00A733C2"/>
    <w:rsid w:val="00A7424B"/>
    <w:rsid w:val="00A74B95"/>
    <w:rsid w:val="00A76058"/>
    <w:rsid w:val="00A7636C"/>
    <w:rsid w:val="00A775C0"/>
    <w:rsid w:val="00A776A3"/>
    <w:rsid w:val="00A81068"/>
    <w:rsid w:val="00A81AD0"/>
    <w:rsid w:val="00A8223D"/>
    <w:rsid w:val="00A822CD"/>
    <w:rsid w:val="00A82A02"/>
    <w:rsid w:val="00A82B60"/>
    <w:rsid w:val="00A8366D"/>
    <w:rsid w:val="00A83F5B"/>
    <w:rsid w:val="00A84172"/>
    <w:rsid w:val="00A84931"/>
    <w:rsid w:val="00A84D44"/>
    <w:rsid w:val="00A85098"/>
    <w:rsid w:val="00A857E2"/>
    <w:rsid w:val="00A86416"/>
    <w:rsid w:val="00A86D4E"/>
    <w:rsid w:val="00A870B3"/>
    <w:rsid w:val="00A87448"/>
    <w:rsid w:val="00A87582"/>
    <w:rsid w:val="00A902B4"/>
    <w:rsid w:val="00A90DB6"/>
    <w:rsid w:val="00A9110E"/>
    <w:rsid w:val="00A91ACF"/>
    <w:rsid w:val="00A92A17"/>
    <w:rsid w:val="00A93A0D"/>
    <w:rsid w:val="00A94609"/>
    <w:rsid w:val="00A95A58"/>
    <w:rsid w:val="00A97492"/>
    <w:rsid w:val="00AA0822"/>
    <w:rsid w:val="00AA0DFE"/>
    <w:rsid w:val="00AA0E4D"/>
    <w:rsid w:val="00AA13A3"/>
    <w:rsid w:val="00AA2800"/>
    <w:rsid w:val="00AA293E"/>
    <w:rsid w:val="00AA3C44"/>
    <w:rsid w:val="00AA454A"/>
    <w:rsid w:val="00AA48AD"/>
    <w:rsid w:val="00AA5247"/>
    <w:rsid w:val="00AA539F"/>
    <w:rsid w:val="00AA53A5"/>
    <w:rsid w:val="00AA5A17"/>
    <w:rsid w:val="00AA5F02"/>
    <w:rsid w:val="00AA6F87"/>
    <w:rsid w:val="00AA7CB8"/>
    <w:rsid w:val="00AB06BB"/>
    <w:rsid w:val="00AB0F85"/>
    <w:rsid w:val="00AB10B3"/>
    <w:rsid w:val="00AB16E2"/>
    <w:rsid w:val="00AB1B66"/>
    <w:rsid w:val="00AB38D5"/>
    <w:rsid w:val="00AB3AA6"/>
    <w:rsid w:val="00AB3EA9"/>
    <w:rsid w:val="00AB4CA2"/>
    <w:rsid w:val="00AB51C4"/>
    <w:rsid w:val="00AB5896"/>
    <w:rsid w:val="00AB5F0D"/>
    <w:rsid w:val="00AB6052"/>
    <w:rsid w:val="00AB65CD"/>
    <w:rsid w:val="00AB683C"/>
    <w:rsid w:val="00AB6BAE"/>
    <w:rsid w:val="00AC05B9"/>
    <w:rsid w:val="00AC0FD4"/>
    <w:rsid w:val="00AC1126"/>
    <w:rsid w:val="00AC13DE"/>
    <w:rsid w:val="00AC1701"/>
    <w:rsid w:val="00AC3017"/>
    <w:rsid w:val="00AC380E"/>
    <w:rsid w:val="00AC38FF"/>
    <w:rsid w:val="00AC3A45"/>
    <w:rsid w:val="00AC3B23"/>
    <w:rsid w:val="00AC3E89"/>
    <w:rsid w:val="00AC40F0"/>
    <w:rsid w:val="00AC527F"/>
    <w:rsid w:val="00AC6342"/>
    <w:rsid w:val="00AC7338"/>
    <w:rsid w:val="00AD0926"/>
    <w:rsid w:val="00AD13D4"/>
    <w:rsid w:val="00AD2174"/>
    <w:rsid w:val="00AD2643"/>
    <w:rsid w:val="00AD2D03"/>
    <w:rsid w:val="00AD2DF9"/>
    <w:rsid w:val="00AD5668"/>
    <w:rsid w:val="00AD598A"/>
    <w:rsid w:val="00AD5DB0"/>
    <w:rsid w:val="00AD688E"/>
    <w:rsid w:val="00AD7C28"/>
    <w:rsid w:val="00AE0584"/>
    <w:rsid w:val="00AE06A0"/>
    <w:rsid w:val="00AE39B9"/>
    <w:rsid w:val="00AE4AF9"/>
    <w:rsid w:val="00AE687D"/>
    <w:rsid w:val="00AE7820"/>
    <w:rsid w:val="00AE7CD6"/>
    <w:rsid w:val="00AF057C"/>
    <w:rsid w:val="00AF22C2"/>
    <w:rsid w:val="00AF2A69"/>
    <w:rsid w:val="00AF3056"/>
    <w:rsid w:val="00AF360F"/>
    <w:rsid w:val="00AF3D52"/>
    <w:rsid w:val="00AF5729"/>
    <w:rsid w:val="00AF63CB"/>
    <w:rsid w:val="00AF6E71"/>
    <w:rsid w:val="00AF7540"/>
    <w:rsid w:val="00B00021"/>
    <w:rsid w:val="00B01059"/>
    <w:rsid w:val="00B0121C"/>
    <w:rsid w:val="00B024AD"/>
    <w:rsid w:val="00B026D4"/>
    <w:rsid w:val="00B02A79"/>
    <w:rsid w:val="00B02D2F"/>
    <w:rsid w:val="00B0300F"/>
    <w:rsid w:val="00B04911"/>
    <w:rsid w:val="00B04E87"/>
    <w:rsid w:val="00B06B7F"/>
    <w:rsid w:val="00B0780B"/>
    <w:rsid w:val="00B102C3"/>
    <w:rsid w:val="00B115A1"/>
    <w:rsid w:val="00B119FB"/>
    <w:rsid w:val="00B1407E"/>
    <w:rsid w:val="00B14D03"/>
    <w:rsid w:val="00B1563B"/>
    <w:rsid w:val="00B15EB0"/>
    <w:rsid w:val="00B16AC5"/>
    <w:rsid w:val="00B16C4E"/>
    <w:rsid w:val="00B20130"/>
    <w:rsid w:val="00B20E4E"/>
    <w:rsid w:val="00B2126E"/>
    <w:rsid w:val="00B2136A"/>
    <w:rsid w:val="00B219DE"/>
    <w:rsid w:val="00B21E1E"/>
    <w:rsid w:val="00B22552"/>
    <w:rsid w:val="00B2267A"/>
    <w:rsid w:val="00B23942"/>
    <w:rsid w:val="00B23C60"/>
    <w:rsid w:val="00B23EE6"/>
    <w:rsid w:val="00B240CF"/>
    <w:rsid w:val="00B2520E"/>
    <w:rsid w:val="00B25499"/>
    <w:rsid w:val="00B255B2"/>
    <w:rsid w:val="00B25D7A"/>
    <w:rsid w:val="00B26E19"/>
    <w:rsid w:val="00B27F72"/>
    <w:rsid w:val="00B3024B"/>
    <w:rsid w:val="00B3123B"/>
    <w:rsid w:val="00B319C4"/>
    <w:rsid w:val="00B31E12"/>
    <w:rsid w:val="00B34956"/>
    <w:rsid w:val="00B353D5"/>
    <w:rsid w:val="00B3666E"/>
    <w:rsid w:val="00B40C01"/>
    <w:rsid w:val="00B4170C"/>
    <w:rsid w:val="00B41955"/>
    <w:rsid w:val="00B42232"/>
    <w:rsid w:val="00B42814"/>
    <w:rsid w:val="00B43D43"/>
    <w:rsid w:val="00B43F8D"/>
    <w:rsid w:val="00B44DEB"/>
    <w:rsid w:val="00B44FB7"/>
    <w:rsid w:val="00B454B4"/>
    <w:rsid w:val="00B45CC9"/>
    <w:rsid w:val="00B4618B"/>
    <w:rsid w:val="00B462BE"/>
    <w:rsid w:val="00B46377"/>
    <w:rsid w:val="00B4674A"/>
    <w:rsid w:val="00B47433"/>
    <w:rsid w:val="00B476AB"/>
    <w:rsid w:val="00B4784B"/>
    <w:rsid w:val="00B47D5F"/>
    <w:rsid w:val="00B5034A"/>
    <w:rsid w:val="00B53CF7"/>
    <w:rsid w:val="00B546D6"/>
    <w:rsid w:val="00B54EBF"/>
    <w:rsid w:val="00B555CB"/>
    <w:rsid w:val="00B55AE9"/>
    <w:rsid w:val="00B55F0E"/>
    <w:rsid w:val="00B56A3A"/>
    <w:rsid w:val="00B56BC2"/>
    <w:rsid w:val="00B56C2E"/>
    <w:rsid w:val="00B57A8E"/>
    <w:rsid w:val="00B60725"/>
    <w:rsid w:val="00B61212"/>
    <w:rsid w:val="00B620B7"/>
    <w:rsid w:val="00B623F7"/>
    <w:rsid w:val="00B62F54"/>
    <w:rsid w:val="00B64050"/>
    <w:rsid w:val="00B64D6A"/>
    <w:rsid w:val="00B654E9"/>
    <w:rsid w:val="00B66246"/>
    <w:rsid w:val="00B6670C"/>
    <w:rsid w:val="00B70664"/>
    <w:rsid w:val="00B706EC"/>
    <w:rsid w:val="00B70918"/>
    <w:rsid w:val="00B70CEF"/>
    <w:rsid w:val="00B7200D"/>
    <w:rsid w:val="00B72A8B"/>
    <w:rsid w:val="00B73431"/>
    <w:rsid w:val="00B74563"/>
    <w:rsid w:val="00B750EE"/>
    <w:rsid w:val="00B7592C"/>
    <w:rsid w:val="00B767EA"/>
    <w:rsid w:val="00B77150"/>
    <w:rsid w:val="00B77298"/>
    <w:rsid w:val="00B8140F"/>
    <w:rsid w:val="00B827B0"/>
    <w:rsid w:val="00B83E50"/>
    <w:rsid w:val="00B841A8"/>
    <w:rsid w:val="00B851FC"/>
    <w:rsid w:val="00B85637"/>
    <w:rsid w:val="00B8563D"/>
    <w:rsid w:val="00B85898"/>
    <w:rsid w:val="00B86685"/>
    <w:rsid w:val="00B8708A"/>
    <w:rsid w:val="00B872C8"/>
    <w:rsid w:val="00B876DF"/>
    <w:rsid w:val="00B87CB6"/>
    <w:rsid w:val="00B901C7"/>
    <w:rsid w:val="00B91669"/>
    <w:rsid w:val="00B916B1"/>
    <w:rsid w:val="00B918BF"/>
    <w:rsid w:val="00B934BB"/>
    <w:rsid w:val="00B93D89"/>
    <w:rsid w:val="00B948B2"/>
    <w:rsid w:val="00B94AE8"/>
    <w:rsid w:val="00B94B34"/>
    <w:rsid w:val="00B94D7A"/>
    <w:rsid w:val="00B94F64"/>
    <w:rsid w:val="00B95999"/>
    <w:rsid w:val="00B960D1"/>
    <w:rsid w:val="00B962B3"/>
    <w:rsid w:val="00B96579"/>
    <w:rsid w:val="00B97129"/>
    <w:rsid w:val="00B971E0"/>
    <w:rsid w:val="00B97DAB"/>
    <w:rsid w:val="00BA0806"/>
    <w:rsid w:val="00BA0D20"/>
    <w:rsid w:val="00BA1356"/>
    <w:rsid w:val="00BA1ADD"/>
    <w:rsid w:val="00BA1D98"/>
    <w:rsid w:val="00BA346F"/>
    <w:rsid w:val="00BA357C"/>
    <w:rsid w:val="00BA358E"/>
    <w:rsid w:val="00BA47A6"/>
    <w:rsid w:val="00BA47AF"/>
    <w:rsid w:val="00BA5E12"/>
    <w:rsid w:val="00BA6F73"/>
    <w:rsid w:val="00BA70A5"/>
    <w:rsid w:val="00BA73F9"/>
    <w:rsid w:val="00BA7669"/>
    <w:rsid w:val="00BB13FC"/>
    <w:rsid w:val="00BB257A"/>
    <w:rsid w:val="00BB2C73"/>
    <w:rsid w:val="00BB32FB"/>
    <w:rsid w:val="00BB3C47"/>
    <w:rsid w:val="00BB573B"/>
    <w:rsid w:val="00BB57D5"/>
    <w:rsid w:val="00BB5E24"/>
    <w:rsid w:val="00BB67DF"/>
    <w:rsid w:val="00BC09C7"/>
    <w:rsid w:val="00BC15F5"/>
    <w:rsid w:val="00BC1D83"/>
    <w:rsid w:val="00BC21BA"/>
    <w:rsid w:val="00BC2755"/>
    <w:rsid w:val="00BC2DE4"/>
    <w:rsid w:val="00BC3361"/>
    <w:rsid w:val="00BC33B2"/>
    <w:rsid w:val="00BC3AC8"/>
    <w:rsid w:val="00BC3FE1"/>
    <w:rsid w:val="00BC4923"/>
    <w:rsid w:val="00BC4EC6"/>
    <w:rsid w:val="00BC56A1"/>
    <w:rsid w:val="00BC583C"/>
    <w:rsid w:val="00BC5FA7"/>
    <w:rsid w:val="00BC6149"/>
    <w:rsid w:val="00BC7354"/>
    <w:rsid w:val="00BC795F"/>
    <w:rsid w:val="00BC7C31"/>
    <w:rsid w:val="00BD05DE"/>
    <w:rsid w:val="00BD1787"/>
    <w:rsid w:val="00BD2F83"/>
    <w:rsid w:val="00BD348A"/>
    <w:rsid w:val="00BD3712"/>
    <w:rsid w:val="00BD3F38"/>
    <w:rsid w:val="00BD46BC"/>
    <w:rsid w:val="00BD5206"/>
    <w:rsid w:val="00BD5820"/>
    <w:rsid w:val="00BD5EF8"/>
    <w:rsid w:val="00BD65F3"/>
    <w:rsid w:val="00BD7C2B"/>
    <w:rsid w:val="00BD7EF0"/>
    <w:rsid w:val="00BE0065"/>
    <w:rsid w:val="00BE0688"/>
    <w:rsid w:val="00BE0A10"/>
    <w:rsid w:val="00BE1D26"/>
    <w:rsid w:val="00BE1DB9"/>
    <w:rsid w:val="00BE2C0E"/>
    <w:rsid w:val="00BE3722"/>
    <w:rsid w:val="00BE4E05"/>
    <w:rsid w:val="00BE7762"/>
    <w:rsid w:val="00BE7884"/>
    <w:rsid w:val="00BE791A"/>
    <w:rsid w:val="00BF28BB"/>
    <w:rsid w:val="00BF3930"/>
    <w:rsid w:val="00BF3D5A"/>
    <w:rsid w:val="00BF48CB"/>
    <w:rsid w:val="00BF50A3"/>
    <w:rsid w:val="00BF5F20"/>
    <w:rsid w:val="00BF6410"/>
    <w:rsid w:val="00BF66B0"/>
    <w:rsid w:val="00BF714E"/>
    <w:rsid w:val="00BF72A6"/>
    <w:rsid w:val="00BF72C0"/>
    <w:rsid w:val="00C0152F"/>
    <w:rsid w:val="00C0324D"/>
    <w:rsid w:val="00C0357F"/>
    <w:rsid w:val="00C045E9"/>
    <w:rsid w:val="00C04FB5"/>
    <w:rsid w:val="00C04FBE"/>
    <w:rsid w:val="00C05412"/>
    <w:rsid w:val="00C05EE1"/>
    <w:rsid w:val="00C06023"/>
    <w:rsid w:val="00C06735"/>
    <w:rsid w:val="00C06A6A"/>
    <w:rsid w:val="00C06D59"/>
    <w:rsid w:val="00C073DA"/>
    <w:rsid w:val="00C100DA"/>
    <w:rsid w:val="00C11BC3"/>
    <w:rsid w:val="00C11D3D"/>
    <w:rsid w:val="00C1243A"/>
    <w:rsid w:val="00C12640"/>
    <w:rsid w:val="00C12C61"/>
    <w:rsid w:val="00C13523"/>
    <w:rsid w:val="00C144C7"/>
    <w:rsid w:val="00C15E43"/>
    <w:rsid w:val="00C162CA"/>
    <w:rsid w:val="00C16F0B"/>
    <w:rsid w:val="00C16FF9"/>
    <w:rsid w:val="00C17C44"/>
    <w:rsid w:val="00C20450"/>
    <w:rsid w:val="00C20F1E"/>
    <w:rsid w:val="00C22B2C"/>
    <w:rsid w:val="00C22CC4"/>
    <w:rsid w:val="00C22D0F"/>
    <w:rsid w:val="00C2307B"/>
    <w:rsid w:val="00C24221"/>
    <w:rsid w:val="00C24239"/>
    <w:rsid w:val="00C24CA6"/>
    <w:rsid w:val="00C24F5B"/>
    <w:rsid w:val="00C25412"/>
    <w:rsid w:val="00C25E34"/>
    <w:rsid w:val="00C26456"/>
    <w:rsid w:val="00C26A3D"/>
    <w:rsid w:val="00C26E6E"/>
    <w:rsid w:val="00C31291"/>
    <w:rsid w:val="00C31E05"/>
    <w:rsid w:val="00C3252C"/>
    <w:rsid w:val="00C328C1"/>
    <w:rsid w:val="00C32FEF"/>
    <w:rsid w:val="00C34B3C"/>
    <w:rsid w:val="00C35070"/>
    <w:rsid w:val="00C35E5B"/>
    <w:rsid w:val="00C3652C"/>
    <w:rsid w:val="00C37DC9"/>
    <w:rsid w:val="00C37DE9"/>
    <w:rsid w:val="00C40288"/>
    <w:rsid w:val="00C4085C"/>
    <w:rsid w:val="00C40B86"/>
    <w:rsid w:val="00C415FA"/>
    <w:rsid w:val="00C429F1"/>
    <w:rsid w:val="00C42AA9"/>
    <w:rsid w:val="00C43B8C"/>
    <w:rsid w:val="00C4663F"/>
    <w:rsid w:val="00C470EF"/>
    <w:rsid w:val="00C476C4"/>
    <w:rsid w:val="00C47B36"/>
    <w:rsid w:val="00C47C48"/>
    <w:rsid w:val="00C47EC2"/>
    <w:rsid w:val="00C50268"/>
    <w:rsid w:val="00C506CD"/>
    <w:rsid w:val="00C52431"/>
    <w:rsid w:val="00C52488"/>
    <w:rsid w:val="00C52C29"/>
    <w:rsid w:val="00C52EE9"/>
    <w:rsid w:val="00C53092"/>
    <w:rsid w:val="00C5392B"/>
    <w:rsid w:val="00C53E32"/>
    <w:rsid w:val="00C54A82"/>
    <w:rsid w:val="00C55294"/>
    <w:rsid w:val="00C5600B"/>
    <w:rsid w:val="00C579C4"/>
    <w:rsid w:val="00C60450"/>
    <w:rsid w:val="00C6046A"/>
    <w:rsid w:val="00C60494"/>
    <w:rsid w:val="00C60EF3"/>
    <w:rsid w:val="00C61F02"/>
    <w:rsid w:val="00C6452A"/>
    <w:rsid w:val="00C64CFC"/>
    <w:rsid w:val="00C65659"/>
    <w:rsid w:val="00C65DCD"/>
    <w:rsid w:val="00C66001"/>
    <w:rsid w:val="00C662B1"/>
    <w:rsid w:val="00C6639C"/>
    <w:rsid w:val="00C66646"/>
    <w:rsid w:val="00C66D0F"/>
    <w:rsid w:val="00C67785"/>
    <w:rsid w:val="00C67BC7"/>
    <w:rsid w:val="00C70ADF"/>
    <w:rsid w:val="00C71139"/>
    <w:rsid w:val="00C7149C"/>
    <w:rsid w:val="00C72090"/>
    <w:rsid w:val="00C72495"/>
    <w:rsid w:val="00C73125"/>
    <w:rsid w:val="00C73D53"/>
    <w:rsid w:val="00C751D9"/>
    <w:rsid w:val="00C754AE"/>
    <w:rsid w:val="00C75DFC"/>
    <w:rsid w:val="00C76A5C"/>
    <w:rsid w:val="00C76E98"/>
    <w:rsid w:val="00C76F37"/>
    <w:rsid w:val="00C7708E"/>
    <w:rsid w:val="00C80115"/>
    <w:rsid w:val="00C8080B"/>
    <w:rsid w:val="00C80E86"/>
    <w:rsid w:val="00C814E8"/>
    <w:rsid w:val="00C81F59"/>
    <w:rsid w:val="00C827FA"/>
    <w:rsid w:val="00C8434F"/>
    <w:rsid w:val="00C8450F"/>
    <w:rsid w:val="00C8478B"/>
    <w:rsid w:val="00C86053"/>
    <w:rsid w:val="00C862C2"/>
    <w:rsid w:val="00C8635D"/>
    <w:rsid w:val="00C863D5"/>
    <w:rsid w:val="00C86CB6"/>
    <w:rsid w:val="00C87536"/>
    <w:rsid w:val="00C878D7"/>
    <w:rsid w:val="00C87964"/>
    <w:rsid w:val="00C87C0B"/>
    <w:rsid w:val="00C91016"/>
    <w:rsid w:val="00C91469"/>
    <w:rsid w:val="00C91474"/>
    <w:rsid w:val="00C91AB1"/>
    <w:rsid w:val="00C9302F"/>
    <w:rsid w:val="00C94171"/>
    <w:rsid w:val="00C94793"/>
    <w:rsid w:val="00C95DFF"/>
    <w:rsid w:val="00C9697B"/>
    <w:rsid w:val="00CA0B92"/>
    <w:rsid w:val="00CA1773"/>
    <w:rsid w:val="00CA206B"/>
    <w:rsid w:val="00CA35B1"/>
    <w:rsid w:val="00CA3D25"/>
    <w:rsid w:val="00CA579F"/>
    <w:rsid w:val="00CA6ED9"/>
    <w:rsid w:val="00CA7865"/>
    <w:rsid w:val="00CA7F49"/>
    <w:rsid w:val="00CB0283"/>
    <w:rsid w:val="00CB04EE"/>
    <w:rsid w:val="00CB1232"/>
    <w:rsid w:val="00CB1290"/>
    <w:rsid w:val="00CB143D"/>
    <w:rsid w:val="00CB286F"/>
    <w:rsid w:val="00CB3295"/>
    <w:rsid w:val="00CB3958"/>
    <w:rsid w:val="00CB3AF4"/>
    <w:rsid w:val="00CB4647"/>
    <w:rsid w:val="00CB48CA"/>
    <w:rsid w:val="00CB54C7"/>
    <w:rsid w:val="00CB55FC"/>
    <w:rsid w:val="00CB57F8"/>
    <w:rsid w:val="00CB6328"/>
    <w:rsid w:val="00CC0755"/>
    <w:rsid w:val="00CC1407"/>
    <w:rsid w:val="00CC18C9"/>
    <w:rsid w:val="00CC2C68"/>
    <w:rsid w:val="00CC3669"/>
    <w:rsid w:val="00CC3C57"/>
    <w:rsid w:val="00CC3ECB"/>
    <w:rsid w:val="00CC493D"/>
    <w:rsid w:val="00CC4B68"/>
    <w:rsid w:val="00CC4DEF"/>
    <w:rsid w:val="00CC5489"/>
    <w:rsid w:val="00CC5A4A"/>
    <w:rsid w:val="00CC60A9"/>
    <w:rsid w:val="00CC7CA5"/>
    <w:rsid w:val="00CC7CE6"/>
    <w:rsid w:val="00CD0647"/>
    <w:rsid w:val="00CD0741"/>
    <w:rsid w:val="00CD0F1D"/>
    <w:rsid w:val="00CD1398"/>
    <w:rsid w:val="00CD1D1F"/>
    <w:rsid w:val="00CD20BF"/>
    <w:rsid w:val="00CD2A55"/>
    <w:rsid w:val="00CD3995"/>
    <w:rsid w:val="00CD3E60"/>
    <w:rsid w:val="00CD3EFF"/>
    <w:rsid w:val="00CD40BA"/>
    <w:rsid w:val="00CD415C"/>
    <w:rsid w:val="00CD4C59"/>
    <w:rsid w:val="00CD4EAD"/>
    <w:rsid w:val="00CD52B4"/>
    <w:rsid w:val="00CD57C1"/>
    <w:rsid w:val="00CD57CA"/>
    <w:rsid w:val="00CD6563"/>
    <w:rsid w:val="00CD716E"/>
    <w:rsid w:val="00CD72CB"/>
    <w:rsid w:val="00CE0184"/>
    <w:rsid w:val="00CE1D95"/>
    <w:rsid w:val="00CE227A"/>
    <w:rsid w:val="00CE25EA"/>
    <w:rsid w:val="00CE2B7F"/>
    <w:rsid w:val="00CE331E"/>
    <w:rsid w:val="00CE3776"/>
    <w:rsid w:val="00CE413A"/>
    <w:rsid w:val="00CE4A56"/>
    <w:rsid w:val="00CE4E3E"/>
    <w:rsid w:val="00CE61D1"/>
    <w:rsid w:val="00CE62BB"/>
    <w:rsid w:val="00CE6731"/>
    <w:rsid w:val="00CE6DB1"/>
    <w:rsid w:val="00CE71F2"/>
    <w:rsid w:val="00CF0B3A"/>
    <w:rsid w:val="00CF0C28"/>
    <w:rsid w:val="00CF1038"/>
    <w:rsid w:val="00CF1E33"/>
    <w:rsid w:val="00CF23C5"/>
    <w:rsid w:val="00CF2EA7"/>
    <w:rsid w:val="00CF305F"/>
    <w:rsid w:val="00CF3DB1"/>
    <w:rsid w:val="00CF487D"/>
    <w:rsid w:val="00CF5466"/>
    <w:rsid w:val="00CF5532"/>
    <w:rsid w:val="00CF5BA2"/>
    <w:rsid w:val="00CF5CA8"/>
    <w:rsid w:val="00CF6F77"/>
    <w:rsid w:val="00CF7635"/>
    <w:rsid w:val="00CF796B"/>
    <w:rsid w:val="00D001E6"/>
    <w:rsid w:val="00D00C00"/>
    <w:rsid w:val="00D0156A"/>
    <w:rsid w:val="00D0166E"/>
    <w:rsid w:val="00D019C4"/>
    <w:rsid w:val="00D023C4"/>
    <w:rsid w:val="00D02F51"/>
    <w:rsid w:val="00D035AF"/>
    <w:rsid w:val="00D03737"/>
    <w:rsid w:val="00D03956"/>
    <w:rsid w:val="00D039D2"/>
    <w:rsid w:val="00D03C63"/>
    <w:rsid w:val="00D04DE8"/>
    <w:rsid w:val="00D06132"/>
    <w:rsid w:val="00D07CFD"/>
    <w:rsid w:val="00D10AC9"/>
    <w:rsid w:val="00D11185"/>
    <w:rsid w:val="00D1130A"/>
    <w:rsid w:val="00D116C3"/>
    <w:rsid w:val="00D11926"/>
    <w:rsid w:val="00D12B20"/>
    <w:rsid w:val="00D12FF3"/>
    <w:rsid w:val="00D13500"/>
    <w:rsid w:val="00D136EA"/>
    <w:rsid w:val="00D140F4"/>
    <w:rsid w:val="00D14ECE"/>
    <w:rsid w:val="00D15025"/>
    <w:rsid w:val="00D1520C"/>
    <w:rsid w:val="00D154D8"/>
    <w:rsid w:val="00D15CA1"/>
    <w:rsid w:val="00D15E7C"/>
    <w:rsid w:val="00D16D05"/>
    <w:rsid w:val="00D16D5C"/>
    <w:rsid w:val="00D17109"/>
    <w:rsid w:val="00D1740D"/>
    <w:rsid w:val="00D17E16"/>
    <w:rsid w:val="00D204F8"/>
    <w:rsid w:val="00D206A6"/>
    <w:rsid w:val="00D220DD"/>
    <w:rsid w:val="00D22DB4"/>
    <w:rsid w:val="00D23C82"/>
    <w:rsid w:val="00D24ACE"/>
    <w:rsid w:val="00D25524"/>
    <w:rsid w:val="00D27C1B"/>
    <w:rsid w:val="00D27D85"/>
    <w:rsid w:val="00D30533"/>
    <w:rsid w:val="00D30753"/>
    <w:rsid w:val="00D30BC8"/>
    <w:rsid w:val="00D310A8"/>
    <w:rsid w:val="00D31353"/>
    <w:rsid w:val="00D324C1"/>
    <w:rsid w:val="00D32889"/>
    <w:rsid w:val="00D32F3F"/>
    <w:rsid w:val="00D3346C"/>
    <w:rsid w:val="00D334D7"/>
    <w:rsid w:val="00D33ABD"/>
    <w:rsid w:val="00D345C7"/>
    <w:rsid w:val="00D345F2"/>
    <w:rsid w:val="00D353C0"/>
    <w:rsid w:val="00D374FB"/>
    <w:rsid w:val="00D401CA"/>
    <w:rsid w:val="00D406CC"/>
    <w:rsid w:val="00D40E21"/>
    <w:rsid w:val="00D41BE3"/>
    <w:rsid w:val="00D41F87"/>
    <w:rsid w:val="00D42413"/>
    <w:rsid w:val="00D42EC7"/>
    <w:rsid w:val="00D43886"/>
    <w:rsid w:val="00D446A8"/>
    <w:rsid w:val="00D446F2"/>
    <w:rsid w:val="00D4595C"/>
    <w:rsid w:val="00D45DDA"/>
    <w:rsid w:val="00D463D3"/>
    <w:rsid w:val="00D476CB"/>
    <w:rsid w:val="00D47F3D"/>
    <w:rsid w:val="00D505C5"/>
    <w:rsid w:val="00D518E7"/>
    <w:rsid w:val="00D53C96"/>
    <w:rsid w:val="00D543D6"/>
    <w:rsid w:val="00D544B3"/>
    <w:rsid w:val="00D54CDF"/>
    <w:rsid w:val="00D55784"/>
    <w:rsid w:val="00D55AF1"/>
    <w:rsid w:val="00D56ED3"/>
    <w:rsid w:val="00D57A0E"/>
    <w:rsid w:val="00D57E52"/>
    <w:rsid w:val="00D6009B"/>
    <w:rsid w:val="00D60163"/>
    <w:rsid w:val="00D61338"/>
    <w:rsid w:val="00D61447"/>
    <w:rsid w:val="00D614B6"/>
    <w:rsid w:val="00D62287"/>
    <w:rsid w:val="00D627D5"/>
    <w:rsid w:val="00D6324C"/>
    <w:rsid w:val="00D64E3F"/>
    <w:rsid w:val="00D64ED9"/>
    <w:rsid w:val="00D6530F"/>
    <w:rsid w:val="00D65D16"/>
    <w:rsid w:val="00D6603D"/>
    <w:rsid w:val="00D66093"/>
    <w:rsid w:val="00D673B3"/>
    <w:rsid w:val="00D67CE2"/>
    <w:rsid w:val="00D70927"/>
    <w:rsid w:val="00D709C5"/>
    <w:rsid w:val="00D7112C"/>
    <w:rsid w:val="00D713A1"/>
    <w:rsid w:val="00D7165C"/>
    <w:rsid w:val="00D71F7D"/>
    <w:rsid w:val="00D72D2C"/>
    <w:rsid w:val="00D74108"/>
    <w:rsid w:val="00D74AE2"/>
    <w:rsid w:val="00D7592E"/>
    <w:rsid w:val="00D75B1A"/>
    <w:rsid w:val="00D75C9A"/>
    <w:rsid w:val="00D75EBC"/>
    <w:rsid w:val="00D77261"/>
    <w:rsid w:val="00D7743F"/>
    <w:rsid w:val="00D7765B"/>
    <w:rsid w:val="00D77B83"/>
    <w:rsid w:val="00D77F3C"/>
    <w:rsid w:val="00D805E5"/>
    <w:rsid w:val="00D80B2F"/>
    <w:rsid w:val="00D82075"/>
    <w:rsid w:val="00D832B1"/>
    <w:rsid w:val="00D833A8"/>
    <w:rsid w:val="00D834FD"/>
    <w:rsid w:val="00D83E88"/>
    <w:rsid w:val="00D846EF"/>
    <w:rsid w:val="00D84B2A"/>
    <w:rsid w:val="00D8518D"/>
    <w:rsid w:val="00D853BA"/>
    <w:rsid w:val="00D853DA"/>
    <w:rsid w:val="00D8637B"/>
    <w:rsid w:val="00D867DF"/>
    <w:rsid w:val="00D86923"/>
    <w:rsid w:val="00D86BCA"/>
    <w:rsid w:val="00D87883"/>
    <w:rsid w:val="00D879A3"/>
    <w:rsid w:val="00D87CD0"/>
    <w:rsid w:val="00D87DB7"/>
    <w:rsid w:val="00D903AF"/>
    <w:rsid w:val="00D90D1D"/>
    <w:rsid w:val="00D90F3A"/>
    <w:rsid w:val="00D91214"/>
    <w:rsid w:val="00D91B99"/>
    <w:rsid w:val="00D960C6"/>
    <w:rsid w:val="00D9790B"/>
    <w:rsid w:val="00D979D7"/>
    <w:rsid w:val="00D97BEA"/>
    <w:rsid w:val="00DA1342"/>
    <w:rsid w:val="00DA14DE"/>
    <w:rsid w:val="00DA1A3D"/>
    <w:rsid w:val="00DA1A6B"/>
    <w:rsid w:val="00DA2C40"/>
    <w:rsid w:val="00DA3285"/>
    <w:rsid w:val="00DA355B"/>
    <w:rsid w:val="00DA3CE6"/>
    <w:rsid w:val="00DA41B7"/>
    <w:rsid w:val="00DA5D1C"/>
    <w:rsid w:val="00DA5E4C"/>
    <w:rsid w:val="00DA6D95"/>
    <w:rsid w:val="00DA71B8"/>
    <w:rsid w:val="00DB0CD2"/>
    <w:rsid w:val="00DB1AF7"/>
    <w:rsid w:val="00DB1F3B"/>
    <w:rsid w:val="00DB228D"/>
    <w:rsid w:val="00DB266D"/>
    <w:rsid w:val="00DB3414"/>
    <w:rsid w:val="00DB373A"/>
    <w:rsid w:val="00DB4FD7"/>
    <w:rsid w:val="00DB69E1"/>
    <w:rsid w:val="00DB6B30"/>
    <w:rsid w:val="00DB7028"/>
    <w:rsid w:val="00DB7BD6"/>
    <w:rsid w:val="00DB7BE2"/>
    <w:rsid w:val="00DB7FDB"/>
    <w:rsid w:val="00DC11C7"/>
    <w:rsid w:val="00DC149E"/>
    <w:rsid w:val="00DC1510"/>
    <w:rsid w:val="00DC2FB1"/>
    <w:rsid w:val="00DC3115"/>
    <w:rsid w:val="00DC32A7"/>
    <w:rsid w:val="00DC37C1"/>
    <w:rsid w:val="00DC397A"/>
    <w:rsid w:val="00DC3EAF"/>
    <w:rsid w:val="00DC40CD"/>
    <w:rsid w:val="00DC429D"/>
    <w:rsid w:val="00DC43EB"/>
    <w:rsid w:val="00DC44AA"/>
    <w:rsid w:val="00DC616C"/>
    <w:rsid w:val="00DC6562"/>
    <w:rsid w:val="00DC6A49"/>
    <w:rsid w:val="00DC6B0F"/>
    <w:rsid w:val="00DC762E"/>
    <w:rsid w:val="00DC7895"/>
    <w:rsid w:val="00DC7958"/>
    <w:rsid w:val="00DD1674"/>
    <w:rsid w:val="00DD2118"/>
    <w:rsid w:val="00DD27EC"/>
    <w:rsid w:val="00DD4640"/>
    <w:rsid w:val="00DD5190"/>
    <w:rsid w:val="00DD6856"/>
    <w:rsid w:val="00DD699E"/>
    <w:rsid w:val="00DD6E8A"/>
    <w:rsid w:val="00DD6F74"/>
    <w:rsid w:val="00DD7A0C"/>
    <w:rsid w:val="00DE062F"/>
    <w:rsid w:val="00DE07CF"/>
    <w:rsid w:val="00DE1FB3"/>
    <w:rsid w:val="00DE1FB7"/>
    <w:rsid w:val="00DE20C9"/>
    <w:rsid w:val="00DE2431"/>
    <w:rsid w:val="00DE2CD8"/>
    <w:rsid w:val="00DE2CFE"/>
    <w:rsid w:val="00DE2E4A"/>
    <w:rsid w:val="00DE3348"/>
    <w:rsid w:val="00DE3FE7"/>
    <w:rsid w:val="00DE4826"/>
    <w:rsid w:val="00DE4E24"/>
    <w:rsid w:val="00DE5F9C"/>
    <w:rsid w:val="00DE6B5D"/>
    <w:rsid w:val="00DE6CA5"/>
    <w:rsid w:val="00DE7DC5"/>
    <w:rsid w:val="00DF10D9"/>
    <w:rsid w:val="00DF19E1"/>
    <w:rsid w:val="00DF1A02"/>
    <w:rsid w:val="00DF1EB9"/>
    <w:rsid w:val="00DF2CF6"/>
    <w:rsid w:val="00DF3A51"/>
    <w:rsid w:val="00DF54BC"/>
    <w:rsid w:val="00DF54ED"/>
    <w:rsid w:val="00DF5D0A"/>
    <w:rsid w:val="00DF603D"/>
    <w:rsid w:val="00DF6148"/>
    <w:rsid w:val="00DF6612"/>
    <w:rsid w:val="00E00194"/>
    <w:rsid w:val="00E002C9"/>
    <w:rsid w:val="00E007C1"/>
    <w:rsid w:val="00E00B50"/>
    <w:rsid w:val="00E01511"/>
    <w:rsid w:val="00E01AD9"/>
    <w:rsid w:val="00E02038"/>
    <w:rsid w:val="00E029F3"/>
    <w:rsid w:val="00E0376A"/>
    <w:rsid w:val="00E03B04"/>
    <w:rsid w:val="00E05742"/>
    <w:rsid w:val="00E06A61"/>
    <w:rsid w:val="00E06B0B"/>
    <w:rsid w:val="00E0768E"/>
    <w:rsid w:val="00E07FAD"/>
    <w:rsid w:val="00E101AA"/>
    <w:rsid w:val="00E10586"/>
    <w:rsid w:val="00E106A6"/>
    <w:rsid w:val="00E108AC"/>
    <w:rsid w:val="00E10A8A"/>
    <w:rsid w:val="00E1145A"/>
    <w:rsid w:val="00E11B56"/>
    <w:rsid w:val="00E13C71"/>
    <w:rsid w:val="00E15633"/>
    <w:rsid w:val="00E159C6"/>
    <w:rsid w:val="00E15D09"/>
    <w:rsid w:val="00E15E54"/>
    <w:rsid w:val="00E16D49"/>
    <w:rsid w:val="00E1771F"/>
    <w:rsid w:val="00E17BB1"/>
    <w:rsid w:val="00E17E3A"/>
    <w:rsid w:val="00E17F15"/>
    <w:rsid w:val="00E2017F"/>
    <w:rsid w:val="00E204A4"/>
    <w:rsid w:val="00E207C2"/>
    <w:rsid w:val="00E20820"/>
    <w:rsid w:val="00E20950"/>
    <w:rsid w:val="00E20B08"/>
    <w:rsid w:val="00E20C59"/>
    <w:rsid w:val="00E20DC6"/>
    <w:rsid w:val="00E2114B"/>
    <w:rsid w:val="00E212A7"/>
    <w:rsid w:val="00E21BED"/>
    <w:rsid w:val="00E21C09"/>
    <w:rsid w:val="00E21D92"/>
    <w:rsid w:val="00E220E5"/>
    <w:rsid w:val="00E222DA"/>
    <w:rsid w:val="00E22928"/>
    <w:rsid w:val="00E22F8E"/>
    <w:rsid w:val="00E23298"/>
    <w:rsid w:val="00E23B3E"/>
    <w:rsid w:val="00E23BC0"/>
    <w:rsid w:val="00E258EF"/>
    <w:rsid w:val="00E264B2"/>
    <w:rsid w:val="00E26788"/>
    <w:rsid w:val="00E27C9A"/>
    <w:rsid w:val="00E305C4"/>
    <w:rsid w:val="00E3187E"/>
    <w:rsid w:val="00E3190F"/>
    <w:rsid w:val="00E31BC3"/>
    <w:rsid w:val="00E32ABE"/>
    <w:rsid w:val="00E32E3B"/>
    <w:rsid w:val="00E34071"/>
    <w:rsid w:val="00E35A33"/>
    <w:rsid w:val="00E37604"/>
    <w:rsid w:val="00E37C47"/>
    <w:rsid w:val="00E37D1F"/>
    <w:rsid w:val="00E4012F"/>
    <w:rsid w:val="00E40DCE"/>
    <w:rsid w:val="00E4138E"/>
    <w:rsid w:val="00E41620"/>
    <w:rsid w:val="00E4179C"/>
    <w:rsid w:val="00E41FBC"/>
    <w:rsid w:val="00E42668"/>
    <w:rsid w:val="00E42720"/>
    <w:rsid w:val="00E42DD7"/>
    <w:rsid w:val="00E43484"/>
    <w:rsid w:val="00E43615"/>
    <w:rsid w:val="00E43956"/>
    <w:rsid w:val="00E43B25"/>
    <w:rsid w:val="00E43F7F"/>
    <w:rsid w:val="00E45304"/>
    <w:rsid w:val="00E45A21"/>
    <w:rsid w:val="00E45C65"/>
    <w:rsid w:val="00E47601"/>
    <w:rsid w:val="00E501D1"/>
    <w:rsid w:val="00E5077A"/>
    <w:rsid w:val="00E5192D"/>
    <w:rsid w:val="00E51A3E"/>
    <w:rsid w:val="00E52D98"/>
    <w:rsid w:val="00E53286"/>
    <w:rsid w:val="00E54169"/>
    <w:rsid w:val="00E5439B"/>
    <w:rsid w:val="00E544BD"/>
    <w:rsid w:val="00E5466E"/>
    <w:rsid w:val="00E571CB"/>
    <w:rsid w:val="00E577A9"/>
    <w:rsid w:val="00E57C0E"/>
    <w:rsid w:val="00E602CD"/>
    <w:rsid w:val="00E60697"/>
    <w:rsid w:val="00E609E2"/>
    <w:rsid w:val="00E614CA"/>
    <w:rsid w:val="00E61CE4"/>
    <w:rsid w:val="00E623BB"/>
    <w:rsid w:val="00E6281B"/>
    <w:rsid w:val="00E63147"/>
    <w:rsid w:val="00E6365F"/>
    <w:rsid w:val="00E64B54"/>
    <w:rsid w:val="00E6501A"/>
    <w:rsid w:val="00E65A4E"/>
    <w:rsid w:val="00E668C8"/>
    <w:rsid w:val="00E668EF"/>
    <w:rsid w:val="00E71000"/>
    <w:rsid w:val="00E710B8"/>
    <w:rsid w:val="00E71E25"/>
    <w:rsid w:val="00E72008"/>
    <w:rsid w:val="00E727EA"/>
    <w:rsid w:val="00E728BB"/>
    <w:rsid w:val="00E74237"/>
    <w:rsid w:val="00E7557A"/>
    <w:rsid w:val="00E75B71"/>
    <w:rsid w:val="00E76D21"/>
    <w:rsid w:val="00E76ED6"/>
    <w:rsid w:val="00E773B9"/>
    <w:rsid w:val="00E773CF"/>
    <w:rsid w:val="00E82CA3"/>
    <w:rsid w:val="00E8353A"/>
    <w:rsid w:val="00E8436D"/>
    <w:rsid w:val="00E8472D"/>
    <w:rsid w:val="00E85893"/>
    <w:rsid w:val="00E8631D"/>
    <w:rsid w:val="00E868A1"/>
    <w:rsid w:val="00E874E7"/>
    <w:rsid w:val="00E87577"/>
    <w:rsid w:val="00E87A99"/>
    <w:rsid w:val="00E87B3E"/>
    <w:rsid w:val="00E90DF6"/>
    <w:rsid w:val="00E913E8"/>
    <w:rsid w:val="00E91607"/>
    <w:rsid w:val="00E91CF0"/>
    <w:rsid w:val="00E9232B"/>
    <w:rsid w:val="00E92486"/>
    <w:rsid w:val="00E926CC"/>
    <w:rsid w:val="00E95BC0"/>
    <w:rsid w:val="00E96682"/>
    <w:rsid w:val="00E96894"/>
    <w:rsid w:val="00E97C6A"/>
    <w:rsid w:val="00EA0073"/>
    <w:rsid w:val="00EA0DC6"/>
    <w:rsid w:val="00EA172E"/>
    <w:rsid w:val="00EA1FA5"/>
    <w:rsid w:val="00EA2524"/>
    <w:rsid w:val="00EA546D"/>
    <w:rsid w:val="00EA6406"/>
    <w:rsid w:val="00EA68D1"/>
    <w:rsid w:val="00EA6ADF"/>
    <w:rsid w:val="00EA7A80"/>
    <w:rsid w:val="00EA7E44"/>
    <w:rsid w:val="00EB05EF"/>
    <w:rsid w:val="00EB0F54"/>
    <w:rsid w:val="00EB198C"/>
    <w:rsid w:val="00EB3A2B"/>
    <w:rsid w:val="00EB4946"/>
    <w:rsid w:val="00EB4958"/>
    <w:rsid w:val="00EB5791"/>
    <w:rsid w:val="00EB5A20"/>
    <w:rsid w:val="00EB636C"/>
    <w:rsid w:val="00EB665A"/>
    <w:rsid w:val="00EB744F"/>
    <w:rsid w:val="00EC0B8C"/>
    <w:rsid w:val="00EC0DEF"/>
    <w:rsid w:val="00EC518A"/>
    <w:rsid w:val="00EC5802"/>
    <w:rsid w:val="00EC5C6B"/>
    <w:rsid w:val="00EC63AC"/>
    <w:rsid w:val="00EC65C8"/>
    <w:rsid w:val="00EC67A9"/>
    <w:rsid w:val="00EC67E7"/>
    <w:rsid w:val="00EC68CC"/>
    <w:rsid w:val="00ED039C"/>
    <w:rsid w:val="00ED0942"/>
    <w:rsid w:val="00ED0AD5"/>
    <w:rsid w:val="00ED0AF9"/>
    <w:rsid w:val="00ED10F3"/>
    <w:rsid w:val="00ED14ED"/>
    <w:rsid w:val="00ED2F27"/>
    <w:rsid w:val="00ED3579"/>
    <w:rsid w:val="00ED4863"/>
    <w:rsid w:val="00ED53C0"/>
    <w:rsid w:val="00ED5D94"/>
    <w:rsid w:val="00ED680D"/>
    <w:rsid w:val="00ED6EBD"/>
    <w:rsid w:val="00ED7EDC"/>
    <w:rsid w:val="00EE00E5"/>
    <w:rsid w:val="00EE01A6"/>
    <w:rsid w:val="00EE0CA2"/>
    <w:rsid w:val="00EE0E61"/>
    <w:rsid w:val="00EE0FCD"/>
    <w:rsid w:val="00EE1954"/>
    <w:rsid w:val="00EE22CF"/>
    <w:rsid w:val="00EE2D1B"/>
    <w:rsid w:val="00EE2E70"/>
    <w:rsid w:val="00EE364B"/>
    <w:rsid w:val="00EE3906"/>
    <w:rsid w:val="00EE44CF"/>
    <w:rsid w:val="00EE50BC"/>
    <w:rsid w:val="00EE5EFB"/>
    <w:rsid w:val="00EE610F"/>
    <w:rsid w:val="00EE657B"/>
    <w:rsid w:val="00EE717C"/>
    <w:rsid w:val="00EE7606"/>
    <w:rsid w:val="00EF00CA"/>
    <w:rsid w:val="00EF193B"/>
    <w:rsid w:val="00EF1FCC"/>
    <w:rsid w:val="00EF2CA2"/>
    <w:rsid w:val="00EF2F1D"/>
    <w:rsid w:val="00EF3049"/>
    <w:rsid w:val="00EF3974"/>
    <w:rsid w:val="00EF3C92"/>
    <w:rsid w:val="00EF528D"/>
    <w:rsid w:val="00EF58D1"/>
    <w:rsid w:val="00EF5D8F"/>
    <w:rsid w:val="00EF62E7"/>
    <w:rsid w:val="00EF646B"/>
    <w:rsid w:val="00EF6D04"/>
    <w:rsid w:val="00EF72FF"/>
    <w:rsid w:val="00EF7A94"/>
    <w:rsid w:val="00EF7DFD"/>
    <w:rsid w:val="00F00AC3"/>
    <w:rsid w:val="00F00F8E"/>
    <w:rsid w:val="00F01CF3"/>
    <w:rsid w:val="00F0221A"/>
    <w:rsid w:val="00F02B98"/>
    <w:rsid w:val="00F0312B"/>
    <w:rsid w:val="00F0318E"/>
    <w:rsid w:val="00F03FC8"/>
    <w:rsid w:val="00F0403D"/>
    <w:rsid w:val="00F041B0"/>
    <w:rsid w:val="00F054A7"/>
    <w:rsid w:val="00F0575A"/>
    <w:rsid w:val="00F0676C"/>
    <w:rsid w:val="00F06F60"/>
    <w:rsid w:val="00F07DA3"/>
    <w:rsid w:val="00F103DC"/>
    <w:rsid w:val="00F108A8"/>
    <w:rsid w:val="00F10EE3"/>
    <w:rsid w:val="00F114B9"/>
    <w:rsid w:val="00F11ACF"/>
    <w:rsid w:val="00F1244A"/>
    <w:rsid w:val="00F12D8D"/>
    <w:rsid w:val="00F13067"/>
    <w:rsid w:val="00F13BB3"/>
    <w:rsid w:val="00F13F04"/>
    <w:rsid w:val="00F152D5"/>
    <w:rsid w:val="00F15639"/>
    <w:rsid w:val="00F15775"/>
    <w:rsid w:val="00F1599C"/>
    <w:rsid w:val="00F16595"/>
    <w:rsid w:val="00F20B75"/>
    <w:rsid w:val="00F20BF4"/>
    <w:rsid w:val="00F21209"/>
    <w:rsid w:val="00F22927"/>
    <w:rsid w:val="00F22DC6"/>
    <w:rsid w:val="00F23344"/>
    <w:rsid w:val="00F2383E"/>
    <w:rsid w:val="00F23F08"/>
    <w:rsid w:val="00F23F92"/>
    <w:rsid w:val="00F25564"/>
    <w:rsid w:val="00F25C0C"/>
    <w:rsid w:val="00F26185"/>
    <w:rsid w:val="00F27019"/>
    <w:rsid w:val="00F275F8"/>
    <w:rsid w:val="00F30D20"/>
    <w:rsid w:val="00F3130E"/>
    <w:rsid w:val="00F3219B"/>
    <w:rsid w:val="00F32AE7"/>
    <w:rsid w:val="00F332E7"/>
    <w:rsid w:val="00F335BA"/>
    <w:rsid w:val="00F344F6"/>
    <w:rsid w:val="00F345D7"/>
    <w:rsid w:val="00F34700"/>
    <w:rsid w:val="00F34CE5"/>
    <w:rsid w:val="00F35285"/>
    <w:rsid w:val="00F359B9"/>
    <w:rsid w:val="00F35E3E"/>
    <w:rsid w:val="00F3605D"/>
    <w:rsid w:val="00F36163"/>
    <w:rsid w:val="00F363C5"/>
    <w:rsid w:val="00F369F6"/>
    <w:rsid w:val="00F36D3C"/>
    <w:rsid w:val="00F37A2C"/>
    <w:rsid w:val="00F402AC"/>
    <w:rsid w:val="00F40429"/>
    <w:rsid w:val="00F40B17"/>
    <w:rsid w:val="00F42607"/>
    <w:rsid w:val="00F42844"/>
    <w:rsid w:val="00F42974"/>
    <w:rsid w:val="00F43634"/>
    <w:rsid w:val="00F43C19"/>
    <w:rsid w:val="00F44D10"/>
    <w:rsid w:val="00F44E69"/>
    <w:rsid w:val="00F46079"/>
    <w:rsid w:val="00F46CC4"/>
    <w:rsid w:val="00F47A08"/>
    <w:rsid w:val="00F5013D"/>
    <w:rsid w:val="00F5014D"/>
    <w:rsid w:val="00F51137"/>
    <w:rsid w:val="00F52B4E"/>
    <w:rsid w:val="00F52C3C"/>
    <w:rsid w:val="00F53248"/>
    <w:rsid w:val="00F53F7F"/>
    <w:rsid w:val="00F5428C"/>
    <w:rsid w:val="00F55915"/>
    <w:rsid w:val="00F559A5"/>
    <w:rsid w:val="00F55CC0"/>
    <w:rsid w:val="00F56317"/>
    <w:rsid w:val="00F56387"/>
    <w:rsid w:val="00F56F42"/>
    <w:rsid w:val="00F57DB2"/>
    <w:rsid w:val="00F60334"/>
    <w:rsid w:val="00F6047B"/>
    <w:rsid w:val="00F60CFB"/>
    <w:rsid w:val="00F610DF"/>
    <w:rsid w:val="00F615C3"/>
    <w:rsid w:val="00F62DFA"/>
    <w:rsid w:val="00F62E6C"/>
    <w:rsid w:val="00F6306F"/>
    <w:rsid w:val="00F6314B"/>
    <w:rsid w:val="00F638D2"/>
    <w:rsid w:val="00F63E36"/>
    <w:rsid w:val="00F65812"/>
    <w:rsid w:val="00F65D45"/>
    <w:rsid w:val="00F66B2C"/>
    <w:rsid w:val="00F6784C"/>
    <w:rsid w:val="00F67947"/>
    <w:rsid w:val="00F7096E"/>
    <w:rsid w:val="00F70A4F"/>
    <w:rsid w:val="00F716B2"/>
    <w:rsid w:val="00F71AD8"/>
    <w:rsid w:val="00F72CD8"/>
    <w:rsid w:val="00F730D0"/>
    <w:rsid w:val="00F73F58"/>
    <w:rsid w:val="00F74604"/>
    <w:rsid w:val="00F7463C"/>
    <w:rsid w:val="00F762AF"/>
    <w:rsid w:val="00F76578"/>
    <w:rsid w:val="00F765B7"/>
    <w:rsid w:val="00F7698C"/>
    <w:rsid w:val="00F774E6"/>
    <w:rsid w:val="00F7755E"/>
    <w:rsid w:val="00F77796"/>
    <w:rsid w:val="00F777C7"/>
    <w:rsid w:val="00F77A11"/>
    <w:rsid w:val="00F8040E"/>
    <w:rsid w:val="00F80FF7"/>
    <w:rsid w:val="00F81733"/>
    <w:rsid w:val="00F81D55"/>
    <w:rsid w:val="00F81F82"/>
    <w:rsid w:val="00F822FC"/>
    <w:rsid w:val="00F82966"/>
    <w:rsid w:val="00F82E0F"/>
    <w:rsid w:val="00F82E22"/>
    <w:rsid w:val="00F83226"/>
    <w:rsid w:val="00F83B0E"/>
    <w:rsid w:val="00F84CDB"/>
    <w:rsid w:val="00F8517E"/>
    <w:rsid w:val="00F85BBD"/>
    <w:rsid w:val="00F87D05"/>
    <w:rsid w:val="00F9036B"/>
    <w:rsid w:val="00F905A2"/>
    <w:rsid w:val="00F913EE"/>
    <w:rsid w:val="00F91593"/>
    <w:rsid w:val="00F91709"/>
    <w:rsid w:val="00F917A1"/>
    <w:rsid w:val="00F9198F"/>
    <w:rsid w:val="00F92951"/>
    <w:rsid w:val="00F933DD"/>
    <w:rsid w:val="00F95636"/>
    <w:rsid w:val="00F9597F"/>
    <w:rsid w:val="00F968B2"/>
    <w:rsid w:val="00F97C07"/>
    <w:rsid w:val="00F97E09"/>
    <w:rsid w:val="00F97E60"/>
    <w:rsid w:val="00FA0679"/>
    <w:rsid w:val="00FA0AF0"/>
    <w:rsid w:val="00FA0FE5"/>
    <w:rsid w:val="00FA270B"/>
    <w:rsid w:val="00FA2AFB"/>
    <w:rsid w:val="00FA2CB9"/>
    <w:rsid w:val="00FA3AA9"/>
    <w:rsid w:val="00FA44FB"/>
    <w:rsid w:val="00FB3DDA"/>
    <w:rsid w:val="00FB3E64"/>
    <w:rsid w:val="00FB43A8"/>
    <w:rsid w:val="00FB4F23"/>
    <w:rsid w:val="00FB61D8"/>
    <w:rsid w:val="00FB704A"/>
    <w:rsid w:val="00FB7A83"/>
    <w:rsid w:val="00FB7D64"/>
    <w:rsid w:val="00FC06A3"/>
    <w:rsid w:val="00FC1240"/>
    <w:rsid w:val="00FC170D"/>
    <w:rsid w:val="00FC25A5"/>
    <w:rsid w:val="00FC2651"/>
    <w:rsid w:val="00FC4162"/>
    <w:rsid w:val="00FC4BD5"/>
    <w:rsid w:val="00FC4E19"/>
    <w:rsid w:val="00FC52F4"/>
    <w:rsid w:val="00FC6BE9"/>
    <w:rsid w:val="00FD05B6"/>
    <w:rsid w:val="00FD0DF0"/>
    <w:rsid w:val="00FD1520"/>
    <w:rsid w:val="00FD17A8"/>
    <w:rsid w:val="00FD1D68"/>
    <w:rsid w:val="00FD22E3"/>
    <w:rsid w:val="00FD262D"/>
    <w:rsid w:val="00FD4253"/>
    <w:rsid w:val="00FD43DC"/>
    <w:rsid w:val="00FD59AC"/>
    <w:rsid w:val="00FD5EA6"/>
    <w:rsid w:val="00FD6270"/>
    <w:rsid w:val="00FD692F"/>
    <w:rsid w:val="00FD7A3F"/>
    <w:rsid w:val="00FD7CCD"/>
    <w:rsid w:val="00FE08C8"/>
    <w:rsid w:val="00FE0D55"/>
    <w:rsid w:val="00FE17CD"/>
    <w:rsid w:val="00FE1D82"/>
    <w:rsid w:val="00FE2E93"/>
    <w:rsid w:val="00FE2F45"/>
    <w:rsid w:val="00FE3AF1"/>
    <w:rsid w:val="00FE4FCF"/>
    <w:rsid w:val="00FE56DD"/>
    <w:rsid w:val="00FE6551"/>
    <w:rsid w:val="00FE6B78"/>
    <w:rsid w:val="00FE6EAE"/>
    <w:rsid w:val="00FE75A4"/>
    <w:rsid w:val="00FE79EF"/>
    <w:rsid w:val="00FF0202"/>
    <w:rsid w:val="00FF069C"/>
    <w:rsid w:val="00FF08B5"/>
    <w:rsid w:val="00FF468E"/>
    <w:rsid w:val="00FF4714"/>
    <w:rsid w:val="00FF5FAA"/>
    <w:rsid w:val="00FF68C5"/>
    <w:rsid w:val="00FF6CCC"/>
    <w:rsid w:val="00FF6F91"/>
    <w:rsid w:val="00FF76B0"/>
    <w:rsid w:val="00FF78C6"/>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6D3147"/>
  <w15:docId w15:val="{036256C2-9BB2-4E10-A22B-8EB9D0599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4ECA"/>
    <w:rPr>
      <w:lang w:val="en-US"/>
    </w:rPr>
  </w:style>
  <w:style w:type="paragraph" w:styleId="Ttulo1">
    <w:name w:val="heading 1"/>
    <w:basedOn w:val="Normal"/>
    <w:next w:val="Normal"/>
    <w:link w:val="Ttulo1Carter"/>
    <w:uiPriority w:val="9"/>
    <w:qFormat/>
    <w:rsid w:val="0086218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Cabealho2">
    <w:name w:val="heading 2"/>
    <w:basedOn w:val="Normal"/>
    <w:next w:val="Normal"/>
    <w:link w:val="Cabealho2Carter"/>
    <w:uiPriority w:val="9"/>
    <w:unhideWhenUsed/>
    <w:qFormat/>
    <w:rsid w:val="00BD371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Cabealho3">
    <w:name w:val="heading 3"/>
    <w:basedOn w:val="Normal"/>
    <w:link w:val="Cabealho3Carter"/>
    <w:uiPriority w:val="9"/>
    <w:qFormat/>
    <w:rsid w:val="00A03CC3"/>
    <w:pPr>
      <w:spacing w:before="100" w:beforeAutospacing="1" w:after="100" w:afterAutospacing="1" w:line="240" w:lineRule="auto"/>
      <w:outlineLvl w:val="2"/>
    </w:pPr>
    <w:rPr>
      <w:rFonts w:ascii="Times New Roman" w:eastAsia="Times New Roman" w:hAnsi="Times New Roman" w:cs="Times New Roman"/>
      <w:b/>
      <w:bCs/>
      <w:sz w:val="27"/>
      <w:szCs w:val="27"/>
      <w:lang w:eastAsia="pt-PT"/>
    </w:rPr>
  </w:style>
  <w:style w:type="paragraph" w:styleId="Cabealho5">
    <w:name w:val="heading 5"/>
    <w:basedOn w:val="Normal"/>
    <w:next w:val="Normal"/>
    <w:link w:val="Cabealho5Carter"/>
    <w:uiPriority w:val="9"/>
    <w:unhideWhenUsed/>
    <w:qFormat/>
    <w:rsid w:val="00A83F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86218E"/>
    <w:rPr>
      <w:rFonts w:asciiTheme="majorHAnsi" w:eastAsiaTheme="majorEastAsia" w:hAnsiTheme="majorHAnsi" w:cstheme="majorBidi"/>
      <w:color w:val="2E74B5" w:themeColor="accent1" w:themeShade="BF"/>
      <w:sz w:val="32"/>
      <w:szCs w:val="32"/>
    </w:rPr>
  </w:style>
  <w:style w:type="character" w:customStyle="1" w:styleId="Cabealho2Carter">
    <w:name w:val="Cabeçalho 2 Caráter"/>
    <w:basedOn w:val="Tipodeletrapredefinidodopargrafo"/>
    <w:link w:val="Cabealho2"/>
    <w:uiPriority w:val="9"/>
    <w:rsid w:val="00BD3712"/>
    <w:rPr>
      <w:rFonts w:asciiTheme="majorHAnsi" w:eastAsiaTheme="majorEastAsia" w:hAnsiTheme="majorHAnsi" w:cstheme="majorBidi"/>
      <w:color w:val="2E74B5" w:themeColor="accent1" w:themeShade="BF"/>
      <w:sz w:val="26"/>
      <w:szCs w:val="26"/>
    </w:rPr>
  </w:style>
  <w:style w:type="character" w:customStyle="1" w:styleId="Cabealho3Carter">
    <w:name w:val="Cabeçalho 3 Caráter"/>
    <w:basedOn w:val="Tipodeletrapredefinidodopargrafo"/>
    <w:link w:val="Cabealho3"/>
    <w:uiPriority w:val="9"/>
    <w:rsid w:val="00A03CC3"/>
    <w:rPr>
      <w:rFonts w:ascii="Times New Roman" w:eastAsia="Times New Roman" w:hAnsi="Times New Roman" w:cs="Times New Roman"/>
      <w:b/>
      <w:bCs/>
      <w:sz w:val="27"/>
      <w:szCs w:val="27"/>
      <w:lang w:eastAsia="pt-PT"/>
    </w:rPr>
  </w:style>
  <w:style w:type="character" w:customStyle="1" w:styleId="Cabealho5Carter">
    <w:name w:val="Cabeçalho 5 Caráter"/>
    <w:basedOn w:val="Tipodeletrapredefinidodopargrafo"/>
    <w:link w:val="Cabealho5"/>
    <w:uiPriority w:val="9"/>
    <w:rsid w:val="00A83F5B"/>
    <w:rPr>
      <w:rFonts w:asciiTheme="majorHAnsi" w:eastAsiaTheme="majorEastAsia" w:hAnsiTheme="majorHAnsi" w:cstheme="majorBidi"/>
      <w:color w:val="2E74B5" w:themeColor="accent1" w:themeShade="BF"/>
    </w:rPr>
  </w:style>
  <w:style w:type="paragraph" w:styleId="Ttulo">
    <w:name w:val="Title"/>
    <w:basedOn w:val="Normal"/>
    <w:next w:val="Normal"/>
    <w:link w:val="TtuloCarter"/>
    <w:uiPriority w:val="10"/>
    <w:qFormat/>
    <w:rsid w:val="009064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uiPriority w:val="10"/>
    <w:rsid w:val="00906451"/>
    <w:rPr>
      <w:rFonts w:asciiTheme="majorHAnsi" w:eastAsiaTheme="majorEastAsia" w:hAnsiTheme="majorHAnsi" w:cstheme="majorBidi"/>
      <w:spacing w:val="-10"/>
      <w:kern w:val="28"/>
      <w:sz w:val="56"/>
      <w:szCs w:val="56"/>
    </w:rPr>
  </w:style>
  <w:style w:type="paragraph" w:styleId="PargrafodaLista">
    <w:name w:val="List Paragraph"/>
    <w:basedOn w:val="Normal"/>
    <w:uiPriority w:val="34"/>
    <w:qFormat/>
    <w:rsid w:val="008E0A4B"/>
    <w:pPr>
      <w:ind w:left="720"/>
      <w:contextualSpacing/>
    </w:pPr>
  </w:style>
  <w:style w:type="character" w:styleId="Hiperligao">
    <w:name w:val="Hyperlink"/>
    <w:basedOn w:val="Tipodeletrapredefinidodopargrafo"/>
    <w:uiPriority w:val="99"/>
    <w:unhideWhenUsed/>
    <w:rsid w:val="00A03CC3"/>
    <w:rPr>
      <w:color w:val="0563C1" w:themeColor="hyperlink"/>
      <w:u w:val="single"/>
    </w:rPr>
  </w:style>
  <w:style w:type="paragraph" w:styleId="NormalWeb">
    <w:name w:val="Normal (Web)"/>
    <w:basedOn w:val="Normal"/>
    <w:uiPriority w:val="99"/>
    <w:unhideWhenUsed/>
    <w:rsid w:val="00A03CC3"/>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apple-converted-space">
    <w:name w:val="apple-converted-space"/>
    <w:basedOn w:val="Tipodeletrapredefinidodopargrafo"/>
    <w:rsid w:val="00BA0806"/>
  </w:style>
  <w:style w:type="character" w:styleId="Refdecomentrio">
    <w:name w:val="annotation reference"/>
    <w:basedOn w:val="Tipodeletrapredefinidodopargrafo"/>
    <w:uiPriority w:val="99"/>
    <w:unhideWhenUsed/>
    <w:rsid w:val="007758F2"/>
    <w:rPr>
      <w:sz w:val="16"/>
      <w:szCs w:val="16"/>
    </w:rPr>
  </w:style>
  <w:style w:type="paragraph" w:styleId="Textodecomentrio">
    <w:name w:val="annotation text"/>
    <w:basedOn w:val="Normal"/>
    <w:link w:val="TextodecomentrioCarter"/>
    <w:uiPriority w:val="99"/>
    <w:unhideWhenUsed/>
    <w:rsid w:val="007758F2"/>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rsid w:val="007758F2"/>
    <w:rPr>
      <w:sz w:val="20"/>
      <w:szCs w:val="20"/>
    </w:rPr>
  </w:style>
  <w:style w:type="paragraph" w:styleId="Textodebalo">
    <w:name w:val="Balloon Text"/>
    <w:basedOn w:val="Normal"/>
    <w:link w:val="TextodebaloCarter"/>
    <w:uiPriority w:val="99"/>
    <w:semiHidden/>
    <w:unhideWhenUsed/>
    <w:rsid w:val="007758F2"/>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7758F2"/>
    <w:rPr>
      <w:rFonts w:ascii="Segoe UI" w:hAnsi="Segoe UI" w:cs="Segoe UI"/>
      <w:sz w:val="18"/>
      <w:szCs w:val="18"/>
    </w:rPr>
  </w:style>
  <w:style w:type="paragraph" w:styleId="Assuntodecomentrio">
    <w:name w:val="annotation subject"/>
    <w:basedOn w:val="Textodecomentrio"/>
    <w:next w:val="Textodecomentrio"/>
    <w:link w:val="AssuntodecomentrioCarter"/>
    <w:uiPriority w:val="99"/>
    <w:semiHidden/>
    <w:unhideWhenUsed/>
    <w:rsid w:val="0002529D"/>
    <w:rPr>
      <w:b/>
      <w:bCs/>
    </w:rPr>
  </w:style>
  <w:style w:type="character" w:customStyle="1" w:styleId="AssuntodecomentrioCarter">
    <w:name w:val="Assunto de comentário Caráter"/>
    <w:basedOn w:val="TextodecomentrioCarter"/>
    <w:link w:val="Assuntodecomentrio"/>
    <w:uiPriority w:val="99"/>
    <w:semiHidden/>
    <w:rsid w:val="0002529D"/>
    <w:rPr>
      <w:b/>
      <w:bCs/>
      <w:sz w:val="20"/>
      <w:szCs w:val="20"/>
    </w:rPr>
  </w:style>
  <w:style w:type="character" w:styleId="Hiperligaovisitada">
    <w:name w:val="FollowedHyperlink"/>
    <w:basedOn w:val="Tipodeletrapredefinidodopargrafo"/>
    <w:uiPriority w:val="99"/>
    <w:semiHidden/>
    <w:unhideWhenUsed/>
    <w:rsid w:val="00E6365F"/>
    <w:rPr>
      <w:color w:val="954F72" w:themeColor="followedHyperlink"/>
      <w:u w:val="single"/>
    </w:rPr>
  </w:style>
  <w:style w:type="paragraph" w:styleId="Reviso">
    <w:name w:val="Revision"/>
    <w:hidden/>
    <w:uiPriority w:val="99"/>
    <w:semiHidden/>
    <w:rsid w:val="00285875"/>
    <w:pPr>
      <w:spacing w:after="0" w:line="240" w:lineRule="auto"/>
    </w:pPr>
  </w:style>
  <w:style w:type="character" w:customStyle="1" w:styleId="citationref">
    <w:name w:val="citationref"/>
    <w:basedOn w:val="Tipodeletrapredefinidodopargrafo"/>
    <w:rsid w:val="00B22552"/>
  </w:style>
  <w:style w:type="character" w:styleId="nfase">
    <w:name w:val="Emphasis"/>
    <w:basedOn w:val="Tipodeletrapredefinidodopargrafo"/>
    <w:uiPriority w:val="20"/>
    <w:qFormat/>
    <w:rsid w:val="002A58C6"/>
    <w:rPr>
      <w:i/>
      <w:iCs/>
    </w:rPr>
  </w:style>
  <w:style w:type="character" w:customStyle="1" w:styleId="small-caps">
    <w:name w:val="small-caps"/>
    <w:basedOn w:val="Tipodeletrapredefinidodopargrafo"/>
    <w:rsid w:val="00B024AD"/>
  </w:style>
  <w:style w:type="character" w:customStyle="1" w:styleId="hlfld-title">
    <w:name w:val="hlfld-title"/>
    <w:basedOn w:val="Tipodeletrapredefinidodopargrafo"/>
    <w:rsid w:val="00300A95"/>
  </w:style>
  <w:style w:type="character" w:customStyle="1" w:styleId="html-italic">
    <w:name w:val="html-italic"/>
    <w:basedOn w:val="Tipodeletrapredefinidodopargrafo"/>
    <w:rsid w:val="007C5330"/>
  </w:style>
  <w:style w:type="character" w:customStyle="1" w:styleId="html-small-caps">
    <w:name w:val="html-small-caps"/>
    <w:basedOn w:val="Tipodeletrapredefinidodopargrafo"/>
    <w:rsid w:val="007C5330"/>
  </w:style>
  <w:style w:type="character" w:customStyle="1" w:styleId="element-citation">
    <w:name w:val="element-citation"/>
    <w:basedOn w:val="Tipodeletrapredefinidodopargrafo"/>
    <w:rsid w:val="00F15775"/>
  </w:style>
  <w:style w:type="table" w:styleId="TabelacomGrelha">
    <w:name w:val="Table Grid"/>
    <w:aliases w:val="Tabela com grelha"/>
    <w:basedOn w:val="Tabelanormal"/>
    <w:uiPriority w:val="39"/>
    <w:rsid w:val="000D11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elha4-Destaque61">
    <w:name w:val="Tabela de Grelha 4 - Destaque 61"/>
    <w:basedOn w:val="Tabelanormal"/>
    <w:uiPriority w:val="49"/>
    <w:rsid w:val="00A41C1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Cabealho">
    <w:name w:val="header"/>
    <w:basedOn w:val="Normal"/>
    <w:link w:val="CabealhoCarter"/>
    <w:uiPriority w:val="99"/>
    <w:unhideWhenUsed/>
    <w:rsid w:val="00724A70"/>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724A70"/>
  </w:style>
  <w:style w:type="paragraph" w:styleId="Rodap">
    <w:name w:val="footer"/>
    <w:basedOn w:val="Normal"/>
    <w:link w:val="RodapCarter"/>
    <w:uiPriority w:val="99"/>
    <w:unhideWhenUsed/>
    <w:rsid w:val="00724A70"/>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724A70"/>
  </w:style>
  <w:style w:type="character" w:customStyle="1" w:styleId="citationyear">
    <w:name w:val="citation_year"/>
    <w:basedOn w:val="Tipodeletrapredefinidodopargrafo"/>
    <w:rsid w:val="00696BAA"/>
  </w:style>
  <w:style w:type="character" w:customStyle="1" w:styleId="citationvolume">
    <w:name w:val="citation_volume"/>
    <w:basedOn w:val="Tipodeletrapredefinidodopargrafo"/>
    <w:rsid w:val="00696BAA"/>
  </w:style>
  <w:style w:type="character" w:customStyle="1" w:styleId="a-size-extra-large">
    <w:name w:val="a-size-extra-large"/>
    <w:basedOn w:val="Tipodeletrapredefinidodopargrafo"/>
    <w:rsid w:val="00EC5C6B"/>
  </w:style>
  <w:style w:type="paragraph" w:customStyle="1" w:styleId="Tituloteseautor">
    <w:name w:val="Titulo_tese_autor"/>
    <w:basedOn w:val="Normal"/>
    <w:rsid w:val="00D30753"/>
    <w:pPr>
      <w:spacing w:after="0" w:line="240" w:lineRule="auto"/>
    </w:pPr>
    <w:rPr>
      <w:rFonts w:ascii="Helvetica" w:eastAsia="Times New Roman" w:hAnsi="Helvetica" w:cs="Times New Roman"/>
      <w:b/>
      <w:noProof/>
      <w:sz w:val="28"/>
      <w:szCs w:val="20"/>
      <w:lang w:val="en-GB" w:eastAsia="pt-PT"/>
    </w:rPr>
  </w:style>
  <w:style w:type="paragraph" w:customStyle="1" w:styleId="NormalText">
    <w:name w:val="Normal Text"/>
    <w:basedOn w:val="Normal"/>
    <w:link w:val="NormalTextChar"/>
    <w:qFormat/>
    <w:rsid w:val="00D206A6"/>
    <w:pPr>
      <w:overflowPunct w:val="0"/>
      <w:autoSpaceDE w:val="0"/>
      <w:autoSpaceDN w:val="0"/>
      <w:adjustRightInd w:val="0"/>
      <w:spacing w:after="0" w:line="360" w:lineRule="auto"/>
      <w:ind w:firstLine="1134"/>
      <w:jc w:val="both"/>
      <w:textAlignment w:val="baseline"/>
    </w:pPr>
    <w:rPr>
      <w:rFonts w:ascii="Times New Roman" w:eastAsia="Times New Roman" w:hAnsi="Times New Roman" w:cs="Times New Roman"/>
      <w:sz w:val="24"/>
      <w:szCs w:val="24"/>
      <w:lang w:val="pt-PT"/>
    </w:rPr>
  </w:style>
  <w:style w:type="character" w:customStyle="1" w:styleId="NormalTextChar">
    <w:name w:val="Normal Text Char"/>
    <w:basedOn w:val="Tipodeletrapredefinidodopargrafo"/>
    <w:link w:val="NormalText"/>
    <w:rsid w:val="00D206A6"/>
    <w:rPr>
      <w:rFonts w:ascii="Times New Roman" w:eastAsia="Times New Roman" w:hAnsi="Times New Roman" w:cs="Times New Roman"/>
      <w:sz w:val="24"/>
      <w:szCs w:val="24"/>
    </w:rPr>
  </w:style>
  <w:style w:type="paragraph" w:styleId="Cabealhodondice">
    <w:name w:val="TOC Heading"/>
    <w:basedOn w:val="Ttulo1"/>
    <w:next w:val="Normal"/>
    <w:uiPriority w:val="39"/>
    <w:semiHidden/>
    <w:unhideWhenUsed/>
    <w:qFormat/>
    <w:rsid w:val="00750AB8"/>
    <w:pPr>
      <w:spacing w:before="480" w:line="276" w:lineRule="auto"/>
      <w:outlineLvl w:val="9"/>
    </w:pPr>
    <w:rPr>
      <w:b/>
      <w:bCs/>
      <w:sz w:val="28"/>
      <w:szCs w:val="28"/>
      <w:lang w:val="pt-PT" w:eastAsia="pt-PT"/>
    </w:rPr>
  </w:style>
  <w:style w:type="paragraph" w:styleId="ndice2">
    <w:name w:val="toc 2"/>
    <w:basedOn w:val="Normal"/>
    <w:next w:val="Normal"/>
    <w:autoRedefine/>
    <w:uiPriority w:val="39"/>
    <w:unhideWhenUsed/>
    <w:rsid w:val="00750AB8"/>
    <w:pPr>
      <w:spacing w:after="100"/>
      <w:ind w:left="220"/>
    </w:pPr>
  </w:style>
  <w:style w:type="character" w:customStyle="1" w:styleId="journaltitle">
    <w:name w:val="journaltitle"/>
    <w:basedOn w:val="Tipodeletrapredefinidodopargrafo"/>
    <w:rsid w:val="00D41F87"/>
  </w:style>
  <w:style w:type="character" w:styleId="Mencionar">
    <w:name w:val="Mention"/>
    <w:basedOn w:val="Tipodeletrapredefinidodopargrafo"/>
    <w:uiPriority w:val="99"/>
    <w:semiHidden/>
    <w:unhideWhenUsed/>
    <w:rsid w:val="006E7B55"/>
    <w:rPr>
      <w:color w:val="2B579A"/>
      <w:shd w:val="clear" w:color="auto" w:fill="E6E6E6"/>
    </w:rPr>
  </w:style>
  <w:style w:type="paragraph" w:customStyle="1" w:styleId="EndNoteBibliographyTitle">
    <w:name w:val="EndNote Bibliography Title"/>
    <w:basedOn w:val="Normal"/>
    <w:link w:val="EndNoteBibliographyTitleCarter"/>
    <w:rsid w:val="00E544BD"/>
    <w:pPr>
      <w:spacing w:after="0"/>
      <w:jc w:val="center"/>
    </w:pPr>
    <w:rPr>
      <w:rFonts w:ascii="Calibri" w:hAnsi="Calibri" w:cs="Calibri"/>
      <w:noProof/>
    </w:rPr>
  </w:style>
  <w:style w:type="character" w:customStyle="1" w:styleId="EndNoteBibliographyTitleCarter">
    <w:name w:val="EndNote Bibliography Title Caráter"/>
    <w:basedOn w:val="Tipodeletrapredefinidodopargrafo"/>
    <w:link w:val="EndNoteBibliographyTitle"/>
    <w:rsid w:val="00E544BD"/>
    <w:rPr>
      <w:rFonts w:ascii="Calibri" w:hAnsi="Calibri" w:cs="Calibri"/>
      <w:noProof/>
      <w:lang w:val="en-US"/>
    </w:rPr>
  </w:style>
  <w:style w:type="paragraph" w:customStyle="1" w:styleId="EndNoteBibliography">
    <w:name w:val="EndNote Bibliography"/>
    <w:basedOn w:val="Normal"/>
    <w:link w:val="EndNoteBibliographyCarter"/>
    <w:rsid w:val="00E544BD"/>
    <w:pPr>
      <w:spacing w:line="240" w:lineRule="auto"/>
      <w:jc w:val="both"/>
    </w:pPr>
    <w:rPr>
      <w:rFonts w:ascii="Calibri" w:hAnsi="Calibri" w:cs="Calibri"/>
      <w:noProof/>
    </w:rPr>
  </w:style>
  <w:style w:type="character" w:customStyle="1" w:styleId="EndNoteBibliographyCarter">
    <w:name w:val="EndNote Bibliography Caráter"/>
    <w:basedOn w:val="Tipodeletrapredefinidodopargrafo"/>
    <w:link w:val="EndNoteBibliography"/>
    <w:rsid w:val="00E544BD"/>
    <w:rPr>
      <w:rFonts w:ascii="Calibri" w:hAnsi="Calibri" w:cs="Calibri"/>
      <w:noProof/>
      <w:lang w:val="en-US"/>
    </w:rPr>
  </w:style>
  <w:style w:type="character" w:styleId="MenoNoResolvida">
    <w:name w:val="Unresolved Mention"/>
    <w:basedOn w:val="Tipodeletrapredefinidodopargrafo"/>
    <w:uiPriority w:val="99"/>
    <w:semiHidden/>
    <w:unhideWhenUsed/>
    <w:rsid w:val="002312A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7246">
      <w:bodyDiv w:val="1"/>
      <w:marLeft w:val="0"/>
      <w:marRight w:val="0"/>
      <w:marTop w:val="0"/>
      <w:marBottom w:val="0"/>
      <w:divBdr>
        <w:top w:val="none" w:sz="0" w:space="0" w:color="auto"/>
        <w:left w:val="none" w:sz="0" w:space="0" w:color="auto"/>
        <w:bottom w:val="none" w:sz="0" w:space="0" w:color="auto"/>
        <w:right w:val="none" w:sz="0" w:space="0" w:color="auto"/>
      </w:divBdr>
    </w:div>
    <w:div w:id="35280524">
      <w:bodyDiv w:val="1"/>
      <w:marLeft w:val="0"/>
      <w:marRight w:val="0"/>
      <w:marTop w:val="0"/>
      <w:marBottom w:val="0"/>
      <w:divBdr>
        <w:top w:val="none" w:sz="0" w:space="0" w:color="auto"/>
        <w:left w:val="none" w:sz="0" w:space="0" w:color="auto"/>
        <w:bottom w:val="none" w:sz="0" w:space="0" w:color="auto"/>
        <w:right w:val="none" w:sz="0" w:space="0" w:color="auto"/>
      </w:divBdr>
    </w:div>
    <w:div w:id="117651618">
      <w:bodyDiv w:val="1"/>
      <w:marLeft w:val="0"/>
      <w:marRight w:val="0"/>
      <w:marTop w:val="0"/>
      <w:marBottom w:val="0"/>
      <w:divBdr>
        <w:top w:val="none" w:sz="0" w:space="0" w:color="auto"/>
        <w:left w:val="none" w:sz="0" w:space="0" w:color="auto"/>
        <w:bottom w:val="none" w:sz="0" w:space="0" w:color="auto"/>
        <w:right w:val="none" w:sz="0" w:space="0" w:color="auto"/>
      </w:divBdr>
    </w:div>
    <w:div w:id="122159439">
      <w:bodyDiv w:val="1"/>
      <w:marLeft w:val="0"/>
      <w:marRight w:val="0"/>
      <w:marTop w:val="0"/>
      <w:marBottom w:val="0"/>
      <w:divBdr>
        <w:top w:val="none" w:sz="0" w:space="0" w:color="auto"/>
        <w:left w:val="none" w:sz="0" w:space="0" w:color="auto"/>
        <w:bottom w:val="none" w:sz="0" w:space="0" w:color="auto"/>
        <w:right w:val="none" w:sz="0" w:space="0" w:color="auto"/>
      </w:divBdr>
    </w:div>
    <w:div w:id="128284983">
      <w:bodyDiv w:val="1"/>
      <w:marLeft w:val="0"/>
      <w:marRight w:val="0"/>
      <w:marTop w:val="0"/>
      <w:marBottom w:val="0"/>
      <w:divBdr>
        <w:top w:val="none" w:sz="0" w:space="0" w:color="auto"/>
        <w:left w:val="none" w:sz="0" w:space="0" w:color="auto"/>
        <w:bottom w:val="none" w:sz="0" w:space="0" w:color="auto"/>
        <w:right w:val="none" w:sz="0" w:space="0" w:color="auto"/>
      </w:divBdr>
    </w:div>
    <w:div w:id="203756802">
      <w:bodyDiv w:val="1"/>
      <w:marLeft w:val="0"/>
      <w:marRight w:val="0"/>
      <w:marTop w:val="0"/>
      <w:marBottom w:val="0"/>
      <w:divBdr>
        <w:top w:val="none" w:sz="0" w:space="0" w:color="auto"/>
        <w:left w:val="none" w:sz="0" w:space="0" w:color="auto"/>
        <w:bottom w:val="none" w:sz="0" w:space="0" w:color="auto"/>
        <w:right w:val="none" w:sz="0" w:space="0" w:color="auto"/>
      </w:divBdr>
    </w:div>
    <w:div w:id="242224339">
      <w:bodyDiv w:val="1"/>
      <w:marLeft w:val="0"/>
      <w:marRight w:val="0"/>
      <w:marTop w:val="0"/>
      <w:marBottom w:val="0"/>
      <w:divBdr>
        <w:top w:val="none" w:sz="0" w:space="0" w:color="auto"/>
        <w:left w:val="none" w:sz="0" w:space="0" w:color="auto"/>
        <w:bottom w:val="none" w:sz="0" w:space="0" w:color="auto"/>
        <w:right w:val="none" w:sz="0" w:space="0" w:color="auto"/>
      </w:divBdr>
    </w:div>
    <w:div w:id="273709722">
      <w:bodyDiv w:val="1"/>
      <w:marLeft w:val="0"/>
      <w:marRight w:val="0"/>
      <w:marTop w:val="0"/>
      <w:marBottom w:val="0"/>
      <w:divBdr>
        <w:top w:val="none" w:sz="0" w:space="0" w:color="auto"/>
        <w:left w:val="none" w:sz="0" w:space="0" w:color="auto"/>
        <w:bottom w:val="none" w:sz="0" w:space="0" w:color="auto"/>
        <w:right w:val="none" w:sz="0" w:space="0" w:color="auto"/>
      </w:divBdr>
    </w:div>
    <w:div w:id="488255749">
      <w:bodyDiv w:val="1"/>
      <w:marLeft w:val="0"/>
      <w:marRight w:val="0"/>
      <w:marTop w:val="0"/>
      <w:marBottom w:val="0"/>
      <w:divBdr>
        <w:top w:val="none" w:sz="0" w:space="0" w:color="auto"/>
        <w:left w:val="none" w:sz="0" w:space="0" w:color="auto"/>
        <w:bottom w:val="none" w:sz="0" w:space="0" w:color="auto"/>
        <w:right w:val="none" w:sz="0" w:space="0" w:color="auto"/>
      </w:divBdr>
    </w:div>
    <w:div w:id="503054429">
      <w:bodyDiv w:val="1"/>
      <w:marLeft w:val="0"/>
      <w:marRight w:val="0"/>
      <w:marTop w:val="0"/>
      <w:marBottom w:val="0"/>
      <w:divBdr>
        <w:top w:val="none" w:sz="0" w:space="0" w:color="auto"/>
        <w:left w:val="none" w:sz="0" w:space="0" w:color="auto"/>
        <w:bottom w:val="none" w:sz="0" w:space="0" w:color="auto"/>
        <w:right w:val="none" w:sz="0" w:space="0" w:color="auto"/>
      </w:divBdr>
      <w:divsChild>
        <w:div w:id="495531516">
          <w:marLeft w:val="0"/>
          <w:marRight w:val="0"/>
          <w:marTop w:val="300"/>
          <w:marBottom w:val="480"/>
          <w:divBdr>
            <w:top w:val="none" w:sz="0" w:space="0" w:color="auto"/>
            <w:left w:val="none" w:sz="0" w:space="0" w:color="auto"/>
            <w:bottom w:val="none" w:sz="0" w:space="0" w:color="auto"/>
            <w:right w:val="none" w:sz="0" w:space="0" w:color="auto"/>
          </w:divBdr>
        </w:div>
      </w:divsChild>
    </w:div>
    <w:div w:id="552500270">
      <w:bodyDiv w:val="1"/>
      <w:marLeft w:val="0"/>
      <w:marRight w:val="0"/>
      <w:marTop w:val="0"/>
      <w:marBottom w:val="0"/>
      <w:divBdr>
        <w:top w:val="none" w:sz="0" w:space="0" w:color="auto"/>
        <w:left w:val="none" w:sz="0" w:space="0" w:color="auto"/>
        <w:bottom w:val="none" w:sz="0" w:space="0" w:color="auto"/>
        <w:right w:val="none" w:sz="0" w:space="0" w:color="auto"/>
      </w:divBdr>
    </w:div>
    <w:div w:id="555698926">
      <w:bodyDiv w:val="1"/>
      <w:marLeft w:val="0"/>
      <w:marRight w:val="0"/>
      <w:marTop w:val="0"/>
      <w:marBottom w:val="0"/>
      <w:divBdr>
        <w:top w:val="none" w:sz="0" w:space="0" w:color="auto"/>
        <w:left w:val="none" w:sz="0" w:space="0" w:color="auto"/>
        <w:bottom w:val="none" w:sz="0" w:space="0" w:color="auto"/>
        <w:right w:val="none" w:sz="0" w:space="0" w:color="auto"/>
      </w:divBdr>
    </w:div>
    <w:div w:id="561600078">
      <w:bodyDiv w:val="1"/>
      <w:marLeft w:val="0"/>
      <w:marRight w:val="0"/>
      <w:marTop w:val="0"/>
      <w:marBottom w:val="0"/>
      <w:divBdr>
        <w:top w:val="none" w:sz="0" w:space="0" w:color="auto"/>
        <w:left w:val="none" w:sz="0" w:space="0" w:color="auto"/>
        <w:bottom w:val="none" w:sz="0" w:space="0" w:color="auto"/>
        <w:right w:val="none" w:sz="0" w:space="0" w:color="auto"/>
      </w:divBdr>
    </w:div>
    <w:div w:id="616834050">
      <w:bodyDiv w:val="1"/>
      <w:marLeft w:val="0"/>
      <w:marRight w:val="0"/>
      <w:marTop w:val="0"/>
      <w:marBottom w:val="0"/>
      <w:divBdr>
        <w:top w:val="none" w:sz="0" w:space="0" w:color="auto"/>
        <w:left w:val="none" w:sz="0" w:space="0" w:color="auto"/>
        <w:bottom w:val="none" w:sz="0" w:space="0" w:color="auto"/>
        <w:right w:val="none" w:sz="0" w:space="0" w:color="auto"/>
      </w:divBdr>
    </w:div>
    <w:div w:id="706686425">
      <w:bodyDiv w:val="1"/>
      <w:marLeft w:val="0"/>
      <w:marRight w:val="0"/>
      <w:marTop w:val="0"/>
      <w:marBottom w:val="0"/>
      <w:divBdr>
        <w:top w:val="none" w:sz="0" w:space="0" w:color="auto"/>
        <w:left w:val="none" w:sz="0" w:space="0" w:color="auto"/>
        <w:bottom w:val="none" w:sz="0" w:space="0" w:color="auto"/>
        <w:right w:val="none" w:sz="0" w:space="0" w:color="auto"/>
      </w:divBdr>
    </w:div>
    <w:div w:id="720981426">
      <w:bodyDiv w:val="1"/>
      <w:marLeft w:val="0"/>
      <w:marRight w:val="0"/>
      <w:marTop w:val="0"/>
      <w:marBottom w:val="0"/>
      <w:divBdr>
        <w:top w:val="none" w:sz="0" w:space="0" w:color="auto"/>
        <w:left w:val="none" w:sz="0" w:space="0" w:color="auto"/>
        <w:bottom w:val="none" w:sz="0" w:space="0" w:color="auto"/>
        <w:right w:val="none" w:sz="0" w:space="0" w:color="auto"/>
      </w:divBdr>
    </w:div>
    <w:div w:id="745616289">
      <w:bodyDiv w:val="1"/>
      <w:marLeft w:val="0"/>
      <w:marRight w:val="0"/>
      <w:marTop w:val="0"/>
      <w:marBottom w:val="0"/>
      <w:divBdr>
        <w:top w:val="none" w:sz="0" w:space="0" w:color="auto"/>
        <w:left w:val="none" w:sz="0" w:space="0" w:color="auto"/>
        <w:bottom w:val="none" w:sz="0" w:space="0" w:color="auto"/>
        <w:right w:val="none" w:sz="0" w:space="0" w:color="auto"/>
      </w:divBdr>
    </w:div>
    <w:div w:id="780957135">
      <w:bodyDiv w:val="1"/>
      <w:marLeft w:val="0"/>
      <w:marRight w:val="0"/>
      <w:marTop w:val="0"/>
      <w:marBottom w:val="0"/>
      <w:divBdr>
        <w:top w:val="none" w:sz="0" w:space="0" w:color="auto"/>
        <w:left w:val="none" w:sz="0" w:space="0" w:color="auto"/>
        <w:bottom w:val="none" w:sz="0" w:space="0" w:color="auto"/>
        <w:right w:val="none" w:sz="0" w:space="0" w:color="auto"/>
      </w:divBdr>
      <w:divsChild>
        <w:div w:id="126242630">
          <w:marLeft w:val="0"/>
          <w:marRight w:val="0"/>
          <w:marTop w:val="0"/>
          <w:marBottom w:val="0"/>
          <w:divBdr>
            <w:top w:val="none" w:sz="0" w:space="0" w:color="auto"/>
            <w:left w:val="none" w:sz="0" w:space="0" w:color="auto"/>
            <w:bottom w:val="none" w:sz="0" w:space="0" w:color="auto"/>
            <w:right w:val="none" w:sz="0" w:space="0" w:color="auto"/>
          </w:divBdr>
          <w:divsChild>
            <w:div w:id="1064373282">
              <w:marLeft w:val="0"/>
              <w:marRight w:val="0"/>
              <w:marTop w:val="0"/>
              <w:marBottom w:val="0"/>
              <w:divBdr>
                <w:top w:val="none" w:sz="0" w:space="0" w:color="auto"/>
                <w:left w:val="none" w:sz="0" w:space="0" w:color="auto"/>
                <w:bottom w:val="none" w:sz="0" w:space="0" w:color="auto"/>
                <w:right w:val="none" w:sz="0" w:space="0" w:color="auto"/>
              </w:divBdr>
              <w:divsChild>
                <w:div w:id="374357098">
                  <w:marLeft w:val="0"/>
                  <w:marRight w:val="0"/>
                  <w:marTop w:val="0"/>
                  <w:marBottom w:val="0"/>
                  <w:divBdr>
                    <w:top w:val="none" w:sz="0" w:space="0" w:color="auto"/>
                    <w:left w:val="none" w:sz="0" w:space="0" w:color="auto"/>
                    <w:bottom w:val="none" w:sz="0" w:space="0" w:color="auto"/>
                    <w:right w:val="none" w:sz="0" w:space="0" w:color="auto"/>
                  </w:divBdr>
                  <w:divsChild>
                    <w:div w:id="1343163373">
                      <w:marLeft w:val="0"/>
                      <w:marRight w:val="0"/>
                      <w:marTop w:val="0"/>
                      <w:marBottom w:val="0"/>
                      <w:divBdr>
                        <w:top w:val="none" w:sz="0" w:space="0" w:color="auto"/>
                        <w:left w:val="none" w:sz="0" w:space="0" w:color="auto"/>
                        <w:bottom w:val="none" w:sz="0" w:space="0" w:color="auto"/>
                        <w:right w:val="none" w:sz="0" w:space="0" w:color="auto"/>
                      </w:divBdr>
                      <w:divsChild>
                        <w:div w:id="835609946">
                          <w:marLeft w:val="0"/>
                          <w:marRight w:val="0"/>
                          <w:marTop w:val="0"/>
                          <w:marBottom w:val="0"/>
                          <w:divBdr>
                            <w:top w:val="none" w:sz="0" w:space="0" w:color="auto"/>
                            <w:left w:val="none" w:sz="0" w:space="0" w:color="auto"/>
                            <w:bottom w:val="none" w:sz="0" w:space="0" w:color="auto"/>
                            <w:right w:val="none" w:sz="0" w:space="0" w:color="auto"/>
                          </w:divBdr>
                          <w:divsChild>
                            <w:div w:id="137391929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1005590164">
          <w:marLeft w:val="0"/>
          <w:marRight w:val="0"/>
          <w:marTop w:val="0"/>
          <w:marBottom w:val="0"/>
          <w:divBdr>
            <w:top w:val="none" w:sz="0" w:space="0" w:color="auto"/>
            <w:left w:val="none" w:sz="0" w:space="0" w:color="auto"/>
            <w:bottom w:val="none" w:sz="0" w:space="0" w:color="auto"/>
            <w:right w:val="none" w:sz="0" w:space="0" w:color="auto"/>
          </w:divBdr>
          <w:divsChild>
            <w:div w:id="2007398043">
              <w:marLeft w:val="0"/>
              <w:marRight w:val="0"/>
              <w:marTop w:val="0"/>
              <w:marBottom w:val="0"/>
              <w:divBdr>
                <w:top w:val="none" w:sz="0" w:space="0" w:color="auto"/>
                <w:left w:val="none" w:sz="0" w:space="0" w:color="auto"/>
                <w:bottom w:val="none" w:sz="0" w:space="0" w:color="auto"/>
                <w:right w:val="none" w:sz="0" w:space="0" w:color="auto"/>
              </w:divBdr>
              <w:divsChild>
                <w:div w:id="1624075418">
                  <w:marLeft w:val="0"/>
                  <w:marRight w:val="0"/>
                  <w:marTop w:val="0"/>
                  <w:marBottom w:val="0"/>
                  <w:divBdr>
                    <w:top w:val="none" w:sz="0" w:space="0" w:color="auto"/>
                    <w:left w:val="none" w:sz="0" w:space="0" w:color="auto"/>
                    <w:bottom w:val="none" w:sz="0" w:space="0" w:color="auto"/>
                    <w:right w:val="none" w:sz="0" w:space="0" w:color="auto"/>
                  </w:divBdr>
                  <w:divsChild>
                    <w:div w:id="214583034">
                      <w:marLeft w:val="0"/>
                      <w:marRight w:val="0"/>
                      <w:marTop w:val="0"/>
                      <w:marBottom w:val="0"/>
                      <w:divBdr>
                        <w:top w:val="none" w:sz="0" w:space="0" w:color="auto"/>
                        <w:left w:val="none" w:sz="0" w:space="0" w:color="auto"/>
                        <w:bottom w:val="none" w:sz="0" w:space="0" w:color="auto"/>
                        <w:right w:val="none" w:sz="0" w:space="0" w:color="auto"/>
                      </w:divBdr>
                      <w:divsChild>
                        <w:div w:id="262997416">
                          <w:marLeft w:val="0"/>
                          <w:marRight w:val="0"/>
                          <w:marTop w:val="0"/>
                          <w:marBottom w:val="0"/>
                          <w:divBdr>
                            <w:top w:val="none" w:sz="0" w:space="0" w:color="auto"/>
                            <w:left w:val="none" w:sz="0" w:space="0" w:color="auto"/>
                            <w:bottom w:val="none" w:sz="0" w:space="0" w:color="auto"/>
                            <w:right w:val="none" w:sz="0" w:space="0" w:color="auto"/>
                          </w:divBdr>
                          <w:divsChild>
                            <w:div w:id="824316202">
                              <w:marLeft w:val="0"/>
                              <w:marRight w:val="0"/>
                              <w:marTop w:val="0"/>
                              <w:marBottom w:val="0"/>
                              <w:divBdr>
                                <w:top w:val="none" w:sz="0" w:space="0" w:color="auto"/>
                                <w:left w:val="none" w:sz="0" w:space="0" w:color="auto"/>
                                <w:bottom w:val="none" w:sz="0" w:space="0" w:color="auto"/>
                                <w:right w:val="none" w:sz="0" w:space="0" w:color="auto"/>
                              </w:divBdr>
                              <w:divsChild>
                                <w:div w:id="50983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201249">
                      <w:marLeft w:val="60"/>
                      <w:marRight w:val="0"/>
                      <w:marTop w:val="0"/>
                      <w:marBottom w:val="0"/>
                      <w:divBdr>
                        <w:top w:val="none" w:sz="0" w:space="0" w:color="auto"/>
                        <w:left w:val="none" w:sz="0" w:space="0" w:color="auto"/>
                        <w:bottom w:val="none" w:sz="0" w:space="0" w:color="auto"/>
                        <w:right w:val="none" w:sz="0" w:space="0" w:color="auto"/>
                      </w:divBdr>
                      <w:divsChild>
                        <w:div w:id="918179482">
                          <w:marLeft w:val="0"/>
                          <w:marRight w:val="0"/>
                          <w:marTop w:val="0"/>
                          <w:marBottom w:val="0"/>
                          <w:divBdr>
                            <w:top w:val="none" w:sz="0" w:space="0" w:color="auto"/>
                            <w:left w:val="none" w:sz="0" w:space="0" w:color="auto"/>
                            <w:bottom w:val="none" w:sz="0" w:space="0" w:color="auto"/>
                            <w:right w:val="none" w:sz="0" w:space="0" w:color="auto"/>
                          </w:divBdr>
                          <w:divsChild>
                            <w:div w:id="277446304">
                              <w:marLeft w:val="135"/>
                              <w:marRight w:val="135"/>
                              <w:marTop w:val="0"/>
                              <w:marBottom w:val="90"/>
                              <w:divBdr>
                                <w:top w:val="none" w:sz="0" w:space="0" w:color="auto"/>
                                <w:left w:val="none" w:sz="0" w:space="0" w:color="auto"/>
                                <w:bottom w:val="none" w:sz="0" w:space="0" w:color="auto"/>
                                <w:right w:val="none" w:sz="0" w:space="0" w:color="auto"/>
                              </w:divBdr>
                            </w:div>
                            <w:div w:id="760950151">
                              <w:marLeft w:val="135"/>
                              <w:marRight w:val="135"/>
                              <w:marTop w:val="0"/>
                              <w:marBottom w:val="90"/>
                              <w:divBdr>
                                <w:top w:val="none" w:sz="0" w:space="0" w:color="auto"/>
                                <w:left w:val="none" w:sz="0" w:space="0" w:color="auto"/>
                                <w:bottom w:val="none" w:sz="0" w:space="0" w:color="auto"/>
                                <w:right w:val="none" w:sz="0" w:space="0" w:color="auto"/>
                              </w:divBdr>
                            </w:div>
                            <w:div w:id="879048188">
                              <w:marLeft w:val="135"/>
                              <w:marRight w:val="135"/>
                              <w:marTop w:val="0"/>
                              <w:marBottom w:val="90"/>
                              <w:divBdr>
                                <w:top w:val="none" w:sz="0" w:space="0" w:color="auto"/>
                                <w:left w:val="none" w:sz="0" w:space="0" w:color="auto"/>
                                <w:bottom w:val="none" w:sz="0" w:space="0" w:color="auto"/>
                                <w:right w:val="none" w:sz="0" w:space="0" w:color="auto"/>
                              </w:divBdr>
                            </w:div>
                            <w:div w:id="2024934866">
                              <w:marLeft w:val="135"/>
                              <w:marRight w:val="135"/>
                              <w:marTop w:val="0"/>
                              <w:marBottom w:val="90"/>
                              <w:divBdr>
                                <w:top w:val="none" w:sz="0" w:space="0" w:color="auto"/>
                                <w:left w:val="none" w:sz="0" w:space="0" w:color="auto"/>
                                <w:bottom w:val="none" w:sz="0" w:space="0" w:color="auto"/>
                                <w:right w:val="none" w:sz="0" w:space="0" w:color="auto"/>
                              </w:divBdr>
                            </w:div>
                            <w:div w:id="2126460963">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1416125098">
          <w:marLeft w:val="0"/>
          <w:marRight w:val="0"/>
          <w:marTop w:val="0"/>
          <w:marBottom w:val="0"/>
          <w:divBdr>
            <w:top w:val="none" w:sz="0" w:space="0" w:color="auto"/>
            <w:left w:val="none" w:sz="0" w:space="0" w:color="auto"/>
            <w:bottom w:val="none" w:sz="0" w:space="0" w:color="auto"/>
            <w:right w:val="none" w:sz="0" w:space="0" w:color="auto"/>
          </w:divBdr>
          <w:divsChild>
            <w:div w:id="453446696">
              <w:marLeft w:val="0"/>
              <w:marRight w:val="0"/>
              <w:marTop w:val="0"/>
              <w:marBottom w:val="0"/>
              <w:divBdr>
                <w:top w:val="none" w:sz="0" w:space="0" w:color="auto"/>
                <w:left w:val="none" w:sz="0" w:space="0" w:color="auto"/>
                <w:bottom w:val="none" w:sz="0" w:space="0" w:color="auto"/>
                <w:right w:val="none" w:sz="0" w:space="0" w:color="auto"/>
              </w:divBdr>
              <w:divsChild>
                <w:div w:id="1706170524">
                  <w:marLeft w:val="0"/>
                  <w:marRight w:val="0"/>
                  <w:marTop w:val="0"/>
                  <w:marBottom w:val="0"/>
                  <w:divBdr>
                    <w:top w:val="none" w:sz="0" w:space="0" w:color="auto"/>
                    <w:left w:val="none" w:sz="0" w:space="0" w:color="auto"/>
                    <w:bottom w:val="none" w:sz="0" w:space="0" w:color="auto"/>
                    <w:right w:val="none" w:sz="0" w:space="0" w:color="auto"/>
                  </w:divBdr>
                  <w:divsChild>
                    <w:div w:id="363790879">
                      <w:marLeft w:val="60"/>
                      <w:marRight w:val="0"/>
                      <w:marTop w:val="0"/>
                      <w:marBottom w:val="0"/>
                      <w:divBdr>
                        <w:top w:val="none" w:sz="0" w:space="0" w:color="auto"/>
                        <w:left w:val="none" w:sz="0" w:space="0" w:color="auto"/>
                        <w:bottom w:val="none" w:sz="0" w:space="0" w:color="auto"/>
                        <w:right w:val="none" w:sz="0" w:space="0" w:color="auto"/>
                      </w:divBdr>
                      <w:divsChild>
                        <w:div w:id="467938468">
                          <w:marLeft w:val="0"/>
                          <w:marRight w:val="0"/>
                          <w:marTop w:val="0"/>
                          <w:marBottom w:val="0"/>
                          <w:divBdr>
                            <w:top w:val="none" w:sz="0" w:space="0" w:color="auto"/>
                            <w:left w:val="none" w:sz="0" w:space="0" w:color="auto"/>
                            <w:bottom w:val="none" w:sz="0" w:space="0" w:color="auto"/>
                            <w:right w:val="none" w:sz="0" w:space="0" w:color="auto"/>
                          </w:divBdr>
                          <w:divsChild>
                            <w:div w:id="374282850">
                              <w:marLeft w:val="135"/>
                              <w:marRight w:val="135"/>
                              <w:marTop w:val="0"/>
                              <w:marBottom w:val="90"/>
                              <w:divBdr>
                                <w:top w:val="none" w:sz="0" w:space="0" w:color="auto"/>
                                <w:left w:val="none" w:sz="0" w:space="0" w:color="auto"/>
                                <w:bottom w:val="none" w:sz="0" w:space="0" w:color="auto"/>
                                <w:right w:val="none" w:sz="0" w:space="0" w:color="auto"/>
                              </w:divBdr>
                            </w:div>
                            <w:div w:id="113911216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3448855">
      <w:bodyDiv w:val="1"/>
      <w:marLeft w:val="0"/>
      <w:marRight w:val="0"/>
      <w:marTop w:val="0"/>
      <w:marBottom w:val="0"/>
      <w:divBdr>
        <w:top w:val="none" w:sz="0" w:space="0" w:color="auto"/>
        <w:left w:val="none" w:sz="0" w:space="0" w:color="auto"/>
        <w:bottom w:val="none" w:sz="0" w:space="0" w:color="auto"/>
        <w:right w:val="none" w:sz="0" w:space="0" w:color="auto"/>
      </w:divBdr>
    </w:div>
    <w:div w:id="846286450">
      <w:bodyDiv w:val="1"/>
      <w:marLeft w:val="0"/>
      <w:marRight w:val="0"/>
      <w:marTop w:val="0"/>
      <w:marBottom w:val="0"/>
      <w:divBdr>
        <w:top w:val="none" w:sz="0" w:space="0" w:color="auto"/>
        <w:left w:val="none" w:sz="0" w:space="0" w:color="auto"/>
        <w:bottom w:val="none" w:sz="0" w:space="0" w:color="auto"/>
        <w:right w:val="none" w:sz="0" w:space="0" w:color="auto"/>
      </w:divBdr>
      <w:divsChild>
        <w:div w:id="668868578">
          <w:marLeft w:val="0"/>
          <w:marRight w:val="0"/>
          <w:marTop w:val="0"/>
          <w:marBottom w:val="0"/>
          <w:divBdr>
            <w:top w:val="none" w:sz="0" w:space="0" w:color="auto"/>
            <w:left w:val="none" w:sz="0" w:space="0" w:color="auto"/>
            <w:bottom w:val="none" w:sz="0" w:space="0" w:color="auto"/>
            <w:right w:val="none" w:sz="0" w:space="0" w:color="auto"/>
          </w:divBdr>
          <w:divsChild>
            <w:div w:id="2006394043">
              <w:marLeft w:val="0"/>
              <w:marRight w:val="0"/>
              <w:marTop w:val="0"/>
              <w:marBottom w:val="0"/>
              <w:divBdr>
                <w:top w:val="none" w:sz="0" w:space="0" w:color="auto"/>
                <w:left w:val="none" w:sz="0" w:space="0" w:color="auto"/>
                <w:bottom w:val="none" w:sz="0" w:space="0" w:color="auto"/>
                <w:right w:val="none" w:sz="0" w:space="0" w:color="auto"/>
              </w:divBdr>
              <w:divsChild>
                <w:div w:id="469712540">
                  <w:marLeft w:val="0"/>
                  <w:marRight w:val="0"/>
                  <w:marTop w:val="0"/>
                  <w:marBottom w:val="0"/>
                  <w:divBdr>
                    <w:top w:val="none" w:sz="0" w:space="0" w:color="auto"/>
                    <w:left w:val="none" w:sz="0" w:space="0" w:color="auto"/>
                    <w:bottom w:val="none" w:sz="0" w:space="0" w:color="auto"/>
                    <w:right w:val="none" w:sz="0" w:space="0" w:color="auto"/>
                  </w:divBdr>
                  <w:divsChild>
                    <w:div w:id="842085200">
                      <w:marLeft w:val="60"/>
                      <w:marRight w:val="0"/>
                      <w:marTop w:val="0"/>
                      <w:marBottom w:val="0"/>
                      <w:divBdr>
                        <w:top w:val="none" w:sz="0" w:space="0" w:color="auto"/>
                        <w:left w:val="none" w:sz="0" w:space="0" w:color="auto"/>
                        <w:bottom w:val="none" w:sz="0" w:space="0" w:color="auto"/>
                        <w:right w:val="none" w:sz="0" w:space="0" w:color="auto"/>
                      </w:divBdr>
                      <w:divsChild>
                        <w:div w:id="1738747902">
                          <w:marLeft w:val="0"/>
                          <w:marRight w:val="0"/>
                          <w:marTop w:val="0"/>
                          <w:marBottom w:val="0"/>
                          <w:divBdr>
                            <w:top w:val="none" w:sz="0" w:space="0" w:color="auto"/>
                            <w:left w:val="none" w:sz="0" w:space="0" w:color="auto"/>
                            <w:bottom w:val="none" w:sz="0" w:space="0" w:color="auto"/>
                            <w:right w:val="none" w:sz="0" w:space="0" w:color="auto"/>
                          </w:divBdr>
                          <w:divsChild>
                            <w:div w:id="48724632">
                              <w:marLeft w:val="135"/>
                              <w:marRight w:val="135"/>
                              <w:marTop w:val="0"/>
                              <w:marBottom w:val="90"/>
                              <w:divBdr>
                                <w:top w:val="none" w:sz="0" w:space="0" w:color="auto"/>
                                <w:left w:val="none" w:sz="0" w:space="0" w:color="auto"/>
                                <w:bottom w:val="none" w:sz="0" w:space="0" w:color="auto"/>
                                <w:right w:val="none" w:sz="0" w:space="0" w:color="auto"/>
                              </w:divBdr>
                            </w:div>
                            <w:div w:id="357970161">
                              <w:marLeft w:val="135"/>
                              <w:marRight w:val="135"/>
                              <w:marTop w:val="0"/>
                              <w:marBottom w:val="90"/>
                              <w:divBdr>
                                <w:top w:val="none" w:sz="0" w:space="0" w:color="auto"/>
                                <w:left w:val="none" w:sz="0" w:space="0" w:color="auto"/>
                                <w:bottom w:val="none" w:sz="0" w:space="0" w:color="auto"/>
                                <w:right w:val="none" w:sz="0" w:space="0" w:color="auto"/>
                              </w:divBdr>
                            </w:div>
                            <w:div w:id="404299256">
                              <w:marLeft w:val="135"/>
                              <w:marRight w:val="135"/>
                              <w:marTop w:val="0"/>
                              <w:marBottom w:val="90"/>
                              <w:divBdr>
                                <w:top w:val="none" w:sz="0" w:space="0" w:color="auto"/>
                                <w:left w:val="none" w:sz="0" w:space="0" w:color="auto"/>
                                <w:bottom w:val="none" w:sz="0" w:space="0" w:color="auto"/>
                                <w:right w:val="none" w:sz="0" w:space="0" w:color="auto"/>
                              </w:divBdr>
                            </w:div>
                            <w:div w:id="474493185">
                              <w:marLeft w:val="135"/>
                              <w:marRight w:val="135"/>
                              <w:marTop w:val="0"/>
                              <w:marBottom w:val="90"/>
                              <w:divBdr>
                                <w:top w:val="none" w:sz="0" w:space="0" w:color="auto"/>
                                <w:left w:val="none" w:sz="0" w:space="0" w:color="auto"/>
                                <w:bottom w:val="none" w:sz="0" w:space="0" w:color="auto"/>
                                <w:right w:val="none" w:sz="0" w:space="0" w:color="auto"/>
                              </w:divBdr>
                            </w:div>
                            <w:div w:id="490029763">
                              <w:marLeft w:val="135"/>
                              <w:marRight w:val="135"/>
                              <w:marTop w:val="0"/>
                              <w:marBottom w:val="90"/>
                              <w:divBdr>
                                <w:top w:val="none" w:sz="0" w:space="0" w:color="auto"/>
                                <w:left w:val="none" w:sz="0" w:space="0" w:color="auto"/>
                                <w:bottom w:val="none" w:sz="0" w:space="0" w:color="auto"/>
                                <w:right w:val="none" w:sz="0" w:space="0" w:color="auto"/>
                              </w:divBdr>
                            </w:div>
                            <w:div w:id="1187402427">
                              <w:marLeft w:val="135"/>
                              <w:marRight w:val="135"/>
                              <w:marTop w:val="0"/>
                              <w:marBottom w:val="90"/>
                              <w:divBdr>
                                <w:top w:val="none" w:sz="0" w:space="0" w:color="auto"/>
                                <w:left w:val="none" w:sz="0" w:space="0" w:color="auto"/>
                                <w:bottom w:val="none" w:sz="0" w:space="0" w:color="auto"/>
                                <w:right w:val="none" w:sz="0" w:space="0" w:color="auto"/>
                              </w:divBdr>
                            </w:div>
                            <w:div w:id="1333878227">
                              <w:marLeft w:val="135"/>
                              <w:marRight w:val="135"/>
                              <w:marTop w:val="0"/>
                              <w:marBottom w:val="90"/>
                              <w:divBdr>
                                <w:top w:val="none" w:sz="0" w:space="0" w:color="auto"/>
                                <w:left w:val="none" w:sz="0" w:space="0" w:color="auto"/>
                                <w:bottom w:val="none" w:sz="0" w:space="0" w:color="auto"/>
                                <w:right w:val="none" w:sz="0" w:space="0" w:color="auto"/>
                              </w:divBdr>
                            </w:div>
                            <w:div w:id="1417751504">
                              <w:marLeft w:val="135"/>
                              <w:marRight w:val="135"/>
                              <w:marTop w:val="0"/>
                              <w:marBottom w:val="90"/>
                              <w:divBdr>
                                <w:top w:val="none" w:sz="0" w:space="0" w:color="auto"/>
                                <w:left w:val="none" w:sz="0" w:space="0" w:color="auto"/>
                                <w:bottom w:val="none" w:sz="0" w:space="0" w:color="auto"/>
                                <w:right w:val="none" w:sz="0" w:space="0" w:color="auto"/>
                              </w:divBdr>
                            </w:div>
                            <w:div w:id="1439060353">
                              <w:marLeft w:val="135"/>
                              <w:marRight w:val="135"/>
                              <w:marTop w:val="0"/>
                              <w:marBottom w:val="90"/>
                              <w:divBdr>
                                <w:top w:val="none" w:sz="0" w:space="0" w:color="auto"/>
                                <w:left w:val="none" w:sz="0" w:space="0" w:color="auto"/>
                                <w:bottom w:val="none" w:sz="0" w:space="0" w:color="auto"/>
                                <w:right w:val="none" w:sz="0" w:space="0" w:color="auto"/>
                              </w:divBdr>
                            </w:div>
                            <w:div w:id="157852042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2013331777">
                      <w:marLeft w:val="0"/>
                      <w:marRight w:val="0"/>
                      <w:marTop w:val="0"/>
                      <w:marBottom w:val="0"/>
                      <w:divBdr>
                        <w:top w:val="none" w:sz="0" w:space="0" w:color="auto"/>
                        <w:left w:val="none" w:sz="0" w:space="0" w:color="auto"/>
                        <w:bottom w:val="none" w:sz="0" w:space="0" w:color="auto"/>
                        <w:right w:val="none" w:sz="0" w:space="0" w:color="auto"/>
                      </w:divBdr>
                      <w:divsChild>
                        <w:div w:id="729890123">
                          <w:marLeft w:val="0"/>
                          <w:marRight w:val="0"/>
                          <w:marTop w:val="0"/>
                          <w:marBottom w:val="0"/>
                          <w:divBdr>
                            <w:top w:val="none" w:sz="0" w:space="0" w:color="auto"/>
                            <w:left w:val="none" w:sz="0" w:space="0" w:color="auto"/>
                            <w:bottom w:val="none" w:sz="0" w:space="0" w:color="auto"/>
                            <w:right w:val="none" w:sz="0" w:space="0" w:color="auto"/>
                          </w:divBdr>
                          <w:divsChild>
                            <w:div w:id="1219318260">
                              <w:marLeft w:val="0"/>
                              <w:marRight w:val="0"/>
                              <w:marTop w:val="0"/>
                              <w:marBottom w:val="0"/>
                              <w:divBdr>
                                <w:top w:val="none" w:sz="0" w:space="0" w:color="auto"/>
                                <w:left w:val="none" w:sz="0" w:space="0" w:color="auto"/>
                                <w:bottom w:val="none" w:sz="0" w:space="0" w:color="auto"/>
                                <w:right w:val="none" w:sz="0" w:space="0" w:color="auto"/>
                              </w:divBdr>
                              <w:divsChild>
                                <w:div w:id="158013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735448">
          <w:marLeft w:val="0"/>
          <w:marRight w:val="0"/>
          <w:marTop w:val="0"/>
          <w:marBottom w:val="0"/>
          <w:divBdr>
            <w:top w:val="none" w:sz="0" w:space="0" w:color="auto"/>
            <w:left w:val="none" w:sz="0" w:space="0" w:color="auto"/>
            <w:bottom w:val="none" w:sz="0" w:space="0" w:color="auto"/>
            <w:right w:val="none" w:sz="0" w:space="0" w:color="auto"/>
          </w:divBdr>
          <w:divsChild>
            <w:div w:id="1306277233">
              <w:marLeft w:val="0"/>
              <w:marRight w:val="0"/>
              <w:marTop w:val="0"/>
              <w:marBottom w:val="0"/>
              <w:divBdr>
                <w:top w:val="none" w:sz="0" w:space="0" w:color="auto"/>
                <w:left w:val="none" w:sz="0" w:space="0" w:color="auto"/>
                <w:bottom w:val="none" w:sz="0" w:space="0" w:color="auto"/>
                <w:right w:val="none" w:sz="0" w:space="0" w:color="auto"/>
              </w:divBdr>
              <w:divsChild>
                <w:div w:id="533735459">
                  <w:marLeft w:val="0"/>
                  <w:marRight w:val="0"/>
                  <w:marTop w:val="0"/>
                  <w:marBottom w:val="0"/>
                  <w:divBdr>
                    <w:top w:val="none" w:sz="0" w:space="0" w:color="auto"/>
                    <w:left w:val="none" w:sz="0" w:space="0" w:color="auto"/>
                    <w:bottom w:val="none" w:sz="0" w:space="0" w:color="auto"/>
                    <w:right w:val="none" w:sz="0" w:space="0" w:color="auto"/>
                  </w:divBdr>
                  <w:divsChild>
                    <w:div w:id="734356558">
                      <w:marLeft w:val="60"/>
                      <w:marRight w:val="0"/>
                      <w:marTop w:val="0"/>
                      <w:marBottom w:val="0"/>
                      <w:divBdr>
                        <w:top w:val="none" w:sz="0" w:space="0" w:color="auto"/>
                        <w:left w:val="none" w:sz="0" w:space="0" w:color="auto"/>
                        <w:bottom w:val="none" w:sz="0" w:space="0" w:color="auto"/>
                        <w:right w:val="none" w:sz="0" w:space="0" w:color="auto"/>
                      </w:divBdr>
                      <w:divsChild>
                        <w:div w:id="1306736578">
                          <w:marLeft w:val="0"/>
                          <w:marRight w:val="0"/>
                          <w:marTop w:val="0"/>
                          <w:marBottom w:val="0"/>
                          <w:divBdr>
                            <w:top w:val="none" w:sz="0" w:space="0" w:color="auto"/>
                            <w:left w:val="none" w:sz="0" w:space="0" w:color="auto"/>
                            <w:bottom w:val="none" w:sz="0" w:space="0" w:color="auto"/>
                            <w:right w:val="none" w:sz="0" w:space="0" w:color="auto"/>
                          </w:divBdr>
                          <w:divsChild>
                            <w:div w:id="54396027">
                              <w:marLeft w:val="135"/>
                              <w:marRight w:val="135"/>
                              <w:marTop w:val="0"/>
                              <w:marBottom w:val="90"/>
                              <w:divBdr>
                                <w:top w:val="none" w:sz="0" w:space="0" w:color="auto"/>
                                <w:left w:val="none" w:sz="0" w:space="0" w:color="auto"/>
                                <w:bottom w:val="none" w:sz="0" w:space="0" w:color="auto"/>
                                <w:right w:val="none" w:sz="0" w:space="0" w:color="auto"/>
                              </w:divBdr>
                            </w:div>
                            <w:div w:id="1527790421">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1540045458">
                      <w:marLeft w:val="0"/>
                      <w:marRight w:val="0"/>
                      <w:marTop w:val="0"/>
                      <w:marBottom w:val="0"/>
                      <w:divBdr>
                        <w:top w:val="none" w:sz="0" w:space="0" w:color="auto"/>
                        <w:left w:val="none" w:sz="0" w:space="0" w:color="auto"/>
                        <w:bottom w:val="none" w:sz="0" w:space="0" w:color="auto"/>
                        <w:right w:val="none" w:sz="0" w:space="0" w:color="auto"/>
                      </w:divBdr>
                      <w:divsChild>
                        <w:div w:id="1212155006">
                          <w:marLeft w:val="0"/>
                          <w:marRight w:val="0"/>
                          <w:marTop w:val="0"/>
                          <w:marBottom w:val="0"/>
                          <w:divBdr>
                            <w:top w:val="none" w:sz="0" w:space="0" w:color="auto"/>
                            <w:left w:val="none" w:sz="0" w:space="0" w:color="auto"/>
                            <w:bottom w:val="none" w:sz="0" w:space="0" w:color="auto"/>
                            <w:right w:val="none" w:sz="0" w:space="0" w:color="auto"/>
                          </w:divBdr>
                          <w:divsChild>
                            <w:div w:id="1547644136">
                              <w:marLeft w:val="0"/>
                              <w:marRight w:val="0"/>
                              <w:marTop w:val="0"/>
                              <w:marBottom w:val="0"/>
                              <w:divBdr>
                                <w:top w:val="none" w:sz="0" w:space="0" w:color="auto"/>
                                <w:left w:val="none" w:sz="0" w:space="0" w:color="auto"/>
                                <w:bottom w:val="none" w:sz="0" w:space="0" w:color="auto"/>
                                <w:right w:val="none" w:sz="0" w:space="0" w:color="auto"/>
                              </w:divBdr>
                              <w:divsChild>
                                <w:div w:id="67607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1808662">
          <w:marLeft w:val="0"/>
          <w:marRight w:val="0"/>
          <w:marTop w:val="0"/>
          <w:marBottom w:val="0"/>
          <w:divBdr>
            <w:top w:val="none" w:sz="0" w:space="0" w:color="auto"/>
            <w:left w:val="none" w:sz="0" w:space="0" w:color="auto"/>
            <w:bottom w:val="none" w:sz="0" w:space="0" w:color="auto"/>
            <w:right w:val="none" w:sz="0" w:space="0" w:color="auto"/>
          </w:divBdr>
          <w:divsChild>
            <w:div w:id="188883249">
              <w:marLeft w:val="0"/>
              <w:marRight w:val="0"/>
              <w:marTop w:val="0"/>
              <w:marBottom w:val="0"/>
              <w:divBdr>
                <w:top w:val="none" w:sz="0" w:space="0" w:color="auto"/>
                <w:left w:val="none" w:sz="0" w:space="0" w:color="auto"/>
                <w:bottom w:val="none" w:sz="0" w:space="0" w:color="auto"/>
                <w:right w:val="none" w:sz="0" w:space="0" w:color="auto"/>
              </w:divBdr>
              <w:divsChild>
                <w:div w:id="520122883">
                  <w:marLeft w:val="0"/>
                  <w:marRight w:val="0"/>
                  <w:marTop w:val="0"/>
                  <w:marBottom w:val="0"/>
                  <w:divBdr>
                    <w:top w:val="none" w:sz="0" w:space="0" w:color="auto"/>
                    <w:left w:val="none" w:sz="0" w:space="0" w:color="auto"/>
                    <w:bottom w:val="none" w:sz="0" w:space="0" w:color="auto"/>
                    <w:right w:val="none" w:sz="0" w:space="0" w:color="auto"/>
                  </w:divBdr>
                  <w:divsChild>
                    <w:div w:id="2004777476">
                      <w:marLeft w:val="0"/>
                      <w:marRight w:val="0"/>
                      <w:marTop w:val="0"/>
                      <w:marBottom w:val="0"/>
                      <w:divBdr>
                        <w:top w:val="none" w:sz="0" w:space="0" w:color="auto"/>
                        <w:left w:val="none" w:sz="0" w:space="0" w:color="auto"/>
                        <w:bottom w:val="none" w:sz="0" w:space="0" w:color="auto"/>
                        <w:right w:val="none" w:sz="0" w:space="0" w:color="auto"/>
                      </w:divBdr>
                      <w:divsChild>
                        <w:div w:id="2134670998">
                          <w:marLeft w:val="0"/>
                          <w:marRight w:val="0"/>
                          <w:marTop w:val="0"/>
                          <w:marBottom w:val="0"/>
                          <w:divBdr>
                            <w:top w:val="none" w:sz="0" w:space="0" w:color="auto"/>
                            <w:left w:val="none" w:sz="0" w:space="0" w:color="auto"/>
                            <w:bottom w:val="none" w:sz="0" w:space="0" w:color="auto"/>
                            <w:right w:val="none" w:sz="0" w:space="0" w:color="auto"/>
                          </w:divBdr>
                          <w:divsChild>
                            <w:div w:id="1198736368">
                              <w:marLeft w:val="135"/>
                              <w:marRight w:val="135"/>
                              <w:marTop w:val="0"/>
                              <w:marBottom w:val="90"/>
                              <w:divBdr>
                                <w:top w:val="none" w:sz="0" w:space="0" w:color="auto"/>
                                <w:left w:val="none" w:sz="0" w:space="0" w:color="auto"/>
                                <w:bottom w:val="none" w:sz="0" w:space="0" w:color="auto"/>
                                <w:right w:val="none" w:sz="0" w:space="0" w:color="auto"/>
                              </w:divBdr>
                            </w:div>
                            <w:div w:id="1429276904">
                              <w:marLeft w:val="135"/>
                              <w:marRight w:val="135"/>
                              <w:marTop w:val="0"/>
                              <w:marBottom w:val="90"/>
                              <w:divBdr>
                                <w:top w:val="none" w:sz="0" w:space="0" w:color="auto"/>
                                <w:left w:val="none" w:sz="0" w:space="0" w:color="auto"/>
                                <w:bottom w:val="none" w:sz="0" w:space="0" w:color="auto"/>
                                <w:right w:val="none" w:sz="0" w:space="0" w:color="auto"/>
                              </w:divBdr>
                            </w:div>
                            <w:div w:id="1555388445">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1849907851">
          <w:marLeft w:val="0"/>
          <w:marRight w:val="0"/>
          <w:marTop w:val="0"/>
          <w:marBottom w:val="0"/>
          <w:divBdr>
            <w:top w:val="none" w:sz="0" w:space="0" w:color="auto"/>
            <w:left w:val="none" w:sz="0" w:space="0" w:color="auto"/>
            <w:bottom w:val="none" w:sz="0" w:space="0" w:color="auto"/>
            <w:right w:val="none" w:sz="0" w:space="0" w:color="auto"/>
          </w:divBdr>
          <w:divsChild>
            <w:div w:id="1236432206">
              <w:marLeft w:val="0"/>
              <w:marRight w:val="0"/>
              <w:marTop w:val="0"/>
              <w:marBottom w:val="0"/>
              <w:divBdr>
                <w:top w:val="none" w:sz="0" w:space="0" w:color="auto"/>
                <w:left w:val="none" w:sz="0" w:space="0" w:color="auto"/>
                <w:bottom w:val="none" w:sz="0" w:space="0" w:color="auto"/>
                <w:right w:val="none" w:sz="0" w:space="0" w:color="auto"/>
              </w:divBdr>
              <w:divsChild>
                <w:div w:id="186334324">
                  <w:marLeft w:val="0"/>
                  <w:marRight w:val="0"/>
                  <w:marTop w:val="0"/>
                  <w:marBottom w:val="0"/>
                  <w:divBdr>
                    <w:top w:val="none" w:sz="0" w:space="0" w:color="auto"/>
                    <w:left w:val="none" w:sz="0" w:space="0" w:color="auto"/>
                    <w:bottom w:val="none" w:sz="0" w:space="0" w:color="auto"/>
                    <w:right w:val="none" w:sz="0" w:space="0" w:color="auto"/>
                  </w:divBdr>
                  <w:divsChild>
                    <w:div w:id="33628162">
                      <w:marLeft w:val="60"/>
                      <w:marRight w:val="0"/>
                      <w:marTop w:val="0"/>
                      <w:marBottom w:val="0"/>
                      <w:divBdr>
                        <w:top w:val="none" w:sz="0" w:space="0" w:color="auto"/>
                        <w:left w:val="none" w:sz="0" w:space="0" w:color="auto"/>
                        <w:bottom w:val="none" w:sz="0" w:space="0" w:color="auto"/>
                        <w:right w:val="none" w:sz="0" w:space="0" w:color="auto"/>
                      </w:divBdr>
                      <w:divsChild>
                        <w:div w:id="359356289">
                          <w:marLeft w:val="0"/>
                          <w:marRight w:val="0"/>
                          <w:marTop w:val="0"/>
                          <w:marBottom w:val="0"/>
                          <w:divBdr>
                            <w:top w:val="none" w:sz="0" w:space="0" w:color="auto"/>
                            <w:left w:val="none" w:sz="0" w:space="0" w:color="auto"/>
                            <w:bottom w:val="none" w:sz="0" w:space="0" w:color="auto"/>
                            <w:right w:val="none" w:sz="0" w:space="0" w:color="auto"/>
                          </w:divBdr>
                          <w:divsChild>
                            <w:div w:id="330524208">
                              <w:marLeft w:val="135"/>
                              <w:marRight w:val="135"/>
                              <w:marTop w:val="0"/>
                              <w:marBottom w:val="90"/>
                              <w:divBdr>
                                <w:top w:val="none" w:sz="0" w:space="0" w:color="auto"/>
                                <w:left w:val="none" w:sz="0" w:space="0" w:color="auto"/>
                                <w:bottom w:val="none" w:sz="0" w:space="0" w:color="auto"/>
                                <w:right w:val="none" w:sz="0" w:space="0" w:color="auto"/>
                              </w:divBdr>
                            </w:div>
                            <w:div w:id="994146443">
                              <w:marLeft w:val="135"/>
                              <w:marRight w:val="135"/>
                              <w:marTop w:val="0"/>
                              <w:marBottom w:val="90"/>
                              <w:divBdr>
                                <w:top w:val="none" w:sz="0" w:space="0" w:color="auto"/>
                                <w:left w:val="none" w:sz="0" w:space="0" w:color="auto"/>
                                <w:bottom w:val="none" w:sz="0" w:space="0" w:color="auto"/>
                                <w:right w:val="none" w:sz="0" w:space="0" w:color="auto"/>
                              </w:divBdr>
                            </w:div>
                            <w:div w:id="1491018621">
                              <w:marLeft w:val="135"/>
                              <w:marRight w:val="135"/>
                              <w:marTop w:val="0"/>
                              <w:marBottom w:val="90"/>
                              <w:divBdr>
                                <w:top w:val="none" w:sz="0" w:space="0" w:color="auto"/>
                                <w:left w:val="none" w:sz="0" w:space="0" w:color="auto"/>
                                <w:bottom w:val="none" w:sz="0" w:space="0" w:color="auto"/>
                                <w:right w:val="none" w:sz="0" w:space="0" w:color="auto"/>
                              </w:divBdr>
                            </w:div>
                            <w:div w:id="1629971454">
                              <w:marLeft w:val="135"/>
                              <w:marRight w:val="135"/>
                              <w:marTop w:val="0"/>
                              <w:marBottom w:val="90"/>
                              <w:divBdr>
                                <w:top w:val="none" w:sz="0" w:space="0" w:color="auto"/>
                                <w:left w:val="none" w:sz="0" w:space="0" w:color="auto"/>
                                <w:bottom w:val="none" w:sz="0" w:space="0" w:color="auto"/>
                                <w:right w:val="none" w:sz="0" w:space="0" w:color="auto"/>
                              </w:divBdr>
                            </w:div>
                            <w:div w:id="1793866151">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823203400">
                      <w:marLeft w:val="0"/>
                      <w:marRight w:val="0"/>
                      <w:marTop w:val="0"/>
                      <w:marBottom w:val="0"/>
                      <w:divBdr>
                        <w:top w:val="none" w:sz="0" w:space="0" w:color="auto"/>
                        <w:left w:val="none" w:sz="0" w:space="0" w:color="auto"/>
                        <w:bottom w:val="none" w:sz="0" w:space="0" w:color="auto"/>
                        <w:right w:val="none" w:sz="0" w:space="0" w:color="auto"/>
                      </w:divBdr>
                      <w:divsChild>
                        <w:div w:id="334309280">
                          <w:marLeft w:val="0"/>
                          <w:marRight w:val="0"/>
                          <w:marTop w:val="0"/>
                          <w:marBottom w:val="0"/>
                          <w:divBdr>
                            <w:top w:val="none" w:sz="0" w:space="0" w:color="auto"/>
                            <w:left w:val="none" w:sz="0" w:space="0" w:color="auto"/>
                            <w:bottom w:val="none" w:sz="0" w:space="0" w:color="auto"/>
                            <w:right w:val="none" w:sz="0" w:space="0" w:color="auto"/>
                          </w:divBdr>
                          <w:divsChild>
                            <w:div w:id="706636144">
                              <w:marLeft w:val="0"/>
                              <w:marRight w:val="0"/>
                              <w:marTop w:val="0"/>
                              <w:marBottom w:val="0"/>
                              <w:divBdr>
                                <w:top w:val="none" w:sz="0" w:space="0" w:color="auto"/>
                                <w:left w:val="none" w:sz="0" w:space="0" w:color="auto"/>
                                <w:bottom w:val="none" w:sz="0" w:space="0" w:color="auto"/>
                                <w:right w:val="none" w:sz="0" w:space="0" w:color="auto"/>
                              </w:divBdr>
                              <w:divsChild>
                                <w:div w:id="214704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7388339">
          <w:marLeft w:val="0"/>
          <w:marRight w:val="0"/>
          <w:marTop w:val="0"/>
          <w:marBottom w:val="0"/>
          <w:divBdr>
            <w:top w:val="none" w:sz="0" w:space="0" w:color="auto"/>
            <w:left w:val="none" w:sz="0" w:space="0" w:color="auto"/>
            <w:bottom w:val="none" w:sz="0" w:space="0" w:color="auto"/>
            <w:right w:val="none" w:sz="0" w:space="0" w:color="auto"/>
          </w:divBdr>
          <w:divsChild>
            <w:div w:id="823931430">
              <w:marLeft w:val="0"/>
              <w:marRight w:val="0"/>
              <w:marTop w:val="0"/>
              <w:marBottom w:val="0"/>
              <w:divBdr>
                <w:top w:val="none" w:sz="0" w:space="0" w:color="auto"/>
                <w:left w:val="none" w:sz="0" w:space="0" w:color="auto"/>
                <w:bottom w:val="none" w:sz="0" w:space="0" w:color="auto"/>
                <w:right w:val="none" w:sz="0" w:space="0" w:color="auto"/>
              </w:divBdr>
              <w:divsChild>
                <w:div w:id="2074036714">
                  <w:marLeft w:val="0"/>
                  <w:marRight w:val="0"/>
                  <w:marTop w:val="0"/>
                  <w:marBottom w:val="0"/>
                  <w:divBdr>
                    <w:top w:val="none" w:sz="0" w:space="0" w:color="auto"/>
                    <w:left w:val="none" w:sz="0" w:space="0" w:color="auto"/>
                    <w:bottom w:val="none" w:sz="0" w:space="0" w:color="auto"/>
                    <w:right w:val="none" w:sz="0" w:space="0" w:color="auto"/>
                  </w:divBdr>
                  <w:divsChild>
                    <w:div w:id="1113283690">
                      <w:marLeft w:val="0"/>
                      <w:marRight w:val="0"/>
                      <w:marTop w:val="0"/>
                      <w:marBottom w:val="0"/>
                      <w:divBdr>
                        <w:top w:val="none" w:sz="0" w:space="0" w:color="auto"/>
                        <w:left w:val="none" w:sz="0" w:space="0" w:color="auto"/>
                        <w:bottom w:val="none" w:sz="0" w:space="0" w:color="auto"/>
                        <w:right w:val="none" w:sz="0" w:space="0" w:color="auto"/>
                      </w:divBdr>
                      <w:divsChild>
                        <w:div w:id="1192768797">
                          <w:marLeft w:val="0"/>
                          <w:marRight w:val="0"/>
                          <w:marTop w:val="0"/>
                          <w:marBottom w:val="0"/>
                          <w:divBdr>
                            <w:top w:val="none" w:sz="0" w:space="0" w:color="auto"/>
                            <w:left w:val="none" w:sz="0" w:space="0" w:color="auto"/>
                            <w:bottom w:val="none" w:sz="0" w:space="0" w:color="auto"/>
                            <w:right w:val="none" w:sz="0" w:space="0" w:color="auto"/>
                          </w:divBdr>
                          <w:divsChild>
                            <w:div w:id="37513023">
                              <w:marLeft w:val="135"/>
                              <w:marRight w:val="135"/>
                              <w:marTop w:val="0"/>
                              <w:marBottom w:val="90"/>
                              <w:divBdr>
                                <w:top w:val="none" w:sz="0" w:space="0" w:color="auto"/>
                                <w:left w:val="none" w:sz="0" w:space="0" w:color="auto"/>
                                <w:bottom w:val="none" w:sz="0" w:space="0" w:color="auto"/>
                                <w:right w:val="none" w:sz="0" w:space="0" w:color="auto"/>
                              </w:divBdr>
                            </w:div>
                            <w:div w:id="62918467">
                              <w:marLeft w:val="135"/>
                              <w:marRight w:val="135"/>
                              <w:marTop w:val="0"/>
                              <w:marBottom w:val="90"/>
                              <w:divBdr>
                                <w:top w:val="none" w:sz="0" w:space="0" w:color="auto"/>
                                <w:left w:val="none" w:sz="0" w:space="0" w:color="auto"/>
                                <w:bottom w:val="none" w:sz="0" w:space="0" w:color="auto"/>
                                <w:right w:val="none" w:sz="0" w:space="0" w:color="auto"/>
                              </w:divBdr>
                            </w:div>
                            <w:div w:id="115373857">
                              <w:marLeft w:val="135"/>
                              <w:marRight w:val="135"/>
                              <w:marTop w:val="0"/>
                              <w:marBottom w:val="90"/>
                              <w:divBdr>
                                <w:top w:val="none" w:sz="0" w:space="0" w:color="auto"/>
                                <w:left w:val="none" w:sz="0" w:space="0" w:color="auto"/>
                                <w:bottom w:val="none" w:sz="0" w:space="0" w:color="auto"/>
                                <w:right w:val="none" w:sz="0" w:space="0" w:color="auto"/>
                              </w:divBdr>
                            </w:div>
                            <w:div w:id="1037465990">
                              <w:marLeft w:val="135"/>
                              <w:marRight w:val="135"/>
                              <w:marTop w:val="0"/>
                              <w:marBottom w:val="90"/>
                              <w:divBdr>
                                <w:top w:val="none" w:sz="0" w:space="0" w:color="auto"/>
                                <w:left w:val="none" w:sz="0" w:space="0" w:color="auto"/>
                                <w:bottom w:val="none" w:sz="0" w:space="0" w:color="auto"/>
                                <w:right w:val="none" w:sz="0" w:space="0" w:color="auto"/>
                              </w:divBdr>
                            </w:div>
                            <w:div w:id="1211500845">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2090229087">
          <w:marLeft w:val="0"/>
          <w:marRight w:val="0"/>
          <w:marTop w:val="0"/>
          <w:marBottom w:val="0"/>
          <w:divBdr>
            <w:top w:val="none" w:sz="0" w:space="0" w:color="auto"/>
            <w:left w:val="none" w:sz="0" w:space="0" w:color="auto"/>
            <w:bottom w:val="none" w:sz="0" w:space="0" w:color="auto"/>
            <w:right w:val="none" w:sz="0" w:space="0" w:color="auto"/>
          </w:divBdr>
          <w:divsChild>
            <w:div w:id="821777444">
              <w:marLeft w:val="0"/>
              <w:marRight w:val="0"/>
              <w:marTop w:val="0"/>
              <w:marBottom w:val="0"/>
              <w:divBdr>
                <w:top w:val="none" w:sz="0" w:space="0" w:color="auto"/>
                <w:left w:val="none" w:sz="0" w:space="0" w:color="auto"/>
                <w:bottom w:val="none" w:sz="0" w:space="0" w:color="auto"/>
                <w:right w:val="none" w:sz="0" w:space="0" w:color="auto"/>
              </w:divBdr>
              <w:divsChild>
                <w:div w:id="336462129">
                  <w:marLeft w:val="0"/>
                  <w:marRight w:val="0"/>
                  <w:marTop w:val="0"/>
                  <w:marBottom w:val="0"/>
                  <w:divBdr>
                    <w:top w:val="none" w:sz="0" w:space="0" w:color="auto"/>
                    <w:left w:val="none" w:sz="0" w:space="0" w:color="auto"/>
                    <w:bottom w:val="none" w:sz="0" w:space="0" w:color="auto"/>
                    <w:right w:val="none" w:sz="0" w:space="0" w:color="auto"/>
                  </w:divBdr>
                  <w:divsChild>
                    <w:div w:id="895748287">
                      <w:marLeft w:val="0"/>
                      <w:marRight w:val="0"/>
                      <w:marTop w:val="0"/>
                      <w:marBottom w:val="0"/>
                      <w:divBdr>
                        <w:top w:val="none" w:sz="0" w:space="0" w:color="auto"/>
                        <w:left w:val="none" w:sz="0" w:space="0" w:color="auto"/>
                        <w:bottom w:val="none" w:sz="0" w:space="0" w:color="auto"/>
                        <w:right w:val="none" w:sz="0" w:space="0" w:color="auto"/>
                      </w:divBdr>
                      <w:divsChild>
                        <w:div w:id="153448127">
                          <w:marLeft w:val="0"/>
                          <w:marRight w:val="0"/>
                          <w:marTop w:val="0"/>
                          <w:marBottom w:val="0"/>
                          <w:divBdr>
                            <w:top w:val="none" w:sz="0" w:space="0" w:color="auto"/>
                            <w:left w:val="none" w:sz="0" w:space="0" w:color="auto"/>
                            <w:bottom w:val="none" w:sz="0" w:space="0" w:color="auto"/>
                            <w:right w:val="none" w:sz="0" w:space="0" w:color="auto"/>
                          </w:divBdr>
                          <w:divsChild>
                            <w:div w:id="104270462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712285">
      <w:bodyDiv w:val="1"/>
      <w:marLeft w:val="0"/>
      <w:marRight w:val="0"/>
      <w:marTop w:val="0"/>
      <w:marBottom w:val="0"/>
      <w:divBdr>
        <w:top w:val="none" w:sz="0" w:space="0" w:color="auto"/>
        <w:left w:val="none" w:sz="0" w:space="0" w:color="auto"/>
        <w:bottom w:val="none" w:sz="0" w:space="0" w:color="auto"/>
        <w:right w:val="none" w:sz="0" w:space="0" w:color="auto"/>
      </w:divBdr>
    </w:div>
    <w:div w:id="918321931">
      <w:bodyDiv w:val="1"/>
      <w:marLeft w:val="0"/>
      <w:marRight w:val="0"/>
      <w:marTop w:val="0"/>
      <w:marBottom w:val="0"/>
      <w:divBdr>
        <w:top w:val="none" w:sz="0" w:space="0" w:color="auto"/>
        <w:left w:val="none" w:sz="0" w:space="0" w:color="auto"/>
        <w:bottom w:val="none" w:sz="0" w:space="0" w:color="auto"/>
        <w:right w:val="none" w:sz="0" w:space="0" w:color="auto"/>
      </w:divBdr>
    </w:div>
    <w:div w:id="941113732">
      <w:bodyDiv w:val="1"/>
      <w:marLeft w:val="0"/>
      <w:marRight w:val="0"/>
      <w:marTop w:val="0"/>
      <w:marBottom w:val="0"/>
      <w:divBdr>
        <w:top w:val="none" w:sz="0" w:space="0" w:color="auto"/>
        <w:left w:val="none" w:sz="0" w:space="0" w:color="auto"/>
        <w:bottom w:val="none" w:sz="0" w:space="0" w:color="auto"/>
        <w:right w:val="none" w:sz="0" w:space="0" w:color="auto"/>
      </w:divBdr>
    </w:div>
    <w:div w:id="956108068">
      <w:bodyDiv w:val="1"/>
      <w:marLeft w:val="0"/>
      <w:marRight w:val="0"/>
      <w:marTop w:val="0"/>
      <w:marBottom w:val="0"/>
      <w:divBdr>
        <w:top w:val="none" w:sz="0" w:space="0" w:color="auto"/>
        <w:left w:val="none" w:sz="0" w:space="0" w:color="auto"/>
        <w:bottom w:val="none" w:sz="0" w:space="0" w:color="auto"/>
        <w:right w:val="none" w:sz="0" w:space="0" w:color="auto"/>
      </w:divBdr>
    </w:div>
    <w:div w:id="982465820">
      <w:bodyDiv w:val="1"/>
      <w:marLeft w:val="0"/>
      <w:marRight w:val="0"/>
      <w:marTop w:val="0"/>
      <w:marBottom w:val="0"/>
      <w:divBdr>
        <w:top w:val="none" w:sz="0" w:space="0" w:color="auto"/>
        <w:left w:val="none" w:sz="0" w:space="0" w:color="auto"/>
        <w:bottom w:val="none" w:sz="0" w:space="0" w:color="auto"/>
        <w:right w:val="none" w:sz="0" w:space="0" w:color="auto"/>
      </w:divBdr>
    </w:div>
    <w:div w:id="1113942795">
      <w:bodyDiv w:val="1"/>
      <w:marLeft w:val="0"/>
      <w:marRight w:val="0"/>
      <w:marTop w:val="0"/>
      <w:marBottom w:val="0"/>
      <w:divBdr>
        <w:top w:val="none" w:sz="0" w:space="0" w:color="auto"/>
        <w:left w:val="none" w:sz="0" w:space="0" w:color="auto"/>
        <w:bottom w:val="none" w:sz="0" w:space="0" w:color="auto"/>
        <w:right w:val="none" w:sz="0" w:space="0" w:color="auto"/>
      </w:divBdr>
    </w:div>
    <w:div w:id="1138063124">
      <w:bodyDiv w:val="1"/>
      <w:marLeft w:val="0"/>
      <w:marRight w:val="0"/>
      <w:marTop w:val="0"/>
      <w:marBottom w:val="0"/>
      <w:divBdr>
        <w:top w:val="none" w:sz="0" w:space="0" w:color="auto"/>
        <w:left w:val="none" w:sz="0" w:space="0" w:color="auto"/>
        <w:bottom w:val="none" w:sz="0" w:space="0" w:color="auto"/>
        <w:right w:val="none" w:sz="0" w:space="0" w:color="auto"/>
      </w:divBdr>
    </w:div>
    <w:div w:id="1182862749">
      <w:bodyDiv w:val="1"/>
      <w:marLeft w:val="0"/>
      <w:marRight w:val="0"/>
      <w:marTop w:val="0"/>
      <w:marBottom w:val="0"/>
      <w:divBdr>
        <w:top w:val="none" w:sz="0" w:space="0" w:color="auto"/>
        <w:left w:val="none" w:sz="0" w:space="0" w:color="auto"/>
        <w:bottom w:val="none" w:sz="0" w:space="0" w:color="auto"/>
        <w:right w:val="none" w:sz="0" w:space="0" w:color="auto"/>
      </w:divBdr>
    </w:div>
    <w:div w:id="1195190094">
      <w:bodyDiv w:val="1"/>
      <w:marLeft w:val="0"/>
      <w:marRight w:val="0"/>
      <w:marTop w:val="0"/>
      <w:marBottom w:val="0"/>
      <w:divBdr>
        <w:top w:val="none" w:sz="0" w:space="0" w:color="auto"/>
        <w:left w:val="none" w:sz="0" w:space="0" w:color="auto"/>
        <w:bottom w:val="none" w:sz="0" w:space="0" w:color="auto"/>
        <w:right w:val="none" w:sz="0" w:space="0" w:color="auto"/>
      </w:divBdr>
    </w:div>
    <w:div w:id="1236013391">
      <w:bodyDiv w:val="1"/>
      <w:marLeft w:val="0"/>
      <w:marRight w:val="0"/>
      <w:marTop w:val="0"/>
      <w:marBottom w:val="0"/>
      <w:divBdr>
        <w:top w:val="none" w:sz="0" w:space="0" w:color="auto"/>
        <w:left w:val="none" w:sz="0" w:space="0" w:color="auto"/>
        <w:bottom w:val="none" w:sz="0" w:space="0" w:color="auto"/>
        <w:right w:val="none" w:sz="0" w:space="0" w:color="auto"/>
      </w:divBdr>
    </w:div>
    <w:div w:id="1237085664">
      <w:bodyDiv w:val="1"/>
      <w:marLeft w:val="0"/>
      <w:marRight w:val="0"/>
      <w:marTop w:val="0"/>
      <w:marBottom w:val="0"/>
      <w:divBdr>
        <w:top w:val="none" w:sz="0" w:space="0" w:color="auto"/>
        <w:left w:val="none" w:sz="0" w:space="0" w:color="auto"/>
        <w:bottom w:val="none" w:sz="0" w:space="0" w:color="auto"/>
        <w:right w:val="none" w:sz="0" w:space="0" w:color="auto"/>
      </w:divBdr>
    </w:div>
    <w:div w:id="1250311454">
      <w:bodyDiv w:val="1"/>
      <w:marLeft w:val="0"/>
      <w:marRight w:val="0"/>
      <w:marTop w:val="0"/>
      <w:marBottom w:val="0"/>
      <w:divBdr>
        <w:top w:val="none" w:sz="0" w:space="0" w:color="auto"/>
        <w:left w:val="none" w:sz="0" w:space="0" w:color="auto"/>
        <w:bottom w:val="none" w:sz="0" w:space="0" w:color="auto"/>
        <w:right w:val="none" w:sz="0" w:space="0" w:color="auto"/>
      </w:divBdr>
    </w:div>
    <w:div w:id="1303653836">
      <w:bodyDiv w:val="1"/>
      <w:marLeft w:val="0"/>
      <w:marRight w:val="0"/>
      <w:marTop w:val="0"/>
      <w:marBottom w:val="0"/>
      <w:divBdr>
        <w:top w:val="none" w:sz="0" w:space="0" w:color="auto"/>
        <w:left w:val="none" w:sz="0" w:space="0" w:color="auto"/>
        <w:bottom w:val="none" w:sz="0" w:space="0" w:color="auto"/>
        <w:right w:val="none" w:sz="0" w:space="0" w:color="auto"/>
      </w:divBdr>
    </w:div>
    <w:div w:id="1386836631">
      <w:bodyDiv w:val="1"/>
      <w:marLeft w:val="0"/>
      <w:marRight w:val="0"/>
      <w:marTop w:val="0"/>
      <w:marBottom w:val="0"/>
      <w:divBdr>
        <w:top w:val="none" w:sz="0" w:space="0" w:color="auto"/>
        <w:left w:val="none" w:sz="0" w:space="0" w:color="auto"/>
        <w:bottom w:val="none" w:sz="0" w:space="0" w:color="auto"/>
        <w:right w:val="none" w:sz="0" w:space="0" w:color="auto"/>
      </w:divBdr>
    </w:div>
    <w:div w:id="1417365378">
      <w:bodyDiv w:val="1"/>
      <w:marLeft w:val="0"/>
      <w:marRight w:val="0"/>
      <w:marTop w:val="0"/>
      <w:marBottom w:val="0"/>
      <w:divBdr>
        <w:top w:val="none" w:sz="0" w:space="0" w:color="auto"/>
        <w:left w:val="none" w:sz="0" w:space="0" w:color="auto"/>
        <w:bottom w:val="none" w:sz="0" w:space="0" w:color="auto"/>
        <w:right w:val="none" w:sz="0" w:space="0" w:color="auto"/>
      </w:divBdr>
    </w:div>
    <w:div w:id="1533689244">
      <w:bodyDiv w:val="1"/>
      <w:marLeft w:val="0"/>
      <w:marRight w:val="0"/>
      <w:marTop w:val="0"/>
      <w:marBottom w:val="0"/>
      <w:divBdr>
        <w:top w:val="none" w:sz="0" w:space="0" w:color="auto"/>
        <w:left w:val="none" w:sz="0" w:space="0" w:color="auto"/>
        <w:bottom w:val="none" w:sz="0" w:space="0" w:color="auto"/>
        <w:right w:val="none" w:sz="0" w:space="0" w:color="auto"/>
      </w:divBdr>
    </w:div>
    <w:div w:id="1615134865">
      <w:bodyDiv w:val="1"/>
      <w:marLeft w:val="0"/>
      <w:marRight w:val="0"/>
      <w:marTop w:val="0"/>
      <w:marBottom w:val="0"/>
      <w:divBdr>
        <w:top w:val="none" w:sz="0" w:space="0" w:color="auto"/>
        <w:left w:val="none" w:sz="0" w:space="0" w:color="auto"/>
        <w:bottom w:val="none" w:sz="0" w:space="0" w:color="auto"/>
        <w:right w:val="none" w:sz="0" w:space="0" w:color="auto"/>
      </w:divBdr>
    </w:div>
    <w:div w:id="1719275702">
      <w:bodyDiv w:val="1"/>
      <w:marLeft w:val="0"/>
      <w:marRight w:val="0"/>
      <w:marTop w:val="0"/>
      <w:marBottom w:val="0"/>
      <w:divBdr>
        <w:top w:val="none" w:sz="0" w:space="0" w:color="auto"/>
        <w:left w:val="none" w:sz="0" w:space="0" w:color="auto"/>
        <w:bottom w:val="none" w:sz="0" w:space="0" w:color="auto"/>
        <w:right w:val="none" w:sz="0" w:space="0" w:color="auto"/>
      </w:divBdr>
    </w:div>
    <w:div w:id="1735008413">
      <w:bodyDiv w:val="1"/>
      <w:marLeft w:val="0"/>
      <w:marRight w:val="0"/>
      <w:marTop w:val="0"/>
      <w:marBottom w:val="0"/>
      <w:divBdr>
        <w:top w:val="none" w:sz="0" w:space="0" w:color="auto"/>
        <w:left w:val="none" w:sz="0" w:space="0" w:color="auto"/>
        <w:bottom w:val="none" w:sz="0" w:space="0" w:color="auto"/>
        <w:right w:val="none" w:sz="0" w:space="0" w:color="auto"/>
      </w:divBdr>
    </w:div>
    <w:div w:id="1736049480">
      <w:bodyDiv w:val="1"/>
      <w:marLeft w:val="0"/>
      <w:marRight w:val="0"/>
      <w:marTop w:val="0"/>
      <w:marBottom w:val="0"/>
      <w:divBdr>
        <w:top w:val="none" w:sz="0" w:space="0" w:color="auto"/>
        <w:left w:val="none" w:sz="0" w:space="0" w:color="auto"/>
        <w:bottom w:val="none" w:sz="0" w:space="0" w:color="auto"/>
        <w:right w:val="none" w:sz="0" w:space="0" w:color="auto"/>
      </w:divBdr>
    </w:div>
    <w:div w:id="1765417927">
      <w:bodyDiv w:val="1"/>
      <w:marLeft w:val="0"/>
      <w:marRight w:val="0"/>
      <w:marTop w:val="0"/>
      <w:marBottom w:val="0"/>
      <w:divBdr>
        <w:top w:val="none" w:sz="0" w:space="0" w:color="auto"/>
        <w:left w:val="none" w:sz="0" w:space="0" w:color="auto"/>
        <w:bottom w:val="none" w:sz="0" w:space="0" w:color="auto"/>
        <w:right w:val="none" w:sz="0" w:space="0" w:color="auto"/>
      </w:divBdr>
    </w:div>
    <w:div w:id="1767654184">
      <w:bodyDiv w:val="1"/>
      <w:marLeft w:val="0"/>
      <w:marRight w:val="0"/>
      <w:marTop w:val="0"/>
      <w:marBottom w:val="0"/>
      <w:divBdr>
        <w:top w:val="none" w:sz="0" w:space="0" w:color="auto"/>
        <w:left w:val="none" w:sz="0" w:space="0" w:color="auto"/>
        <w:bottom w:val="none" w:sz="0" w:space="0" w:color="auto"/>
        <w:right w:val="none" w:sz="0" w:space="0" w:color="auto"/>
      </w:divBdr>
    </w:div>
    <w:div w:id="1776441959">
      <w:bodyDiv w:val="1"/>
      <w:marLeft w:val="0"/>
      <w:marRight w:val="0"/>
      <w:marTop w:val="0"/>
      <w:marBottom w:val="0"/>
      <w:divBdr>
        <w:top w:val="none" w:sz="0" w:space="0" w:color="auto"/>
        <w:left w:val="none" w:sz="0" w:space="0" w:color="auto"/>
        <w:bottom w:val="none" w:sz="0" w:space="0" w:color="auto"/>
        <w:right w:val="none" w:sz="0" w:space="0" w:color="auto"/>
      </w:divBdr>
    </w:div>
    <w:div w:id="1778021203">
      <w:bodyDiv w:val="1"/>
      <w:marLeft w:val="0"/>
      <w:marRight w:val="0"/>
      <w:marTop w:val="0"/>
      <w:marBottom w:val="0"/>
      <w:divBdr>
        <w:top w:val="none" w:sz="0" w:space="0" w:color="auto"/>
        <w:left w:val="none" w:sz="0" w:space="0" w:color="auto"/>
        <w:bottom w:val="none" w:sz="0" w:space="0" w:color="auto"/>
        <w:right w:val="none" w:sz="0" w:space="0" w:color="auto"/>
      </w:divBdr>
    </w:div>
    <w:div w:id="1787382399">
      <w:bodyDiv w:val="1"/>
      <w:marLeft w:val="0"/>
      <w:marRight w:val="0"/>
      <w:marTop w:val="0"/>
      <w:marBottom w:val="0"/>
      <w:divBdr>
        <w:top w:val="none" w:sz="0" w:space="0" w:color="auto"/>
        <w:left w:val="none" w:sz="0" w:space="0" w:color="auto"/>
        <w:bottom w:val="none" w:sz="0" w:space="0" w:color="auto"/>
        <w:right w:val="none" w:sz="0" w:space="0" w:color="auto"/>
      </w:divBdr>
    </w:div>
    <w:div w:id="1834836656">
      <w:bodyDiv w:val="1"/>
      <w:marLeft w:val="0"/>
      <w:marRight w:val="0"/>
      <w:marTop w:val="0"/>
      <w:marBottom w:val="0"/>
      <w:divBdr>
        <w:top w:val="none" w:sz="0" w:space="0" w:color="auto"/>
        <w:left w:val="none" w:sz="0" w:space="0" w:color="auto"/>
        <w:bottom w:val="none" w:sz="0" w:space="0" w:color="auto"/>
        <w:right w:val="none" w:sz="0" w:space="0" w:color="auto"/>
      </w:divBdr>
    </w:div>
    <w:div w:id="1848860162">
      <w:bodyDiv w:val="1"/>
      <w:marLeft w:val="0"/>
      <w:marRight w:val="0"/>
      <w:marTop w:val="0"/>
      <w:marBottom w:val="0"/>
      <w:divBdr>
        <w:top w:val="none" w:sz="0" w:space="0" w:color="auto"/>
        <w:left w:val="none" w:sz="0" w:space="0" w:color="auto"/>
        <w:bottom w:val="none" w:sz="0" w:space="0" w:color="auto"/>
        <w:right w:val="none" w:sz="0" w:space="0" w:color="auto"/>
      </w:divBdr>
    </w:div>
    <w:div w:id="1859345687">
      <w:bodyDiv w:val="1"/>
      <w:marLeft w:val="0"/>
      <w:marRight w:val="0"/>
      <w:marTop w:val="0"/>
      <w:marBottom w:val="0"/>
      <w:divBdr>
        <w:top w:val="none" w:sz="0" w:space="0" w:color="auto"/>
        <w:left w:val="none" w:sz="0" w:space="0" w:color="auto"/>
        <w:bottom w:val="none" w:sz="0" w:space="0" w:color="auto"/>
        <w:right w:val="none" w:sz="0" w:space="0" w:color="auto"/>
      </w:divBdr>
    </w:div>
    <w:div w:id="1878665219">
      <w:bodyDiv w:val="1"/>
      <w:marLeft w:val="0"/>
      <w:marRight w:val="0"/>
      <w:marTop w:val="0"/>
      <w:marBottom w:val="0"/>
      <w:divBdr>
        <w:top w:val="none" w:sz="0" w:space="0" w:color="auto"/>
        <w:left w:val="none" w:sz="0" w:space="0" w:color="auto"/>
        <w:bottom w:val="none" w:sz="0" w:space="0" w:color="auto"/>
        <w:right w:val="none" w:sz="0" w:space="0" w:color="auto"/>
      </w:divBdr>
    </w:div>
    <w:div w:id="1913734476">
      <w:bodyDiv w:val="1"/>
      <w:marLeft w:val="0"/>
      <w:marRight w:val="0"/>
      <w:marTop w:val="0"/>
      <w:marBottom w:val="0"/>
      <w:divBdr>
        <w:top w:val="none" w:sz="0" w:space="0" w:color="auto"/>
        <w:left w:val="none" w:sz="0" w:space="0" w:color="auto"/>
        <w:bottom w:val="none" w:sz="0" w:space="0" w:color="auto"/>
        <w:right w:val="none" w:sz="0" w:space="0" w:color="auto"/>
      </w:divBdr>
    </w:div>
    <w:div w:id="1915120281">
      <w:bodyDiv w:val="1"/>
      <w:marLeft w:val="0"/>
      <w:marRight w:val="0"/>
      <w:marTop w:val="0"/>
      <w:marBottom w:val="0"/>
      <w:divBdr>
        <w:top w:val="none" w:sz="0" w:space="0" w:color="auto"/>
        <w:left w:val="none" w:sz="0" w:space="0" w:color="auto"/>
        <w:bottom w:val="none" w:sz="0" w:space="0" w:color="auto"/>
        <w:right w:val="none" w:sz="0" w:space="0" w:color="auto"/>
      </w:divBdr>
      <w:divsChild>
        <w:div w:id="341980860">
          <w:marLeft w:val="0"/>
          <w:marRight w:val="0"/>
          <w:marTop w:val="300"/>
          <w:marBottom w:val="480"/>
          <w:divBdr>
            <w:top w:val="none" w:sz="0" w:space="0" w:color="auto"/>
            <w:left w:val="none" w:sz="0" w:space="0" w:color="auto"/>
            <w:bottom w:val="none" w:sz="0" w:space="0" w:color="auto"/>
            <w:right w:val="none" w:sz="0" w:space="0" w:color="auto"/>
          </w:divBdr>
        </w:div>
      </w:divsChild>
    </w:div>
    <w:div w:id="1920410159">
      <w:bodyDiv w:val="1"/>
      <w:marLeft w:val="0"/>
      <w:marRight w:val="0"/>
      <w:marTop w:val="0"/>
      <w:marBottom w:val="0"/>
      <w:divBdr>
        <w:top w:val="none" w:sz="0" w:space="0" w:color="auto"/>
        <w:left w:val="none" w:sz="0" w:space="0" w:color="auto"/>
        <w:bottom w:val="none" w:sz="0" w:space="0" w:color="auto"/>
        <w:right w:val="none" w:sz="0" w:space="0" w:color="auto"/>
      </w:divBdr>
    </w:div>
    <w:div w:id="1952087645">
      <w:bodyDiv w:val="1"/>
      <w:marLeft w:val="0"/>
      <w:marRight w:val="0"/>
      <w:marTop w:val="0"/>
      <w:marBottom w:val="0"/>
      <w:divBdr>
        <w:top w:val="none" w:sz="0" w:space="0" w:color="auto"/>
        <w:left w:val="none" w:sz="0" w:space="0" w:color="auto"/>
        <w:bottom w:val="none" w:sz="0" w:space="0" w:color="auto"/>
        <w:right w:val="none" w:sz="0" w:space="0" w:color="auto"/>
      </w:divBdr>
    </w:div>
    <w:div w:id="1982928954">
      <w:bodyDiv w:val="1"/>
      <w:marLeft w:val="0"/>
      <w:marRight w:val="0"/>
      <w:marTop w:val="0"/>
      <w:marBottom w:val="0"/>
      <w:divBdr>
        <w:top w:val="none" w:sz="0" w:space="0" w:color="auto"/>
        <w:left w:val="none" w:sz="0" w:space="0" w:color="auto"/>
        <w:bottom w:val="none" w:sz="0" w:space="0" w:color="auto"/>
        <w:right w:val="none" w:sz="0" w:space="0" w:color="auto"/>
      </w:divBdr>
    </w:div>
    <w:div w:id="2003584655">
      <w:bodyDiv w:val="1"/>
      <w:marLeft w:val="0"/>
      <w:marRight w:val="0"/>
      <w:marTop w:val="0"/>
      <w:marBottom w:val="0"/>
      <w:divBdr>
        <w:top w:val="none" w:sz="0" w:space="0" w:color="auto"/>
        <w:left w:val="none" w:sz="0" w:space="0" w:color="auto"/>
        <w:bottom w:val="none" w:sz="0" w:space="0" w:color="auto"/>
        <w:right w:val="none" w:sz="0" w:space="0" w:color="auto"/>
      </w:divBdr>
    </w:div>
    <w:div w:id="2007396318">
      <w:bodyDiv w:val="1"/>
      <w:marLeft w:val="0"/>
      <w:marRight w:val="0"/>
      <w:marTop w:val="0"/>
      <w:marBottom w:val="0"/>
      <w:divBdr>
        <w:top w:val="none" w:sz="0" w:space="0" w:color="auto"/>
        <w:left w:val="none" w:sz="0" w:space="0" w:color="auto"/>
        <w:bottom w:val="none" w:sz="0" w:space="0" w:color="auto"/>
        <w:right w:val="none" w:sz="0" w:space="0" w:color="auto"/>
      </w:divBdr>
      <w:divsChild>
        <w:div w:id="1758748148">
          <w:marLeft w:val="0"/>
          <w:marRight w:val="0"/>
          <w:marTop w:val="120"/>
          <w:marBottom w:val="0"/>
          <w:divBdr>
            <w:top w:val="none" w:sz="0" w:space="0" w:color="auto"/>
            <w:left w:val="none" w:sz="0" w:space="0" w:color="auto"/>
            <w:bottom w:val="none" w:sz="0" w:space="0" w:color="auto"/>
            <w:right w:val="none" w:sz="0" w:space="0" w:color="auto"/>
          </w:divBdr>
        </w:div>
        <w:div w:id="1960991660">
          <w:marLeft w:val="0"/>
          <w:marRight w:val="0"/>
          <w:marTop w:val="120"/>
          <w:marBottom w:val="0"/>
          <w:divBdr>
            <w:top w:val="none" w:sz="0" w:space="0" w:color="auto"/>
            <w:left w:val="none" w:sz="0" w:space="0" w:color="auto"/>
            <w:bottom w:val="none" w:sz="0" w:space="0" w:color="auto"/>
            <w:right w:val="none" w:sz="0" w:space="0" w:color="auto"/>
          </w:divBdr>
        </w:div>
      </w:divsChild>
    </w:div>
    <w:div w:id="2011324210">
      <w:bodyDiv w:val="1"/>
      <w:marLeft w:val="0"/>
      <w:marRight w:val="0"/>
      <w:marTop w:val="0"/>
      <w:marBottom w:val="0"/>
      <w:divBdr>
        <w:top w:val="none" w:sz="0" w:space="0" w:color="auto"/>
        <w:left w:val="none" w:sz="0" w:space="0" w:color="auto"/>
        <w:bottom w:val="none" w:sz="0" w:space="0" w:color="auto"/>
        <w:right w:val="none" w:sz="0" w:space="0" w:color="auto"/>
      </w:divBdr>
    </w:div>
    <w:div w:id="2040542919">
      <w:bodyDiv w:val="1"/>
      <w:marLeft w:val="0"/>
      <w:marRight w:val="0"/>
      <w:marTop w:val="0"/>
      <w:marBottom w:val="0"/>
      <w:divBdr>
        <w:top w:val="none" w:sz="0" w:space="0" w:color="auto"/>
        <w:left w:val="none" w:sz="0" w:space="0" w:color="auto"/>
        <w:bottom w:val="none" w:sz="0" w:space="0" w:color="auto"/>
        <w:right w:val="none" w:sz="0" w:space="0" w:color="auto"/>
      </w:divBdr>
    </w:div>
    <w:div w:id="2061440360">
      <w:bodyDiv w:val="1"/>
      <w:marLeft w:val="0"/>
      <w:marRight w:val="0"/>
      <w:marTop w:val="0"/>
      <w:marBottom w:val="0"/>
      <w:divBdr>
        <w:top w:val="none" w:sz="0" w:space="0" w:color="auto"/>
        <w:left w:val="none" w:sz="0" w:space="0" w:color="auto"/>
        <w:bottom w:val="none" w:sz="0" w:space="0" w:color="auto"/>
        <w:right w:val="none" w:sz="0" w:space="0" w:color="auto"/>
      </w:divBdr>
    </w:div>
    <w:div w:id="2084403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servie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AC8099-6F43-4AEF-9262-310C8DD35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90480</Words>
  <Characters>515741</Characters>
  <Application>Microsoft Office Word</Application>
  <DocSecurity>0</DocSecurity>
  <Lines>4297</Lines>
  <Paragraphs>1210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Lavrador</dc:creator>
  <cp:keywords/>
  <dc:description/>
  <cp:lastModifiedBy>Pedro Lavrador</cp:lastModifiedBy>
  <cp:revision>2</cp:revision>
  <cp:lastPrinted>2017-01-10T16:43:00Z</cp:lastPrinted>
  <dcterms:created xsi:type="dcterms:W3CDTF">2018-10-04T14:01:00Z</dcterms:created>
  <dcterms:modified xsi:type="dcterms:W3CDTF">2018-10-04T14:01:00Z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1b55dfa4-3b4d-35eb-a91c-d117dcbdc625</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http://www.zotero.org/styles/journal-of-controlled-release</vt:lpwstr>
  </property>
  <property fmtid="{D5CDD505-2E9C-101B-9397-08002B2CF9AE}" pid="19" name="Mendeley Recent Style Name 7_1">
    <vt:lpwstr>Journal of Controlled Release</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Citation Style_1">
    <vt:lpwstr>http://www.zotero.org/styles/journal-of-controlled-release</vt:lpwstr>
  </property>
</Properties>
</file>