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80B15" w14:textId="480D2CA1" w:rsidR="005A3997" w:rsidRPr="00AE1B1D" w:rsidRDefault="005A3997" w:rsidP="005A3997">
      <w:pPr>
        <w:spacing w:line="360" w:lineRule="auto"/>
        <w:ind w:left="720"/>
        <w:jc w:val="center"/>
        <w:rPr>
          <w:b/>
          <w:sz w:val="36"/>
          <w:lang w:val="en-US"/>
        </w:rPr>
      </w:pPr>
      <w:r w:rsidRPr="00AE1B1D">
        <w:rPr>
          <w:b/>
          <w:sz w:val="36"/>
          <w:lang w:val="en-US"/>
        </w:rPr>
        <w:t>Bioinstructive Naringin-loaded Micelles for Guiding Stem Cells Osteodifferentiation</w:t>
      </w:r>
    </w:p>
    <w:p w14:paraId="3CCE1865" w14:textId="77777777" w:rsidR="005A3997" w:rsidRPr="00AE1B1D" w:rsidRDefault="005A3997" w:rsidP="005A3997">
      <w:pPr>
        <w:spacing w:line="360" w:lineRule="auto"/>
        <w:ind w:firstLine="720"/>
        <w:jc w:val="center"/>
        <w:rPr>
          <w:lang w:val="pt-PT"/>
        </w:rPr>
      </w:pPr>
      <w:r w:rsidRPr="00AE1B1D">
        <w:t>Pedro Lavrador</w:t>
      </w:r>
      <w:r w:rsidRPr="00AE1B1D">
        <w:rPr>
          <w:vertAlign w:val="superscript"/>
        </w:rPr>
        <w:t>1</w:t>
      </w:r>
      <w:r w:rsidRPr="00AE1B1D">
        <w:t>, Vítor M. Gaspar</w:t>
      </w:r>
      <w:r w:rsidRPr="00AE1B1D">
        <w:rPr>
          <w:vertAlign w:val="superscript"/>
        </w:rPr>
        <w:t>1</w:t>
      </w:r>
      <w:r w:rsidRPr="00AE1B1D">
        <w:t xml:space="preserve"> and João F. Mano</w:t>
      </w:r>
      <w:r w:rsidRPr="00AE1B1D">
        <w:rPr>
          <w:vertAlign w:val="superscript"/>
        </w:rPr>
        <w:t>1#</w:t>
      </w:r>
    </w:p>
    <w:p w14:paraId="498AA698" w14:textId="77777777" w:rsidR="005A3997" w:rsidRPr="00AE1B1D" w:rsidRDefault="005A3997" w:rsidP="005A3997">
      <w:pPr>
        <w:pStyle w:val="AuthorsFull"/>
        <w:spacing w:line="360" w:lineRule="auto"/>
        <w:jc w:val="center"/>
        <w:rPr>
          <w:i w:val="0"/>
          <w:lang w:val="pt-PT"/>
        </w:rPr>
      </w:pPr>
    </w:p>
    <w:p w14:paraId="6725EF21" w14:textId="77777777" w:rsidR="005A3997" w:rsidRPr="00AE1B1D" w:rsidRDefault="005A3997" w:rsidP="005A3997">
      <w:pPr>
        <w:pStyle w:val="AuthorsFull"/>
        <w:spacing w:line="360" w:lineRule="auto"/>
        <w:jc w:val="center"/>
        <w:rPr>
          <w:i w:val="0"/>
          <w:lang w:val="pt-PT"/>
        </w:rPr>
      </w:pPr>
    </w:p>
    <w:p w14:paraId="3553C3FE" w14:textId="77777777" w:rsidR="005A3997" w:rsidRPr="00AE1B1D" w:rsidRDefault="005A3997" w:rsidP="005A3997">
      <w:pPr>
        <w:pStyle w:val="SemEspaamento"/>
        <w:spacing w:line="360" w:lineRule="auto"/>
        <w:rPr>
          <w:sz w:val="24"/>
          <w:szCs w:val="24"/>
          <w:vertAlign w:val="superscript"/>
          <w:lang w:val="pt-PT"/>
        </w:rPr>
      </w:pPr>
      <w:r w:rsidRPr="00AE1B1D">
        <w:rPr>
          <w:sz w:val="24"/>
          <w:szCs w:val="24"/>
          <w:vertAlign w:val="superscript"/>
          <w:lang w:val="pt-PT"/>
        </w:rPr>
        <w:t>1</w:t>
      </w:r>
      <w:r w:rsidRPr="00AE1B1D">
        <w:rPr>
          <w:sz w:val="24"/>
          <w:szCs w:val="24"/>
          <w:lang w:val="pt-PT"/>
        </w:rPr>
        <w:t xml:space="preserve">Department </w:t>
      </w:r>
      <w:proofErr w:type="spellStart"/>
      <w:r w:rsidRPr="00AE1B1D">
        <w:rPr>
          <w:sz w:val="24"/>
          <w:szCs w:val="24"/>
          <w:lang w:val="pt-PT"/>
        </w:rPr>
        <w:t>of</w:t>
      </w:r>
      <w:proofErr w:type="spellEnd"/>
      <w:r w:rsidRPr="00AE1B1D">
        <w:rPr>
          <w:sz w:val="24"/>
          <w:szCs w:val="24"/>
          <w:lang w:val="pt-PT"/>
        </w:rPr>
        <w:t xml:space="preserve"> </w:t>
      </w:r>
      <w:proofErr w:type="spellStart"/>
      <w:r w:rsidRPr="00AE1B1D">
        <w:rPr>
          <w:sz w:val="24"/>
          <w:szCs w:val="24"/>
          <w:lang w:val="pt-PT"/>
        </w:rPr>
        <w:t>Chemistry</w:t>
      </w:r>
      <w:proofErr w:type="spellEnd"/>
      <w:r w:rsidRPr="00AE1B1D">
        <w:rPr>
          <w:sz w:val="24"/>
          <w:szCs w:val="24"/>
          <w:lang w:val="pt-PT"/>
        </w:rPr>
        <w:t xml:space="preserve">, CICECO – Aveiro </w:t>
      </w:r>
      <w:proofErr w:type="spellStart"/>
      <w:r w:rsidRPr="00AE1B1D">
        <w:rPr>
          <w:sz w:val="24"/>
          <w:szCs w:val="24"/>
          <w:lang w:val="pt-PT"/>
        </w:rPr>
        <w:t>Institute</w:t>
      </w:r>
      <w:proofErr w:type="spellEnd"/>
      <w:r w:rsidRPr="00AE1B1D">
        <w:rPr>
          <w:sz w:val="24"/>
          <w:szCs w:val="24"/>
          <w:lang w:val="pt-PT"/>
        </w:rPr>
        <w:t xml:space="preserve"> </w:t>
      </w:r>
      <w:proofErr w:type="spellStart"/>
      <w:r w:rsidRPr="00AE1B1D">
        <w:rPr>
          <w:sz w:val="24"/>
          <w:szCs w:val="24"/>
          <w:lang w:val="pt-PT"/>
        </w:rPr>
        <w:t>of</w:t>
      </w:r>
      <w:proofErr w:type="spellEnd"/>
      <w:r w:rsidRPr="00AE1B1D">
        <w:rPr>
          <w:sz w:val="24"/>
          <w:szCs w:val="24"/>
          <w:lang w:val="pt-PT"/>
        </w:rPr>
        <w:t xml:space="preserve"> </w:t>
      </w:r>
      <w:proofErr w:type="spellStart"/>
      <w:r w:rsidRPr="00AE1B1D">
        <w:rPr>
          <w:sz w:val="24"/>
          <w:szCs w:val="24"/>
          <w:lang w:val="pt-PT"/>
        </w:rPr>
        <w:t>Materials</w:t>
      </w:r>
      <w:proofErr w:type="spellEnd"/>
      <w:r w:rsidRPr="00AE1B1D">
        <w:rPr>
          <w:sz w:val="24"/>
          <w:szCs w:val="24"/>
          <w:lang w:val="pt-PT"/>
        </w:rPr>
        <w:t xml:space="preserve">, </w:t>
      </w:r>
      <w:proofErr w:type="spellStart"/>
      <w:r w:rsidRPr="00AE1B1D">
        <w:rPr>
          <w:sz w:val="24"/>
          <w:szCs w:val="24"/>
          <w:lang w:val="pt-PT"/>
        </w:rPr>
        <w:t>University</w:t>
      </w:r>
      <w:proofErr w:type="spellEnd"/>
      <w:r w:rsidRPr="00AE1B1D">
        <w:rPr>
          <w:sz w:val="24"/>
          <w:szCs w:val="24"/>
          <w:lang w:val="pt-PT"/>
        </w:rPr>
        <w:t xml:space="preserve"> </w:t>
      </w:r>
      <w:proofErr w:type="spellStart"/>
      <w:r w:rsidRPr="00AE1B1D">
        <w:rPr>
          <w:sz w:val="24"/>
          <w:szCs w:val="24"/>
          <w:lang w:val="pt-PT"/>
        </w:rPr>
        <w:t>of</w:t>
      </w:r>
      <w:proofErr w:type="spellEnd"/>
      <w:r w:rsidRPr="00AE1B1D">
        <w:rPr>
          <w:sz w:val="24"/>
          <w:szCs w:val="24"/>
          <w:lang w:val="pt-PT"/>
        </w:rPr>
        <w:t xml:space="preserve"> Aveiro, Campus Universitário de Santiago, 3810-193, Aveiro, Portugal</w:t>
      </w:r>
    </w:p>
    <w:p w14:paraId="6992BC8A" w14:textId="77777777" w:rsidR="005A3997" w:rsidRPr="00AE1B1D" w:rsidRDefault="005A3997" w:rsidP="005A3997">
      <w:pPr>
        <w:pStyle w:val="SemEspaamento"/>
        <w:spacing w:line="360" w:lineRule="auto"/>
        <w:jc w:val="both"/>
        <w:rPr>
          <w:sz w:val="24"/>
          <w:szCs w:val="24"/>
          <w:lang w:val="pt-PT"/>
        </w:rPr>
      </w:pPr>
    </w:p>
    <w:p w14:paraId="3D57EF19" w14:textId="77777777" w:rsidR="005A3997" w:rsidRPr="00AE1B1D" w:rsidRDefault="005A3997" w:rsidP="005A3997">
      <w:pPr>
        <w:pStyle w:val="SemEspaamento"/>
        <w:spacing w:line="360" w:lineRule="auto"/>
        <w:rPr>
          <w:sz w:val="24"/>
          <w:szCs w:val="24"/>
          <w:lang w:val="pt-PT"/>
        </w:rPr>
      </w:pPr>
    </w:p>
    <w:p w14:paraId="717C5A4F" w14:textId="77777777" w:rsidR="005A3997" w:rsidRPr="00AE1B1D" w:rsidRDefault="005A3997" w:rsidP="005A3997">
      <w:pPr>
        <w:spacing w:line="360" w:lineRule="auto"/>
        <w:rPr>
          <w:rFonts w:eastAsia="Times New Roman"/>
          <w:lang w:eastAsia="pt-PT"/>
        </w:rPr>
      </w:pPr>
      <w:r w:rsidRPr="00AE1B1D">
        <w:rPr>
          <w:rFonts w:eastAsia="Times New Roman"/>
          <w:vertAlign w:val="superscript"/>
          <w:lang w:eastAsia="pt-PT"/>
        </w:rPr>
        <w:t>#</w:t>
      </w:r>
      <w:r w:rsidRPr="00AE1B1D">
        <w:rPr>
          <w:rFonts w:eastAsia="Times New Roman"/>
          <w:lang w:eastAsia="pt-PT"/>
        </w:rPr>
        <w:t>Corresponding author:</w:t>
      </w:r>
    </w:p>
    <w:p w14:paraId="4AA18CCC" w14:textId="77777777" w:rsidR="005A3997" w:rsidRPr="00AE1B1D" w:rsidRDefault="005A3997" w:rsidP="005A3997">
      <w:pPr>
        <w:spacing w:line="360" w:lineRule="auto"/>
        <w:rPr>
          <w:rFonts w:eastAsia="Times New Roman"/>
          <w:lang w:eastAsia="pt-PT"/>
        </w:rPr>
      </w:pPr>
      <w:r w:rsidRPr="00AE1B1D">
        <w:rPr>
          <w:rFonts w:eastAsia="Times New Roman"/>
          <w:lang w:eastAsia="pt-PT"/>
        </w:rPr>
        <w:t>Professor João F. Mano</w:t>
      </w:r>
    </w:p>
    <w:p w14:paraId="32A350F1" w14:textId="77777777" w:rsidR="005A3997" w:rsidRPr="00AE1B1D" w:rsidRDefault="005A3997" w:rsidP="005A3997">
      <w:pPr>
        <w:spacing w:line="360" w:lineRule="auto"/>
        <w:rPr>
          <w:rFonts w:eastAsia="Times New Roman"/>
          <w:lang w:val="en-GB" w:eastAsia="pt-PT"/>
        </w:rPr>
      </w:pPr>
      <w:r w:rsidRPr="00AE1B1D">
        <w:rPr>
          <w:rFonts w:eastAsia="Times New Roman"/>
          <w:lang w:val="en-GB" w:eastAsia="pt-PT"/>
        </w:rPr>
        <w:t>Department of Chemistry, CICECO – Aveiro Institute of Materials</w:t>
      </w:r>
    </w:p>
    <w:p w14:paraId="3E64F76E" w14:textId="77777777" w:rsidR="005A3997" w:rsidRPr="00AE1B1D" w:rsidRDefault="005A3997" w:rsidP="005A3997">
      <w:pPr>
        <w:spacing w:line="360" w:lineRule="auto"/>
        <w:rPr>
          <w:rFonts w:eastAsia="Times New Roman"/>
          <w:lang w:val="pt-PT" w:eastAsia="pt-PT"/>
        </w:rPr>
      </w:pPr>
      <w:r w:rsidRPr="00AE1B1D">
        <w:rPr>
          <w:rFonts w:eastAsia="Times New Roman"/>
          <w:lang w:eastAsia="pt-PT"/>
        </w:rPr>
        <w:t>University of Aveiro, Campus Universitário de Santiago</w:t>
      </w:r>
    </w:p>
    <w:p w14:paraId="4275148C" w14:textId="77777777" w:rsidR="005A3997" w:rsidRPr="00AE1B1D" w:rsidRDefault="005A3997" w:rsidP="005A3997">
      <w:pPr>
        <w:spacing w:line="360" w:lineRule="auto"/>
        <w:rPr>
          <w:rFonts w:eastAsia="Times New Roman"/>
          <w:lang w:eastAsia="pt-PT"/>
        </w:rPr>
      </w:pPr>
      <w:r w:rsidRPr="00AE1B1D">
        <w:rPr>
          <w:rFonts w:eastAsia="Times New Roman"/>
          <w:lang w:eastAsia="pt-PT"/>
        </w:rPr>
        <w:t>3810-193, Aveiro, Portugal</w:t>
      </w:r>
    </w:p>
    <w:p w14:paraId="20A213AE" w14:textId="77777777" w:rsidR="005A3997" w:rsidRPr="00AE1B1D" w:rsidRDefault="005A3997" w:rsidP="005A3997">
      <w:pPr>
        <w:spacing w:line="360" w:lineRule="auto"/>
        <w:rPr>
          <w:rFonts w:eastAsia="Times New Roman"/>
          <w:lang w:eastAsia="pt-PT"/>
        </w:rPr>
      </w:pPr>
      <w:r w:rsidRPr="00AE1B1D">
        <w:rPr>
          <w:rFonts w:eastAsia="Times New Roman"/>
          <w:lang w:eastAsia="pt-PT"/>
        </w:rPr>
        <w:t>E-mail: jmano@ua.pt</w:t>
      </w:r>
    </w:p>
    <w:p w14:paraId="04D9C55E" w14:textId="77777777" w:rsidR="005A3997" w:rsidRPr="00AE1B1D" w:rsidRDefault="005A3997" w:rsidP="005A3997">
      <w:pPr>
        <w:spacing w:line="360" w:lineRule="auto"/>
        <w:rPr>
          <w:rFonts w:eastAsia="Times New Roman"/>
          <w:lang w:val="en-GB" w:eastAsia="pt-PT"/>
        </w:rPr>
      </w:pPr>
      <w:r w:rsidRPr="00AE1B1D">
        <w:rPr>
          <w:rFonts w:eastAsia="Times New Roman"/>
          <w:lang w:val="en-GB" w:eastAsia="pt-PT"/>
        </w:rPr>
        <w:t>Telephone: +351 234370733</w:t>
      </w:r>
    </w:p>
    <w:p w14:paraId="317561BE" w14:textId="77777777" w:rsidR="005A3997" w:rsidRPr="00AE1B1D" w:rsidRDefault="005A3997" w:rsidP="005A3997">
      <w:pPr>
        <w:spacing w:line="360" w:lineRule="auto"/>
        <w:rPr>
          <w:rFonts w:eastAsia="Times New Roman"/>
          <w:sz w:val="20"/>
          <w:szCs w:val="20"/>
          <w:lang w:val="en-GB" w:eastAsia="pt-PT"/>
        </w:rPr>
      </w:pPr>
    </w:p>
    <w:p w14:paraId="26A86072" w14:textId="5E9CFDAA" w:rsidR="005A3997" w:rsidRPr="00AE1B1D" w:rsidRDefault="005A3997" w:rsidP="00AE1B1D">
      <w:pPr>
        <w:pStyle w:val="SemEspaamento"/>
        <w:spacing w:line="360" w:lineRule="auto"/>
        <w:jc w:val="both"/>
        <w:sectPr w:rsidR="005A3997" w:rsidRPr="00AE1B1D" w:rsidSect="007D72A6">
          <w:headerReference w:type="default" r:id="rId9"/>
          <w:footerReference w:type="default" r:id="rId10"/>
          <w:pgSz w:w="11906" w:h="16838"/>
          <w:pgMar w:top="1417" w:right="1417" w:bottom="1134" w:left="1417" w:header="708" w:footer="708" w:gutter="0"/>
          <w:cols w:space="708"/>
          <w:titlePg/>
          <w:docGrid w:linePitch="360"/>
        </w:sectPr>
      </w:pPr>
      <w:r w:rsidRPr="00AE1B1D">
        <w:rPr>
          <w:sz w:val="24"/>
          <w:szCs w:val="24"/>
        </w:rPr>
        <w:br w:type="column"/>
      </w:r>
    </w:p>
    <w:p w14:paraId="7B8B5439" w14:textId="46632F0C" w:rsidR="0059526F" w:rsidRPr="00AE1B1D" w:rsidRDefault="0059526F" w:rsidP="0001454A">
      <w:pPr>
        <w:rPr>
          <w:lang w:val="en-US"/>
        </w:rPr>
      </w:pPr>
      <w:r w:rsidRPr="00AE1B1D">
        <w:rPr>
          <w:lang w:val="en-US"/>
        </w:rPr>
        <w:lastRenderedPageBreak/>
        <w:t>DOI: 10.1002/</w:t>
      </w:r>
      <w:r w:rsidR="007F6BA8" w:rsidRPr="00AE1B1D">
        <w:rPr>
          <w:lang w:val="en-US"/>
        </w:rPr>
        <w:t xml:space="preserve"> </w:t>
      </w:r>
      <w:r w:rsidRPr="00AE1B1D">
        <w:rPr>
          <w:lang w:val="en-US"/>
        </w:rPr>
        <w:t xml:space="preserve">((please add manuscript number)) </w:t>
      </w:r>
    </w:p>
    <w:p w14:paraId="2B2B052C" w14:textId="77777777" w:rsidR="007D24A9" w:rsidRPr="00AE1B1D" w:rsidRDefault="0045786A" w:rsidP="007D24A9">
      <w:pPr>
        <w:rPr>
          <w:color w:val="000000"/>
          <w:lang w:val="en-US"/>
        </w:rPr>
      </w:pPr>
      <w:r w:rsidRPr="00AE1B1D">
        <w:rPr>
          <w:b/>
          <w:bCs/>
          <w:lang w:val="en-US"/>
        </w:rPr>
        <w:t>Article</w:t>
      </w:r>
      <w:r w:rsidR="007D24A9" w:rsidRPr="00AE1B1D">
        <w:rPr>
          <w:b/>
          <w:bCs/>
          <w:lang w:val="en-US"/>
        </w:rPr>
        <w:t xml:space="preserve"> </w:t>
      </w:r>
      <w:r w:rsidR="007D24A9" w:rsidRPr="00AE1B1D">
        <w:rPr>
          <w:b/>
          <w:bCs/>
          <w:color w:val="000000"/>
          <w:lang w:val="en-US"/>
        </w:rPr>
        <w:t>type</w:t>
      </w:r>
      <w:r w:rsidRPr="00AE1B1D">
        <w:rPr>
          <w:b/>
          <w:bCs/>
          <w:color w:val="000000"/>
          <w:lang w:val="en-US"/>
        </w:rPr>
        <w:t xml:space="preserve">: </w:t>
      </w:r>
      <w:r w:rsidR="004E62F2" w:rsidRPr="00AE1B1D">
        <w:rPr>
          <w:bCs/>
          <w:color w:val="000000"/>
          <w:lang w:val="en-US"/>
        </w:rPr>
        <w:t>Full Paper</w:t>
      </w:r>
    </w:p>
    <w:p w14:paraId="2C722335" w14:textId="77777777" w:rsidR="0001454A" w:rsidRPr="00AE1B1D" w:rsidRDefault="0001454A" w:rsidP="00004A23">
      <w:pPr>
        <w:rPr>
          <w:color w:val="000000"/>
          <w:lang w:val="en-US"/>
        </w:rPr>
      </w:pPr>
    </w:p>
    <w:p w14:paraId="31BD60E7" w14:textId="77777777" w:rsidR="00004A23" w:rsidRPr="00AE1B1D" w:rsidRDefault="00004A23" w:rsidP="00004A23">
      <w:pPr>
        <w:rPr>
          <w:color w:val="000000"/>
          <w:lang w:val="en-US"/>
        </w:rPr>
      </w:pPr>
    </w:p>
    <w:p w14:paraId="493B3DAF" w14:textId="77777777" w:rsidR="002D16A0" w:rsidRPr="00AE1B1D" w:rsidRDefault="002D16A0" w:rsidP="002D16A0">
      <w:pPr>
        <w:pStyle w:val="Title2"/>
        <w:rPr>
          <w:b w:val="0"/>
          <w:color w:val="000000"/>
          <w:lang w:val="de-DE"/>
        </w:rPr>
      </w:pPr>
      <w:r w:rsidRPr="00AE1B1D">
        <w:rPr>
          <w:color w:val="000000"/>
        </w:rPr>
        <w:t>Title</w:t>
      </w:r>
      <w:r w:rsidR="004E62F2" w:rsidRPr="00AE1B1D">
        <w:rPr>
          <w:color w:val="000000"/>
        </w:rPr>
        <w:t>:</w:t>
      </w:r>
      <w:r w:rsidRPr="00AE1B1D">
        <w:rPr>
          <w:color w:val="000000"/>
        </w:rPr>
        <w:t xml:space="preserve"> </w:t>
      </w:r>
      <w:r w:rsidR="004E62F2" w:rsidRPr="00AE1B1D">
        <w:rPr>
          <w:b w:val="0"/>
          <w:color w:val="000000"/>
        </w:rPr>
        <w:t>Bioinstructive Naringin-loaded Micelles for Guiding Stem Cells Osteodifferentiation</w:t>
      </w:r>
    </w:p>
    <w:p w14:paraId="00BA2C28" w14:textId="77777777" w:rsidR="002D16A0" w:rsidRPr="00AE1B1D" w:rsidRDefault="002D16A0" w:rsidP="00BE2BC6">
      <w:pPr>
        <w:pStyle w:val="Tableofcontents"/>
      </w:pPr>
    </w:p>
    <w:p w14:paraId="013CBC3F" w14:textId="77777777" w:rsidR="002D16A0" w:rsidRPr="00AE1B1D" w:rsidRDefault="0097454D" w:rsidP="00BE2BC6">
      <w:pPr>
        <w:pStyle w:val="Tableofcontents"/>
        <w:rPr>
          <w:color w:val="000000"/>
          <w:lang w:val="pt-PT"/>
        </w:rPr>
      </w:pPr>
      <w:r w:rsidRPr="00AE1B1D">
        <w:rPr>
          <w:i/>
          <w:color w:val="000000"/>
          <w:lang w:val="pt-PT"/>
        </w:rPr>
        <w:t>Pedro Lavrador, Vítor Gaspar, João Mano</w:t>
      </w:r>
      <w:r w:rsidRPr="00AE1B1D">
        <w:rPr>
          <w:color w:val="000000"/>
          <w:lang w:val="pt-PT"/>
        </w:rPr>
        <w:t>*</w:t>
      </w:r>
    </w:p>
    <w:p w14:paraId="120E7BD5" w14:textId="77777777" w:rsidR="0041275E" w:rsidRPr="00AE1B1D" w:rsidRDefault="0041275E" w:rsidP="00BE2BC6">
      <w:pPr>
        <w:pStyle w:val="Tableofcontents"/>
        <w:rPr>
          <w:lang w:val="pt-PT"/>
        </w:rPr>
      </w:pPr>
    </w:p>
    <w:p w14:paraId="50B1492B" w14:textId="77777777" w:rsidR="003E34DA" w:rsidRPr="00AE1B1D" w:rsidRDefault="00766D8D" w:rsidP="007B7A09">
      <w:pPr>
        <w:pStyle w:val="Addresses"/>
        <w:rPr>
          <w:lang w:val="pt-PT"/>
        </w:rPr>
      </w:pPr>
      <w:r w:rsidRPr="00AE1B1D">
        <w:rPr>
          <w:lang w:val="pt-PT"/>
        </w:rPr>
        <w:t>P</w:t>
      </w:r>
      <w:r w:rsidR="007B7A09" w:rsidRPr="00AE1B1D">
        <w:rPr>
          <w:lang w:val="pt-PT"/>
        </w:rPr>
        <w:t xml:space="preserve">. </w:t>
      </w:r>
      <w:r w:rsidRPr="00AE1B1D">
        <w:rPr>
          <w:lang w:val="pt-PT"/>
        </w:rPr>
        <w:t>Lavrador</w:t>
      </w:r>
      <w:r w:rsidR="007B7A09" w:rsidRPr="00AE1B1D">
        <w:rPr>
          <w:lang w:val="pt-PT"/>
        </w:rPr>
        <w:t xml:space="preserve">, </w:t>
      </w:r>
      <w:r w:rsidR="00DF1AEB" w:rsidRPr="00AE1B1D">
        <w:rPr>
          <w:lang w:val="pt-PT"/>
        </w:rPr>
        <w:t xml:space="preserve">Dr. </w:t>
      </w:r>
      <w:r w:rsidRPr="00AE1B1D">
        <w:rPr>
          <w:lang w:val="pt-PT"/>
        </w:rPr>
        <w:t xml:space="preserve">V. M. Gaspar, </w:t>
      </w:r>
      <w:r w:rsidR="007B7A09" w:rsidRPr="00AE1B1D">
        <w:rPr>
          <w:lang w:val="pt-PT"/>
        </w:rPr>
        <w:t xml:space="preserve">Prof. </w:t>
      </w:r>
      <w:r w:rsidRPr="00AE1B1D">
        <w:rPr>
          <w:lang w:val="pt-PT"/>
        </w:rPr>
        <w:t>J. F</w:t>
      </w:r>
      <w:r w:rsidR="007B7A09" w:rsidRPr="00AE1B1D">
        <w:rPr>
          <w:lang w:val="pt-PT"/>
        </w:rPr>
        <w:t xml:space="preserve">. </w:t>
      </w:r>
      <w:r w:rsidRPr="00AE1B1D">
        <w:rPr>
          <w:lang w:val="pt-PT"/>
        </w:rPr>
        <w:t>Mano</w:t>
      </w:r>
    </w:p>
    <w:p w14:paraId="3C50DD50" w14:textId="77777777" w:rsidR="00766D8D" w:rsidRPr="00AE1B1D" w:rsidRDefault="00766D8D" w:rsidP="007B7A09">
      <w:pPr>
        <w:pStyle w:val="Addresses"/>
      </w:pPr>
      <w:r w:rsidRPr="00AE1B1D">
        <w:t>Department of Chemistry, CICECO – Aveiro Institute of Materials</w:t>
      </w:r>
    </w:p>
    <w:p w14:paraId="05470A67" w14:textId="77777777" w:rsidR="00766D8D" w:rsidRPr="00AE1B1D" w:rsidRDefault="00766D8D" w:rsidP="007B7A09">
      <w:pPr>
        <w:pStyle w:val="Addresses"/>
        <w:rPr>
          <w:lang w:val="pt-PT"/>
        </w:rPr>
      </w:pPr>
      <w:proofErr w:type="spellStart"/>
      <w:r w:rsidRPr="00AE1B1D">
        <w:rPr>
          <w:lang w:val="pt-PT"/>
        </w:rPr>
        <w:t>University</w:t>
      </w:r>
      <w:proofErr w:type="spellEnd"/>
      <w:r w:rsidRPr="00AE1B1D">
        <w:rPr>
          <w:lang w:val="pt-PT"/>
        </w:rPr>
        <w:t xml:space="preserve"> </w:t>
      </w:r>
      <w:proofErr w:type="spellStart"/>
      <w:r w:rsidRPr="00AE1B1D">
        <w:rPr>
          <w:lang w:val="pt-PT"/>
        </w:rPr>
        <w:t>of</w:t>
      </w:r>
      <w:proofErr w:type="spellEnd"/>
      <w:r w:rsidRPr="00AE1B1D">
        <w:rPr>
          <w:lang w:val="pt-PT"/>
        </w:rPr>
        <w:t xml:space="preserve"> Aveiro</w:t>
      </w:r>
    </w:p>
    <w:p w14:paraId="1166B7B6" w14:textId="77777777" w:rsidR="007B7A09" w:rsidRPr="00AE1B1D" w:rsidRDefault="00766D8D" w:rsidP="007B7A09">
      <w:pPr>
        <w:pStyle w:val="Addresses"/>
        <w:rPr>
          <w:lang w:val="pt-PT"/>
        </w:rPr>
      </w:pPr>
      <w:r w:rsidRPr="00AE1B1D">
        <w:rPr>
          <w:lang w:val="pt-PT"/>
        </w:rPr>
        <w:t>Campus Universitário de Santiago, 3810-193, Aveiro, Portugal</w:t>
      </w:r>
      <w:r w:rsidR="007B7A09" w:rsidRPr="00AE1B1D">
        <w:rPr>
          <w:lang w:val="pt-PT"/>
        </w:rPr>
        <w:br/>
        <w:t xml:space="preserve">E-mail: </w:t>
      </w:r>
      <w:r w:rsidR="006531EA" w:rsidRPr="00AE1B1D">
        <w:rPr>
          <w:lang w:val="pt-PT"/>
        </w:rPr>
        <w:t>jmano@ua.pt</w:t>
      </w:r>
    </w:p>
    <w:p w14:paraId="2CA26DA0" w14:textId="77777777" w:rsidR="002D16A0" w:rsidRPr="00AE1B1D" w:rsidRDefault="002D16A0" w:rsidP="002D16A0">
      <w:pPr>
        <w:rPr>
          <w:lang w:val="pt-PT"/>
        </w:rPr>
      </w:pPr>
    </w:p>
    <w:p w14:paraId="6E5468EA" w14:textId="77777777" w:rsidR="00766D8D" w:rsidRPr="00AE1B1D" w:rsidRDefault="00766D8D" w:rsidP="002D16A0">
      <w:pPr>
        <w:rPr>
          <w:lang w:val="pt-PT"/>
        </w:rPr>
      </w:pPr>
    </w:p>
    <w:p w14:paraId="3749D863" w14:textId="77777777" w:rsidR="00901D14" w:rsidRPr="00AE1B1D" w:rsidRDefault="00901D14" w:rsidP="00901D14">
      <w:pPr>
        <w:rPr>
          <w:lang w:val="en-US"/>
        </w:rPr>
      </w:pPr>
      <w:r w:rsidRPr="00AE1B1D">
        <w:rPr>
          <w:bCs/>
          <w:lang w:val="en-US"/>
        </w:rPr>
        <w:t xml:space="preserve">Keywords: </w:t>
      </w:r>
      <w:r w:rsidR="007E28A0" w:rsidRPr="00AE1B1D">
        <w:rPr>
          <w:bCs/>
          <w:lang w:val="en-US"/>
        </w:rPr>
        <w:t xml:space="preserve">controlled release, human adipose-derived mesenchymal stem cells, </w:t>
      </w:r>
      <w:r w:rsidR="00DF1AEB" w:rsidRPr="00AE1B1D">
        <w:rPr>
          <w:bCs/>
          <w:lang w:val="en-US"/>
        </w:rPr>
        <w:t>n</w:t>
      </w:r>
      <w:r w:rsidR="007E28A0" w:rsidRPr="00AE1B1D">
        <w:rPr>
          <w:bCs/>
          <w:lang w:val="en-US"/>
        </w:rPr>
        <w:t>aringin, osteogenic differentiation, polymeric micelles</w:t>
      </w:r>
    </w:p>
    <w:p w14:paraId="26FF1FB7" w14:textId="77777777" w:rsidR="00004A23" w:rsidRPr="00AE1B1D" w:rsidRDefault="00004A23" w:rsidP="00004A23">
      <w:pPr>
        <w:rPr>
          <w:lang w:val="en-US"/>
        </w:rPr>
      </w:pPr>
    </w:p>
    <w:p w14:paraId="2470697A" w14:textId="77777777" w:rsidR="00632511" w:rsidRPr="00AE1B1D" w:rsidRDefault="00632511" w:rsidP="00632511">
      <w:pPr>
        <w:spacing w:line="480" w:lineRule="auto"/>
        <w:jc w:val="both"/>
        <w:rPr>
          <w:b/>
          <w:snapToGrid w:val="0"/>
          <w:color w:val="000000"/>
          <w:lang w:val="en-US"/>
        </w:rPr>
      </w:pPr>
      <w:r w:rsidRPr="00AE1B1D">
        <w:rPr>
          <w:b/>
          <w:snapToGrid w:val="0"/>
          <w:color w:val="000000"/>
          <w:lang w:val="en-US"/>
        </w:rPr>
        <w:t>Abstract</w:t>
      </w:r>
    </w:p>
    <w:p w14:paraId="078B376E" w14:textId="48FFDE2E" w:rsidR="00504152" w:rsidRPr="00AE1B1D" w:rsidRDefault="00504152" w:rsidP="00504152">
      <w:pPr>
        <w:spacing w:after="240" w:line="480" w:lineRule="auto"/>
        <w:ind w:firstLine="284"/>
        <w:jc w:val="both"/>
        <w:rPr>
          <w:color w:val="000000"/>
        </w:rPr>
      </w:pPr>
      <w:r w:rsidRPr="00AE1B1D">
        <w:rPr>
          <w:snapToGrid w:val="0"/>
          <w:color w:val="000000"/>
          <w:lang w:val="en-US"/>
        </w:rPr>
        <w:t xml:space="preserve">Naringin is a </w:t>
      </w:r>
      <w:r w:rsidR="003E34DA" w:rsidRPr="00AE1B1D">
        <w:rPr>
          <w:snapToGrid w:val="0"/>
          <w:color w:val="000000"/>
          <w:lang w:val="en-US"/>
        </w:rPr>
        <w:t xml:space="preserve">naturally </w:t>
      </w:r>
      <w:r w:rsidR="001E6956" w:rsidRPr="00AE1B1D">
        <w:rPr>
          <w:snapToGrid w:val="0"/>
          <w:color w:val="000000"/>
          <w:lang w:val="en-US"/>
        </w:rPr>
        <w:t>occurring</w:t>
      </w:r>
      <w:r w:rsidR="003E34DA" w:rsidRPr="00AE1B1D">
        <w:rPr>
          <w:snapToGrid w:val="0"/>
          <w:color w:val="000000"/>
          <w:lang w:val="en-US"/>
        </w:rPr>
        <w:t xml:space="preserve"> </w:t>
      </w:r>
      <w:r w:rsidRPr="00AE1B1D">
        <w:rPr>
          <w:snapToGrid w:val="0"/>
          <w:color w:val="000000"/>
          <w:lang w:val="en-US"/>
        </w:rPr>
        <w:t>flavanone with recognized neuroprotective, cardioprotective, anti-inflammatory and ant</w:t>
      </w:r>
      <w:bookmarkStart w:id="0" w:name="_GoBack"/>
      <w:bookmarkEnd w:id="0"/>
      <w:r w:rsidRPr="00AE1B1D">
        <w:rPr>
          <w:snapToGrid w:val="0"/>
          <w:color w:val="000000"/>
          <w:lang w:val="en-US"/>
        </w:rPr>
        <w:t>i-osteoporotic properties. In this work, we report for the first time the delivery of Naringin-loaded mPEG-MS-PLA diblock polymeric micelles to human adipose-derived stem cells (</w:t>
      </w:r>
      <w:proofErr w:type="spellStart"/>
      <w:r w:rsidRPr="00AE1B1D">
        <w:rPr>
          <w:snapToGrid w:val="0"/>
          <w:color w:val="000000"/>
          <w:lang w:val="en-US"/>
        </w:rPr>
        <w:t>hASCs</w:t>
      </w:r>
      <w:proofErr w:type="spellEnd"/>
      <w:r w:rsidRPr="00AE1B1D">
        <w:rPr>
          <w:snapToGrid w:val="0"/>
          <w:color w:val="000000"/>
          <w:lang w:val="en-US"/>
        </w:rPr>
        <w:t>) with t</w:t>
      </w:r>
      <w:r w:rsidR="00020794" w:rsidRPr="00AE1B1D">
        <w:rPr>
          <w:snapToGrid w:val="0"/>
          <w:color w:val="000000"/>
          <w:lang w:val="en-US"/>
        </w:rPr>
        <w:t>he aim t</w:t>
      </w:r>
      <w:r w:rsidRPr="00AE1B1D">
        <w:rPr>
          <w:snapToGrid w:val="0"/>
          <w:color w:val="000000"/>
          <w:lang w:val="en-US"/>
        </w:rPr>
        <w:t xml:space="preserve">o </w:t>
      </w:r>
      <w:r w:rsidR="005D7918" w:rsidRPr="00AE1B1D">
        <w:rPr>
          <w:snapToGrid w:val="0"/>
          <w:color w:val="000000"/>
          <w:lang w:val="en-US"/>
        </w:rPr>
        <w:t xml:space="preserve">augment its </w:t>
      </w:r>
      <w:r w:rsidRPr="00AE1B1D">
        <w:rPr>
          <w:snapToGrid w:val="0"/>
          <w:color w:val="000000"/>
          <w:lang w:val="en-US"/>
        </w:rPr>
        <w:t>pro-osteogenic effect in these cells.</w:t>
      </w:r>
      <w:r w:rsidRPr="00AE1B1D">
        <w:rPr>
          <w:lang w:val="en-US"/>
        </w:rPr>
        <w:t xml:space="preserve"> </w:t>
      </w:r>
      <w:r w:rsidRPr="00AE1B1D">
        <w:rPr>
          <w:snapToGrid w:val="0"/>
          <w:color w:val="000000"/>
          <w:lang w:val="en-US"/>
        </w:rPr>
        <w:t xml:space="preserve">The synthesis of the diblock copolymer was performed via Michael-type addition reaction between hydrophilic mPEG-MAL and hydrophobic PLA-SH and confirmed by </w:t>
      </w:r>
      <w:r w:rsidRPr="00AE1B1D">
        <w:rPr>
          <w:snapToGrid w:val="0"/>
          <w:color w:val="000000"/>
          <w:vertAlign w:val="superscript"/>
          <w:lang w:val="en-US"/>
        </w:rPr>
        <w:t>1</w:t>
      </w:r>
      <w:r w:rsidRPr="00AE1B1D">
        <w:rPr>
          <w:snapToGrid w:val="0"/>
          <w:color w:val="000000"/>
          <w:lang w:val="en-US"/>
        </w:rPr>
        <w:t>H NMR and ATR-FTIR spectroscopy. The resulting mPEG-MS-PLA copolymer self-assembled into monodisperse polymeric micelles (</w:t>
      </w:r>
      <w:r w:rsidR="000B68D9" w:rsidRPr="00AE1B1D">
        <w:rPr>
          <w:snapToGrid w:val="0"/>
          <w:color w:val="000000"/>
          <w:lang w:val="en-US"/>
        </w:rPr>
        <w:t>~</w:t>
      </w:r>
      <w:r w:rsidRPr="00AE1B1D">
        <w:rPr>
          <w:snapToGrid w:val="0"/>
          <w:color w:val="000000"/>
          <w:lang w:val="en-US"/>
        </w:rPr>
        <w:t>84</w:t>
      </w:r>
      <w:r w:rsidR="000B68D9" w:rsidRPr="00AE1B1D">
        <w:rPr>
          <w:snapToGrid w:val="0"/>
          <w:color w:val="000000"/>
          <w:lang w:val="en-US"/>
        </w:rPr>
        <w:t>.4</w:t>
      </w:r>
      <w:r w:rsidRPr="00AE1B1D">
        <w:rPr>
          <w:snapToGrid w:val="0"/>
          <w:color w:val="000000"/>
          <w:lang w:val="en-US"/>
        </w:rPr>
        <w:t xml:space="preserve"> ± 2</w:t>
      </w:r>
      <w:r w:rsidR="000B68D9" w:rsidRPr="00AE1B1D">
        <w:rPr>
          <w:snapToGrid w:val="0"/>
          <w:color w:val="000000"/>
          <w:lang w:val="en-US"/>
        </w:rPr>
        <w:t xml:space="preserve"> </w:t>
      </w:r>
      <w:r w:rsidRPr="00AE1B1D">
        <w:rPr>
          <w:snapToGrid w:val="0"/>
          <w:color w:val="000000"/>
          <w:lang w:val="en-US"/>
        </w:rPr>
        <w:t xml:space="preserve">nm) and </w:t>
      </w:r>
      <w:r w:rsidR="000B68D9" w:rsidRPr="00AE1B1D">
        <w:rPr>
          <w:snapToGrid w:val="0"/>
          <w:color w:val="000000"/>
          <w:lang w:val="en-US"/>
        </w:rPr>
        <w:t xml:space="preserve">presented </w:t>
      </w:r>
      <w:r w:rsidRPr="00AE1B1D">
        <w:rPr>
          <w:snapToGrid w:val="0"/>
          <w:color w:val="000000"/>
          <w:lang w:val="en-US"/>
        </w:rPr>
        <w:t>a high Naringin encapsulation efficiency (87</w:t>
      </w:r>
      <w:r w:rsidR="000B68D9" w:rsidRPr="00AE1B1D">
        <w:rPr>
          <w:snapToGrid w:val="0"/>
          <w:color w:val="000000"/>
          <w:lang w:val="en-US"/>
        </w:rPr>
        <w:t>.8</w:t>
      </w:r>
      <w:r w:rsidRPr="00AE1B1D">
        <w:rPr>
          <w:snapToGrid w:val="0"/>
          <w:color w:val="000000"/>
          <w:lang w:val="en-US"/>
        </w:rPr>
        <w:t xml:space="preserve"> ± 4 %)</w:t>
      </w:r>
      <w:r w:rsidR="002036DB" w:rsidRPr="00AE1B1D">
        <w:rPr>
          <w:snapToGrid w:val="0"/>
          <w:color w:val="000000"/>
          <w:lang w:val="en-US"/>
        </w:rPr>
        <w:t xml:space="preserve">, with a sustained </w:t>
      </w:r>
      <w:r w:rsidRPr="00AE1B1D">
        <w:rPr>
          <w:snapToGrid w:val="0"/>
          <w:color w:val="000000"/>
          <w:lang w:val="en-US"/>
        </w:rPr>
        <w:t xml:space="preserve">release profile </w:t>
      </w:r>
      <w:r w:rsidR="001E6956" w:rsidRPr="00AE1B1D">
        <w:rPr>
          <w:snapToGrid w:val="0"/>
          <w:color w:val="000000"/>
          <w:lang w:val="en-US"/>
        </w:rPr>
        <w:t xml:space="preserve">at physiological </w:t>
      </w:r>
      <w:proofErr w:type="spellStart"/>
      <w:r w:rsidR="001E6956" w:rsidRPr="00AE1B1D">
        <w:rPr>
          <w:snapToGrid w:val="0"/>
          <w:color w:val="000000"/>
          <w:lang w:val="en-US"/>
        </w:rPr>
        <w:t>pH</w:t>
      </w:r>
      <w:r w:rsidRPr="00AE1B1D">
        <w:rPr>
          <w:snapToGrid w:val="0"/>
          <w:color w:val="000000"/>
          <w:lang w:val="en-US"/>
        </w:rPr>
        <w:t>.</w:t>
      </w:r>
      <w:proofErr w:type="spellEnd"/>
      <w:r w:rsidRPr="00AE1B1D">
        <w:rPr>
          <w:snapToGrid w:val="0"/>
          <w:color w:val="000000"/>
          <w:lang w:val="en-US"/>
        </w:rPr>
        <w:t xml:space="preserve"> Alongside, </w:t>
      </w:r>
      <w:r w:rsidR="001E6956" w:rsidRPr="00AE1B1D">
        <w:rPr>
          <w:i/>
          <w:snapToGrid w:val="0"/>
          <w:color w:val="000000"/>
          <w:lang w:val="en-US"/>
        </w:rPr>
        <w:t>in vitro</w:t>
      </w:r>
      <w:r w:rsidRPr="00AE1B1D">
        <w:rPr>
          <w:snapToGrid w:val="0"/>
          <w:color w:val="000000"/>
          <w:lang w:val="en-US"/>
        </w:rPr>
        <w:t xml:space="preserve"> data revealed that upon internalization into </w:t>
      </w:r>
      <w:proofErr w:type="spellStart"/>
      <w:r w:rsidR="001E6956" w:rsidRPr="00AE1B1D">
        <w:rPr>
          <w:snapToGrid w:val="0"/>
          <w:color w:val="000000"/>
          <w:lang w:val="en-US"/>
        </w:rPr>
        <w:t>hASCs</w:t>
      </w:r>
      <w:proofErr w:type="spellEnd"/>
      <w:r w:rsidR="001E6956" w:rsidRPr="00AE1B1D">
        <w:rPr>
          <w:snapToGrid w:val="0"/>
          <w:color w:val="000000"/>
          <w:lang w:val="en-US"/>
        </w:rPr>
        <w:t xml:space="preserve"> </w:t>
      </w:r>
      <w:r w:rsidR="00805954" w:rsidRPr="00AE1B1D">
        <w:rPr>
          <w:snapToGrid w:val="0"/>
          <w:color w:val="000000"/>
          <w:lang w:val="en-US"/>
        </w:rPr>
        <w:t xml:space="preserve">2D </w:t>
      </w:r>
      <w:r w:rsidRPr="00AE1B1D">
        <w:rPr>
          <w:snapToGrid w:val="0"/>
          <w:color w:val="000000"/>
          <w:lang w:val="en-US"/>
        </w:rPr>
        <w:t>cultures, Naringin</w:t>
      </w:r>
      <w:r w:rsidR="001E6956" w:rsidRPr="00AE1B1D">
        <w:rPr>
          <w:snapToGrid w:val="0"/>
          <w:color w:val="000000"/>
          <w:lang w:val="en-US"/>
        </w:rPr>
        <w:t xml:space="preserve"> </w:t>
      </w:r>
      <w:proofErr w:type="spellStart"/>
      <w:r w:rsidR="001E6956" w:rsidRPr="00AE1B1D">
        <w:rPr>
          <w:snapToGrid w:val="0"/>
          <w:color w:val="000000"/>
          <w:lang w:val="en-US"/>
        </w:rPr>
        <w:t>nanomicellar</w:t>
      </w:r>
      <w:proofErr w:type="spellEnd"/>
      <w:r w:rsidR="001E6956" w:rsidRPr="00AE1B1D">
        <w:rPr>
          <w:snapToGrid w:val="0"/>
          <w:color w:val="000000"/>
          <w:lang w:val="en-US"/>
        </w:rPr>
        <w:t xml:space="preserve"> </w:t>
      </w:r>
      <w:r w:rsidRPr="00AE1B1D">
        <w:rPr>
          <w:snapToGrid w:val="0"/>
          <w:color w:val="000000"/>
          <w:lang w:val="en-US"/>
        </w:rPr>
        <w:t xml:space="preserve">formulations attained a higher pro-osteogenic effect than that of free drug. Notably, </w:t>
      </w:r>
      <w:r w:rsidR="001E6956" w:rsidRPr="00AE1B1D">
        <w:rPr>
          <w:snapToGrid w:val="0"/>
          <w:color w:val="000000"/>
          <w:lang w:val="en-US"/>
        </w:rPr>
        <w:t>these bioactive carriers also</w:t>
      </w:r>
      <w:r w:rsidRPr="00AE1B1D">
        <w:rPr>
          <w:snapToGrid w:val="0"/>
          <w:color w:val="000000"/>
          <w:lang w:val="en-US"/>
        </w:rPr>
        <w:t xml:space="preserve"> induced superior </w:t>
      </w:r>
      <w:proofErr w:type="spellStart"/>
      <w:r w:rsidRPr="00AE1B1D">
        <w:rPr>
          <w:snapToGrid w:val="0"/>
          <w:color w:val="000000"/>
          <w:lang w:val="en-US"/>
        </w:rPr>
        <w:t>osteopontin</w:t>
      </w:r>
      <w:proofErr w:type="spellEnd"/>
      <w:r w:rsidRPr="00AE1B1D">
        <w:rPr>
          <w:snapToGrid w:val="0"/>
          <w:color w:val="000000"/>
          <w:lang w:val="en-US"/>
        </w:rPr>
        <w:t xml:space="preserve"> expression and increased matrix mineralization</w:t>
      </w:r>
      <w:r w:rsidR="00DF1AEB" w:rsidRPr="00AE1B1D">
        <w:rPr>
          <w:snapToGrid w:val="0"/>
          <w:color w:val="000000"/>
          <w:lang w:val="en-US"/>
        </w:rPr>
        <w:t xml:space="preserve"> in these cells over free drug</w:t>
      </w:r>
      <w:r w:rsidR="00020794" w:rsidRPr="00AE1B1D">
        <w:rPr>
          <w:snapToGrid w:val="0"/>
          <w:color w:val="000000"/>
          <w:lang w:val="en-US"/>
        </w:rPr>
        <w:t xml:space="preserve"> </w:t>
      </w:r>
      <w:r w:rsidR="00DF1AEB" w:rsidRPr="00AE1B1D">
        <w:rPr>
          <w:snapToGrid w:val="0"/>
          <w:color w:val="000000"/>
          <w:lang w:val="en-US"/>
        </w:rPr>
        <w:t>administration</w:t>
      </w:r>
      <w:r w:rsidRPr="00AE1B1D">
        <w:rPr>
          <w:snapToGrid w:val="0"/>
          <w:color w:val="000000"/>
          <w:lang w:val="en-US"/>
        </w:rPr>
        <w:t xml:space="preserve">. Overall, </w:t>
      </w:r>
      <w:r w:rsidR="001E6956" w:rsidRPr="00AE1B1D">
        <w:rPr>
          <w:snapToGrid w:val="0"/>
          <w:color w:val="000000"/>
          <w:lang w:val="en-US"/>
        </w:rPr>
        <w:t>such</w:t>
      </w:r>
      <w:r w:rsidRPr="00AE1B1D">
        <w:rPr>
          <w:snapToGrid w:val="0"/>
          <w:color w:val="000000"/>
          <w:lang w:val="en-US"/>
        </w:rPr>
        <w:t xml:space="preserve"> findings support for the first time the use of </w:t>
      </w:r>
      <w:r w:rsidR="001E6956" w:rsidRPr="00AE1B1D">
        <w:rPr>
          <w:snapToGrid w:val="0"/>
          <w:color w:val="000000"/>
          <w:lang w:val="en-US"/>
        </w:rPr>
        <w:t xml:space="preserve">polymeric </w:t>
      </w:r>
      <w:r w:rsidRPr="00AE1B1D">
        <w:rPr>
          <w:snapToGrid w:val="0"/>
          <w:color w:val="000000"/>
          <w:lang w:val="en-US"/>
        </w:rPr>
        <w:t xml:space="preserve">nanomicelles for Naringin delivery into </w:t>
      </w:r>
      <w:proofErr w:type="spellStart"/>
      <w:r w:rsidRPr="00AE1B1D">
        <w:rPr>
          <w:snapToGrid w:val="0"/>
          <w:color w:val="000000"/>
          <w:lang w:val="en-US"/>
        </w:rPr>
        <w:t>hASCs</w:t>
      </w:r>
      <w:proofErr w:type="spellEnd"/>
      <w:r w:rsidR="00DF1AEB" w:rsidRPr="00AE1B1D">
        <w:rPr>
          <w:snapToGrid w:val="0"/>
          <w:color w:val="000000"/>
          <w:lang w:val="en-US"/>
        </w:rPr>
        <w:t xml:space="preserve"> </w:t>
      </w:r>
      <w:r w:rsidRPr="00AE1B1D">
        <w:rPr>
          <w:snapToGrid w:val="0"/>
          <w:color w:val="000000"/>
          <w:lang w:val="en-US"/>
        </w:rPr>
        <w:t>as a valid approach for modulating stem cells osteogenic differentiation.</w:t>
      </w:r>
    </w:p>
    <w:p w14:paraId="02DA1CBB" w14:textId="77777777" w:rsidR="00662DCE" w:rsidRPr="00AE1B1D" w:rsidRDefault="00662DCE" w:rsidP="00004A23">
      <w:pPr>
        <w:rPr>
          <w:color w:val="000000"/>
          <w:lang w:val="en-US"/>
        </w:rPr>
      </w:pPr>
    </w:p>
    <w:p w14:paraId="048CD408" w14:textId="77777777" w:rsidR="002D16A0" w:rsidRPr="00AE1B1D" w:rsidRDefault="002D16A0" w:rsidP="00CE1242">
      <w:pPr>
        <w:pStyle w:val="Head1"/>
      </w:pPr>
      <w:r w:rsidRPr="00AE1B1D">
        <w:t>1. Introduction</w:t>
      </w:r>
    </w:p>
    <w:p w14:paraId="29AEDCD3" w14:textId="77777777" w:rsidR="0037792D" w:rsidRPr="00AE1B1D" w:rsidRDefault="0037792D" w:rsidP="00F06592">
      <w:pPr>
        <w:spacing w:after="240" w:line="480" w:lineRule="auto"/>
        <w:ind w:firstLine="284"/>
        <w:jc w:val="both"/>
        <w:rPr>
          <w:snapToGrid w:val="0"/>
        </w:rPr>
      </w:pPr>
      <w:r w:rsidRPr="00AE1B1D">
        <w:rPr>
          <w:snapToGrid w:val="0"/>
          <w:color w:val="000000"/>
        </w:rPr>
        <w:t>The potential of human mesenchymal stem cells (hMSCs) for osteogenic and chondrogenic differentiation has been widely explored for the treatment of various disorders including those related to bone tissues, heart (e.g. myocardial</w:t>
      </w:r>
      <w:r w:rsidRPr="00AE1B1D">
        <w:rPr>
          <w:snapToGrid w:val="0"/>
        </w:rPr>
        <w:t xml:space="preserve"> infarction), skin-grafts and hepatic or renal failure</w:t>
      </w:r>
      <w:r w:rsidR="004433F4" w:rsidRPr="00AE1B1D">
        <w:rPr>
          <w:snapToGrid w:val="0"/>
        </w:rPr>
        <w:t>.</w:t>
      </w:r>
      <w:r w:rsidRPr="00AE1B1D">
        <w:rPr>
          <w:noProof/>
          <w:snapToGrid w:val="0"/>
          <w:vertAlign w:val="superscript"/>
        </w:rPr>
        <w:t>[1]</w:t>
      </w:r>
    </w:p>
    <w:p w14:paraId="345A51AD" w14:textId="77777777" w:rsidR="0037792D" w:rsidRPr="00AE1B1D" w:rsidRDefault="0037792D" w:rsidP="00F06592">
      <w:pPr>
        <w:spacing w:after="240" w:line="480" w:lineRule="auto"/>
        <w:ind w:firstLine="284"/>
        <w:jc w:val="both"/>
        <w:rPr>
          <w:snapToGrid w:val="0"/>
        </w:rPr>
      </w:pPr>
      <w:r w:rsidRPr="00AE1B1D">
        <w:rPr>
          <w:snapToGrid w:val="0"/>
        </w:rPr>
        <w:t>Among the different types of stem cells, human adipose-derived stem cells (hASCs) have been gaining attention as an attractive source of hMSCs for bone tissue engineering and regenerative medicine owing to</w:t>
      </w:r>
      <w:r w:rsidRPr="00AE1B1D" w:rsidDel="00EC2ECD">
        <w:rPr>
          <w:snapToGrid w:val="0"/>
        </w:rPr>
        <w:t xml:space="preserve"> </w:t>
      </w:r>
      <w:r w:rsidRPr="00AE1B1D">
        <w:rPr>
          <w:snapToGrid w:val="0"/>
        </w:rPr>
        <w:t>their low immunogenicity, immunosuppressive and anti-inflammatory activity</w:t>
      </w:r>
      <w:r w:rsidR="004433F4" w:rsidRPr="00AE1B1D">
        <w:rPr>
          <w:snapToGrid w:val="0"/>
        </w:rPr>
        <w:t>.</w:t>
      </w:r>
      <w:r w:rsidRPr="00AE1B1D">
        <w:rPr>
          <w:noProof/>
          <w:snapToGrid w:val="0"/>
          <w:vertAlign w:val="superscript"/>
        </w:rPr>
        <w:t>[2]</w:t>
      </w:r>
      <w:r w:rsidRPr="00AE1B1D">
        <w:rPr>
          <w:snapToGrid w:val="0"/>
        </w:rPr>
        <w:t xml:space="preserve"> Adding to this, these cells are readily available due to their straightforward isolation from adipose tissue using minimally invasive techniques</w:t>
      </w:r>
      <w:r w:rsidR="004433F4" w:rsidRPr="00AE1B1D">
        <w:rPr>
          <w:snapToGrid w:val="0"/>
        </w:rPr>
        <w:t>.</w:t>
      </w:r>
      <w:r w:rsidRPr="00AE1B1D">
        <w:rPr>
          <w:noProof/>
          <w:snapToGrid w:val="0"/>
          <w:vertAlign w:val="superscript"/>
        </w:rPr>
        <w:t>[2]</w:t>
      </w:r>
      <w:r w:rsidRPr="00AE1B1D">
        <w:rPr>
          <w:snapToGrid w:val="0"/>
        </w:rPr>
        <w:t xml:space="preserve"> This unique set of features establishes these cells as promising candidates to be used for stem cell-based therapies. Unfortunately, the success of hASCs as gold standard models for cell-based therapies is limited by the technologies used for their osteogenic differentiation, in particular, pharmaceutical-based approaches.</w:t>
      </w:r>
    </w:p>
    <w:p w14:paraId="07FC2BEF" w14:textId="1F37B57A" w:rsidR="0037792D" w:rsidRPr="00AE1B1D" w:rsidRDefault="0037792D" w:rsidP="00F06592">
      <w:pPr>
        <w:spacing w:after="240" w:line="480" w:lineRule="auto"/>
        <w:ind w:firstLine="284"/>
        <w:jc w:val="both"/>
        <w:rPr>
          <w:snapToGrid w:val="0"/>
        </w:rPr>
      </w:pPr>
      <w:r w:rsidRPr="00AE1B1D">
        <w:rPr>
          <w:snapToGrid w:val="0"/>
        </w:rPr>
        <w:t xml:space="preserve">Current </w:t>
      </w:r>
      <w:r w:rsidR="00F91F85" w:rsidRPr="00AE1B1D">
        <w:rPr>
          <w:snapToGrid w:val="0"/>
        </w:rPr>
        <w:t xml:space="preserve">strategies </w:t>
      </w:r>
      <w:r w:rsidRPr="00AE1B1D">
        <w:rPr>
          <w:snapToGrid w:val="0"/>
        </w:rPr>
        <w:t>for pro-osteogenic differentiation rely on the use of drugs or recombinant proteins (e.g. Dexamethasone (Dex)</w:t>
      </w:r>
      <w:r w:rsidR="00F91F85" w:rsidRPr="00AE1B1D">
        <w:rPr>
          <w:snapToGrid w:val="0"/>
        </w:rPr>
        <w:t>.</w:t>
      </w:r>
      <w:r w:rsidRPr="00AE1B1D">
        <w:rPr>
          <w:snapToGrid w:val="0"/>
        </w:rPr>
        <w:t xml:space="preserve"> and bone morphogen</w:t>
      </w:r>
      <w:r w:rsidR="000B68D9" w:rsidRPr="00AE1B1D">
        <w:rPr>
          <w:snapToGrid w:val="0"/>
        </w:rPr>
        <w:t>etic</w:t>
      </w:r>
      <w:r w:rsidRPr="00AE1B1D">
        <w:rPr>
          <w:snapToGrid w:val="0"/>
        </w:rPr>
        <w:t xml:space="preserve"> protein type 2 (BMP-2))</w:t>
      </w:r>
      <w:r w:rsidR="00F91F85" w:rsidRPr="00AE1B1D">
        <w:rPr>
          <w:snapToGrid w:val="0"/>
        </w:rPr>
        <w:t>,</w:t>
      </w:r>
      <w:r w:rsidR="00F06592" w:rsidRPr="00AE1B1D">
        <w:rPr>
          <w:snapToGrid w:val="0"/>
        </w:rPr>
        <w:t xml:space="preserve"> which</w:t>
      </w:r>
      <w:r w:rsidRPr="00AE1B1D">
        <w:rPr>
          <w:snapToGrid w:val="0"/>
        </w:rPr>
        <w:t xml:space="preserve"> are often associated with deleterious side effects and limited effectiveness. In fact, the glucocorticoid Dex can increase osteoblast differentiation but simultaneously induce adipogenesis even</w:t>
      </w:r>
      <w:r w:rsidR="00F91F85" w:rsidRPr="00AE1B1D">
        <w:rPr>
          <w:snapToGrid w:val="0"/>
        </w:rPr>
        <w:t xml:space="preserve"> under controlled</w:t>
      </w:r>
      <w:r w:rsidRPr="00AE1B1D">
        <w:rPr>
          <w:snapToGrid w:val="0"/>
        </w:rPr>
        <w:t xml:space="preserve"> </w:t>
      </w:r>
      <w:r w:rsidR="00F91F85" w:rsidRPr="00AE1B1D">
        <w:rPr>
          <w:snapToGrid w:val="0"/>
        </w:rPr>
        <w:t>pro-</w:t>
      </w:r>
      <w:r w:rsidRPr="00AE1B1D">
        <w:rPr>
          <w:snapToGrid w:val="0"/>
        </w:rPr>
        <w:t>osteogenic</w:t>
      </w:r>
      <w:r w:rsidR="00F91F85" w:rsidRPr="00AE1B1D">
        <w:rPr>
          <w:snapToGrid w:val="0"/>
        </w:rPr>
        <w:t xml:space="preserve"> </w:t>
      </w:r>
      <w:r w:rsidR="00F91F85" w:rsidRPr="00AE1B1D">
        <w:rPr>
          <w:i/>
          <w:snapToGrid w:val="0"/>
        </w:rPr>
        <w:t>in vitro</w:t>
      </w:r>
      <w:r w:rsidRPr="00AE1B1D">
        <w:rPr>
          <w:snapToGrid w:val="0"/>
        </w:rPr>
        <w:t xml:space="preserve"> </w:t>
      </w:r>
      <w:r w:rsidR="00F91F85" w:rsidRPr="00AE1B1D">
        <w:rPr>
          <w:snapToGrid w:val="0"/>
        </w:rPr>
        <w:t xml:space="preserve">culture </w:t>
      </w:r>
      <w:r w:rsidRPr="00AE1B1D">
        <w:rPr>
          <w:snapToGrid w:val="0"/>
        </w:rPr>
        <w:t>conditions</w:t>
      </w:r>
      <w:r w:rsidR="004433F4" w:rsidRPr="00AE1B1D">
        <w:rPr>
          <w:snapToGrid w:val="0"/>
        </w:rPr>
        <w:t>.</w:t>
      </w:r>
      <w:r w:rsidRPr="00AE1B1D">
        <w:rPr>
          <w:noProof/>
          <w:snapToGrid w:val="0"/>
          <w:vertAlign w:val="superscript"/>
        </w:rPr>
        <w:t>[3]</w:t>
      </w:r>
      <w:r w:rsidRPr="00AE1B1D">
        <w:rPr>
          <w:snapToGrid w:val="0"/>
        </w:rPr>
        <w:t xml:space="preserve"> The alternative use of BMPs for eliciting bone formation </w:t>
      </w:r>
      <w:r w:rsidR="00504152" w:rsidRPr="00AE1B1D">
        <w:rPr>
          <w:snapToGrid w:val="0"/>
        </w:rPr>
        <w:t>involves significant drawbacks</w:t>
      </w:r>
      <w:r w:rsidR="00F91F85" w:rsidRPr="00AE1B1D">
        <w:rPr>
          <w:snapToGrid w:val="0"/>
        </w:rPr>
        <w:t>,</w:t>
      </w:r>
      <w:r w:rsidR="00504152" w:rsidRPr="00AE1B1D">
        <w:rPr>
          <w:snapToGrid w:val="0"/>
        </w:rPr>
        <w:t xml:space="preserve"> </w:t>
      </w:r>
      <w:r w:rsidR="00F91F85" w:rsidRPr="00AE1B1D">
        <w:rPr>
          <w:snapToGrid w:val="0"/>
        </w:rPr>
        <w:t xml:space="preserve">since </w:t>
      </w:r>
      <w:r w:rsidRPr="00AE1B1D">
        <w:rPr>
          <w:snapToGrid w:val="0"/>
        </w:rPr>
        <w:t xml:space="preserve">supraphysiological doses are usually </w:t>
      </w:r>
      <w:r w:rsidR="00504152" w:rsidRPr="00AE1B1D">
        <w:rPr>
          <w:snapToGrid w:val="0"/>
        </w:rPr>
        <w:t xml:space="preserve">required </w:t>
      </w:r>
      <w:r w:rsidRPr="00AE1B1D">
        <w:rPr>
          <w:snapToGrid w:val="0"/>
        </w:rPr>
        <w:t>to obtain the desired osteoinductive outcome</w:t>
      </w:r>
      <w:r w:rsidR="004433F4" w:rsidRPr="00AE1B1D">
        <w:rPr>
          <w:snapToGrid w:val="0"/>
        </w:rPr>
        <w:t>.</w:t>
      </w:r>
      <w:r w:rsidRPr="00AE1B1D">
        <w:rPr>
          <w:noProof/>
          <w:snapToGrid w:val="0"/>
          <w:vertAlign w:val="superscript"/>
        </w:rPr>
        <w:t>[4]</w:t>
      </w:r>
      <w:r w:rsidRPr="00AE1B1D">
        <w:rPr>
          <w:snapToGrid w:val="0"/>
        </w:rPr>
        <w:t xml:space="preserve"> </w:t>
      </w:r>
      <w:r w:rsidR="00F91F85" w:rsidRPr="00AE1B1D">
        <w:rPr>
          <w:snapToGrid w:val="0"/>
        </w:rPr>
        <w:t>Most importantly</w:t>
      </w:r>
      <w:r w:rsidRPr="00AE1B1D">
        <w:rPr>
          <w:snapToGrid w:val="0"/>
        </w:rPr>
        <w:t xml:space="preserve">, BMPs </w:t>
      </w:r>
      <w:r w:rsidR="00F91F85" w:rsidRPr="00AE1B1D">
        <w:rPr>
          <w:snapToGrid w:val="0"/>
        </w:rPr>
        <w:t>production involves significant economic</w:t>
      </w:r>
      <w:r w:rsidRPr="00AE1B1D">
        <w:rPr>
          <w:snapToGrid w:val="0"/>
        </w:rPr>
        <w:t xml:space="preserve"> costs and</w:t>
      </w:r>
      <w:r w:rsidR="00F91F85" w:rsidRPr="00AE1B1D">
        <w:rPr>
          <w:snapToGrid w:val="0"/>
        </w:rPr>
        <w:t xml:space="preserve"> these biomolecules</w:t>
      </w:r>
      <w:r w:rsidRPr="00AE1B1D">
        <w:rPr>
          <w:snapToGrid w:val="0"/>
        </w:rPr>
        <w:t xml:space="preserve"> c</w:t>
      </w:r>
      <w:r w:rsidR="00F91F85" w:rsidRPr="00AE1B1D">
        <w:rPr>
          <w:snapToGrid w:val="0"/>
        </w:rPr>
        <w:t>an</w:t>
      </w:r>
      <w:r w:rsidRPr="00AE1B1D">
        <w:rPr>
          <w:snapToGrid w:val="0"/>
        </w:rPr>
        <w:t xml:space="preserve"> be</w:t>
      </w:r>
      <w:r w:rsidR="00F91F85" w:rsidRPr="00AE1B1D">
        <w:rPr>
          <w:snapToGrid w:val="0"/>
        </w:rPr>
        <w:t xml:space="preserve"> </w:t>
      </w:r>
      <w:r w:rsidRPr="00AE1B1D">
        <w:rPr>
          <w:snapToGrid w:val="0"/>
        </w:rPr>
        <w:t xml:space="preserve">denatured </w:t>
      </w:r>
      <w:r w:rsidRPr="00AE1B1D">
        <w:rPr>
          <w:i/>
          <w:snapToGrid w:val="0"/>
        </w:rPr>
        <w:t>in vivo</w:t>
      </w:r>
      <w:r w:rsidRPr="00AE1B1D">
        <w:rPr>
          <w:snapToGrid w:val="0"/>
        </w:rPr>
        <w:t xml:space="preserve">, </w:t>
      </w:r>
      <w:r w:rsidR="00504152" w:rsidRPr="00AE1B1D">
        <w:rPr>
          <w:snapToGrid w:val="0"/>
        </w:rPr>
        <w:t xml:space="preserve">two </w:t>
      </w:r>
      <w:r w:rsidR="00F91F85" w:rsidRPr="00AE1B1D">
        <w:rPr>
          <w:snapToGrid w:val="0"/>
        </w:rPr>
        <w:t>major</w:t>
      </w:r>
      <w:r w:rsidR="00504152" w:rsidRPr="00AE1B1D">
        <w:rPr>
          <w:snapToGrid w:val="0"/>
        </w:rPr>
        <w:t xml:space="preserve"> factors that limit</w:t>
      </w:r>
      <w:r w:rsidRPr="00AE1B1D">
        <w:rPr>
          <w:snapToGrid w:val="0"/>
        </w:rPr>
        <w:t xml:space="preserve"> their applicability</w:t>
      </w:r>
      <w:r w:rsidR="004433F4" w:rsidRPr="00AE1B1D">
        <w:rPr>
          <w:snapToGrid w:val="0"/>
        </w:rPr>
        <w:t>.</w:t>
      </w:r>
      <w:r w:rsidRPr="00AE1B1D">
        <w:rPr>
          <w:noProof/>
          <w:snapToGrid w:val="0"/>
          <w:vertAlign w:val="superscript"/>
        </w:rPr>
        <w:t>[5]</w:t>
      </w:r>
    </w:p>
    <w:p w14:paraId="702E35FE" w14:textId="77777777" w:rsidR="00ED2DE8" w:rsidRPr="00AE1B1D" w:rsidRDefault="00F74D06" w:rsidP="00F06592">
      <w:pPr>
        <w:spacing w:after="240" w:line="480" w:lineRule="auto"/>
        <w:ind w:firstLine="284"/>
        <w:jc w:val="both"/>
        <w:rPr>
          <w:lang w:val="en-US"/>
        </w:rPr>
      </w:pPr>
      <w:r w:rsidRPr="00AE1B1D">
        <w:rPr>
          <w:lang w:val="en-US"/>
        </w:rPr>
        <w:lastRenderedPageBreak/>
        <w:t>Due to these drawbacks</w:t>
      </w:r>
      <w:r w:rsidR="0037792D" w:rsidRPr="00AE1B1D">
        <w:rPr>
          <w:lang w:val="en-US"/>
        </w:rPr>
        <w:t xml:space="preserve">, </w:t>
      </w:r>
      <w:r w:rsidRPr="00AE1B1D">
        <w:rPr>
          <w:lang w:val="en-US"/>
        </w:rPr>
        <w:t xml:space="preserve">in recent years </w:t>
      </w:r>
      <w:r w:rsidR="0037792D" w:rsidRPr="00AE1B1D">
        <w:rPr>
          <w:lang w:val="en-US"/>
        </w:rPr>
        <w:t xml:space="preserve">there has been a </w:t>
      </w:r>
      <w:r w:rsidRPr="00AE1B1D">
        <w:rPr>
          <w:lang w:val="en-US"/>
        </w:rPr>
        <w:t xml:space="preserve">shift toward </w:t>
      </w:r>
      <w:r w:rsidR="0037792D" w:rsidRPr="00AE1B1D">
        <w:rPr>
          <w:lang w:val="en-US"/>
        </w:rPr>
        <w:t>the discovery of</w:t>
      </w:r>
      <w:r w:rsidR="00B31DF0" w:rsidRPr="00AE1B1D">
        <w:rPr>
          <w:lang w:val="en-US"/>
        </w:rPr>
        <w:t xml:space="preserve"> </w:t>
      </w:r>
      <w:r w:rsidR="0037792D" w:rsidRPr="00AE1B1D">
        <w:rPr>
          <w:lang w:val="en-US"/>
        </w:rPr>
        <w:t xml:space="preserve">naturally available compounds </w:t>
      </w:r>
      <w:r w:rsidR="00B31DF0" w:rsidRPr="00AE1B1D">
        <w:rPr>
          <w:lang w:val="en-US"/>
        </w:rPr>
        <w:t xml:space="preserve">that can </w:t>
      </w:r>
      <w:r w:rsidR="0037792D" w:rsidRPr="00AE1B1D">
        <w:rPr>
          <w:lang w:val="en-US"/>
        </w:rPr>
        <w:t>potential</w:t>
      </w:r>
      <w:r w:rsidR="00B31DF0" w:rsidRPr="00AE1B1D">
        <w:rPr>
          <w:lang w:val="en-US"/>
        </w:rPr>
        <w:t>ly</w:t>
      </w:r>
      <w:r w:rsidR="0037792D" w:rsidRPr="00AE1B1D">
        <w:rPr>
          <w:lang w:val="en-US"/>
        </w:rPr>
        <w:t xml:space="preserve"> </w:t>
      </w:r>
      <w:r w:rsidR="00B31DF0" w:rsidRPr="00AE1B1D">
        <w:rPr>
          <w:lang w:val="en-US"/>
        </w:rPr>
        <w:t>modulate</w:t>
      </w:r>
      <w:r w:rsidR="0037792D" w:rsidRPr="00AE1B1D">
        <w:rPr>
          <w:lang w:val="en-US"/>
        </w:rPr>
        <w:t xml:space="preserve"> </w:t>
      </w:r>
      <w:r w:rsidRPr="00AE1B1D">
        <w:rPr>
          <w:lang w:val="en-US"/>
        </w:rPr>
        <w:t>pro-osteogenic</w:t>
      </w:r>
      <w:r w:rsidR="00B31DF0" w:rsidRPr="00AE1B1D">
        <w:rPr>
          <w:lang w:val="en-US"/>
        </w:rPr>
        <w:t xml:space="preserve"> lineage differentiation</w:t>
      </w:r>
      <w:r w:rsidR="0037792D" w:rsidRPr="00AE1B1D">
        <w:rPr>
          <w:lang w:val="en-US"/>
        </w:rPr>
        <w:t xml:space="preserve"> process of </w:t>
      </w:r>
      <w:r w:rsidR="00B31DF0" w:rsidRPr="00AE1B1D">
        <w:rPr>
          <w:lang w:val="en-US"/>
        </w:rPr>
        <w:t xml:space="preserve">mesenchymal </w:t>
      </w:r>
      <w:r w:rsidR="0037792D" w:rsidRPr="00AE1B1D">
        <w:rPr>
          <w:lang w:val="en-US"/>
        </w:rPr>
        <w:t xml:space="preserve">stem cells. </w:t>
      </w:r>
      <w:r w:rsidRPr="00AE1B1D">
        <w:rPr>
          <w:lang w:val="en-US"/>
        </w:rPr>
        <w:t>For this purpose, o</w:t>
      </w:r>
      <w:r w:rsidR="0037792D" w:rsidRPr="00AE1B1D">
        <w:rPr>
          <w:lang w:val="en-US"/>
        </w:rPr>
        <w:t xml:space="preserve">ne of </w:t>
      </w:r>
      <w:r w:rsidRPr="00AE1B1D">
        <w:rPr>
          <w:lang w:val="en-US"/>
        </w:rPr>
        <w:t xml:space="preserve">the most promising </w:t>
      </w:r>
      <w:r w:rsidR="0037792D" w:rsidRPr="00AE1B1D">
        <w:rPr>
          <w:lang w:val="en-US"/>
        </w:rPr>
        <w:t xml:space="preserve">bioinspired </w:t>
      </w:r>
      <w:r w:rsidR="009146E5" w:rsidRPr="00AE1B1D">
        <w:rPr>
          <w:lang w:val="en-US"/>
        </w:rPr>
        <w:t xml:space="preserve">phytotherapeutics </w:t>
      </w:r>
      <w:r w:rsidR="0037792D" w:rsidRPr="00AE1B1D">
        <w:rPr>
          <w:lang w:val="en-US"/>
        </w:rPr>
        <w:t>is Naringin</w:t>
      </w:r>
      <w:r w:rsidRPr="00AE1B1D">
        <w:rPr>
          <w:snapToGrid w:val="0"/>
        </w:rPr>
        <w:t>,</w:t>
      </w:r>
      <w:r w:rsidR="0037792D" w:rsidRPr="00AE1B1D">
        <w:rPr>
          <w:snapToGrid w:val="0"/>
        </w:rPr>
        <w:t xml:space="preserve"> a natural flavanone glycoside that can enhance the proliferation and differentiation of osteoprogenitor cells into osteoblasts</w:t>
      </w:r>
      <w:r w:rsidRPr="00AE1B1D">
        <w:rPr>
          <w:snapToGrid w:val="0"/>
        </w:rPr>
        <w:t xml:space="preserve"> and simul</w:t>
      </w:r>
      <w:r w:rsidR="00A05659" w:rsidRPr="00AE1B1D">
        <w:rPr>
          <w:snapToGrid w:val="0"/>
        </w:rPr>
        <w:t>ta</w:t>
      </w:r>
      <w:r w:rsidRPr="00AE1B1D">
        <w:rPr>
          <w:snapToGrid w:val="0"/>
        </w:rPr>
        <w:t>neou</w:t>
      </w:r>
      <w:r w:rsidR="00A05659" w:rsidRPr="00AE1B1D">
        <w:rPr>
          <w:snapToGrid w:val="0"/>
        </w:rPr>
        <w:t>s</w:t>
      </w:r>
      <w:r w:rsidRPr="00AE1B1D">
        <w:rPr>
          <w:snapToGrid w:val="0"/>
        </w:rPr>
        <w:t>ly</w:t>
      </w:r>
      <w:r w:rsidR="0037792D" w:rsidRPr="00AE1B1D">
        <w:rPr>
          <w:snapToGrid w:val="0"/>
        </w:rPr>
        <w:t xml:space="preserve"> inhibit osteoclast</w:t>
      </w:r>
      <w:r w:rsidR="005D7918" w:rsidRPr="00AE1B1D">
        <w:rPr>
          <w:snapToGrid w:val="0"/>
        </w:rPr>
        <w:t xml:space="preserve">ic </w:t>
      </w:r>
      <w:proofErr w:type="gramStart"/>
      <w:r w:rsidR="005D7918" w:rsidRPr="00AE1B1D">
        <w:rPr>
          <w:snapToGrid w:val="0"/>
        </w:rPr>
        <w:t>activity</w:t>
      </w:r>
      <w:r w:rsidR="004433F4" w:rsidRPr="00AE1B1D">
        <w:rPr>
          <w:snapToGrid w:val="0"/>
        </w:rPr>
        <w:t>.</w:t>
      </w:r>
      <w:r w:rsidR="0037792D" w:rsidRPr="00AE1B1D">
        <w:rPr>
          <w:noProof/>
          <w:snapToGrid w:val="0"/>
          <w:vertAlign w:val="superscript"/>
        </w:rPr>
        <w:t>[</w:t>
      </w:r>
      <w:proofErr w:type="gramEnd"/>
      <w:r w:rsidR="0037792D" w:rsidRPr="00AE1B1D">
        <w:rPr>
          <w:noProof/>
          <w:snapToGrid w:val="0"/>
          <w:vertAlign w:val="superscript"/>
        </w:rPr>
        <w:t>6]</w:t>
      </w:r>
      <w:r w:rsidR="00F45BC5" w:rsidRPr="00AE1B1D">
        <w:rPr>
          <w:snapToGrid w:val="0"/>
        </w:rPr>
        <w:t xml:space="preserve"> </w:t>
      </w:r>
      <w:r w:rsidR="0037792D" w:rsidRPr="00AE1B1D">
        <w:rPr>
          <w:snapToGrid w:val="0"/>
        </w:rPr>
        <w:t xml:space="preserve">Naringin offers several advantages in comparison </w:t>
      </w:r>
      <w:r w:rsidRPr="00AE1B1D">
        <w:rPr>
          <w:snapToGrid w:val="0"/>
        </w:rPr>
        <w:t xml:space="preserve">to </w:t>
      </w:r>
      <w:r w:rsidR="0037792D" w:rsidRPr="00AE1B1D">
        <w:rPr>
          <w:snapToGrid w:val="0"/>
        </w:rPr>
        <w:t xml:space="preserve">synthetic pro-osteogenic </w:t>
      </w:r>
      <w:r w:rsidRPr="00AE1B1D">
        <w:rPr>
          <w:snapToGrid w:val="0"/>
        </w:rPr>
        <w:t>pharmaceutics or to recombinant BMP-2</w:t>
      </w:r>
      <w:r w:rsidR="0037792D" w:rsidRPr="00AE1B1D">
        <w:rPr>
          <w:snapToGrid w:val="0"/>
        </w:rPr>
        <w:t>. For instance, in comparison with Dex, Naringin is capable of repressing adipogenesis while</w:t>
      </w:r>
      <w:r w:rsidRPr="00AE1B1D">
        <w:rPr>
          <w:snapToGrid w:val="0"/>
        </w:rPr>
        <w:t xml:space="preserve"> solely</w:t>
      </w:r>
      <w:r w:rsidR="0037792D" w:rsidRPr="00AE1B1D">
        <w:rPr>
          <w:snapToGrid w:val="0"/>
        </w:rPr>
        <w:t xml:space="preserve"> promoting the osteogenic commitment of</w:t>
      </w:r>
      <w:r w:rsidRPr="00AE1B1D">
        <w:rPr>
          <w:snapToGrid w:val="0"/>
        </w:rPr>
        <w:t xml:space="preserve"> human</w:t>
      </w:r>
      <w:r w:rsidR="0037792D" w:rsidRPr="00AE1B1D">
        <w:rPr>
          <w:snapToGrid w:val="0"/>
        </w:rPr>
        <w:t xml:space="preserve"> </w:t>
      </w:r>
      <w:r w:rsidRPr="00AE1B1D">
        <w:rPr>
          <w:snapToGrid w:val="0"/>
        </w:rPr>
        <w:t>bone marrow</w:t>
      </w:r>
      <w:r w:rsidR="00A05659" w:rsidRPr="00AE1B1D">
        <w:rPr>
          <w:snapToGrid w:val="0"/>
        </w:rPr>
        <w:t>-</w:t>
      </w:r>
      <w:r w:rsidRPr="00AE1B1D">
        <w:rPr>
          <w:snapToGrid w:val="0"/>
        </w:rPr>
        <w:t>derived mese</w:t>
      </w:r>
      <w:r w:rsidR="00A05659" w:rsidRPr="00AE1B1D">
        <w:rPr>
          <w:snapToGrid w:val="0"/>
        </w:rPr>
        <w:t>n</w:t>
      </w:r>
      <w:r w:rsidRPr="00AE1B1D">
        <w:rPr>
          <w:snapToGrid w:val="0"/>
        </w:rPr>
        <w:t>chymal stem cells (hBM-MSCs)</w:t>
      </w:r>
      <w:r w:rsidR="004433F4" w:rsidRPr="00AE1B1D">
        <w:rPr>
          <w:snapToGrid w:val="0"/>
        </w:rPr>
        <w:t>.</w:t>
      </w:r>
      <w:r w:rsidR="0037792D" w:rsidRPr="00AE1B1D">
        <w:rPr>
          <w:noProof/>
          <w:snapToGrid w:val="0"/>
          <w:vertAlign w:val="superscript"/>
        </w:rPr>
        <w:t>[7–9]</w:t>
      </w:r>
      <w:r w:rsidR="0037792D" w:rsidRPr="00AE1B1D">
        <w:rPr>
          <w:snapToGrid w:val="0"/>
        </w:rPr>
        <w:t xml:space="preserve"> Also, Dex systemic administration is characterized by a plethora of deleterious side-effects</w:t>
      </w:r>
      <w:r w:rsidR="004433F4" w:rsidRPr="00AE1B1D">
        <w:rPr>
          <w:snapToGrid w:val="0"/>
        </w:rPr>
        <w:t>,</w:t>
      </w:r>
      <w:r w:rsidR="0037792D" w:rsidRPr="00AE1B1D">
        <w:rPr>
          <w:noProof/>
          <w:snapToGrid w:val="0"/>
          <w:vertAlign w:val="superscript"/>
        </w:rPr>
        <w:t>[10]</w:t>
      </w:r>
      <w:r w:rsidR="0037792D" w:rsidRPr="00AE1B1D">
        <w:rPr>
          <w:snapToGrid w:val="0"/>
        </w:rPr>
        <w:t xml:space="preserve"> while Naringin is </w:t>
      </w:r>
      <w:r w:rsidR="00B31DF0" w:rsidRPr="00AE1B1D">
        <w:rPr>
          <w:snapToGrid w:val="0"/>
        </w:rPr>
        <w:t xml:space="preserve">recognized </w:t>
      </w:r>
      <w:r w:rsidR="0037792D" w:rsidRPr="00AE1B1D">
        <w:rPr>
          <w:snapToGrid w:val="0"/>
        </w:rPr>
        <w:t>to possess a wide range of anti-oxidant, anti-inflammatory, anti-cancer and anti-microbial activities</w:t>
      </w:r>
      <w:r w:rsidR="004433F4" w:rsidRPr="00AE1B1D">
        <w:rPr>
          <w:snapToGrid w:val="0"/>
        </w:rPr>
        <w:t>.</w:t>
      </w:r>
      <w:r w:rsidR="0037792D" w:rsidRPr="00AE1B1D">
        <w:rPr>
          <w:noProof/>
          <w:snapToGrid w:val="0"/>
          <w:vertAlign w:val="superscript"/>
        </w:rPr>
        <w:t>[6,11]</w:t>
      </w:r>
      <w:r w:rsidR="0037792D" w:rsidRPr="00AE1B1D">
        <w:rPr>
          <w:snapToGrid w:val="0"/>
        </w:rPr>
        <w:t xml:space="preserve"> </w:t>
      </w:r>
      <w:r w:rsidR="00B31DF0" w:rsidRPr="00AE1B1D">
        <w:rPr>
          <w:snapToGrid w:val="0"/>
        </w:rPr>
        <w:t>Recent studies also highlight</w:t>
      </w:r>
      <w:r w:rsidR="0037792D" w:rsidRPr="00AE1B1D">
        <w:rPr>
          <w:snapToGrid w:val="0"/>
        </w:rPr>
        <w:t xml:space="preserve"> Naringin</w:t>
      </w:r>
      <w:r w:rsidR="00A05659" w:rsidRPr="00AE1B1D">
        <w:rPr>
          <w:snapToGrid w:val="0"/>
        </w:rPr>
        <w:t>‘s</w:t>
      </w:r>
      <w:r w:rsidR="00B31DF0" w:rsidRPr="00AE1B1D">
        <w:rPr>
          <w:snapToGrid w:val="0"/>
        </w:rPr>
        <w:t xml:space="preserve"> ability to </w:t>
      </w:r>
      <w:r w:rsidR="0037792D" w:rsidRPr="00AE1B1D">
        <w:rPr>
          <w:snapToGrid w:val="0"/>
        </w:rPr>
        <w:t>enhance the secretion of BMP-2 in osteoprogenitor cells</w:t>
      </w:r>
      <w:r w:rsidR="004A1BEF" w:rsidRPr="00AE1B1D">
        <w:rPr>
          <w:snapToGrid w:val="0"/>
        </w:rPr>
        <w:t xml:space="preserve"> </w:t>
      </w:r>
      <w:r w:rsidR="004A1BEF" w:rsidRPr="00AE1B1D">
        <w:t xml:space="preserve">(e.g. </w:t>
      </w:r>
      <w:r w:rsidR="00A05659" w:rsidRPr="00AE1B1D">
        <w:t xml:space="preserve">murine fetal primary </w:t>
      </w:r>
      <w:r w:rsidR="004A1BEF" w:rsidRPr="00AE1B1D">
        <w:t>osteoblasts)</w:t>
      </w:r>
      <w:r w:rsidR="005D7918" w:rsidRPr="00AE1B1D">
        <w:rPr>
          <w:snapToGrid w:val="0"/>
        </w:rPr>
        <w:t xml:space="preserve"> and can exhert a synergistic osteogenic effect with this osteoinductive protein</w:t>
      </w:r>
      <w:r w:rsidR="00D87871" w:rsidRPr="00AE1B1D">
        <w:rPr>
          <w:snapToGrid w:val="0"/>
        </w:rPr>
        <w:t>.</w:t>
      </w:r>
      <w:r w:rsidR="00A05659" w:rsidRPr="00AE1B1D">
        <w:rPr>
          <w:noProof/>
          <w:snapToGrid w:val="0"/>
          <w:vertAlign w:val="superscript"/>
        </w:rPr>
        <w:t>[12,13]</w:t>
      </w:r>
      <w:r w:rsidR="0037792D" w:rsidRPr="00AE1B1D">
        <w:rPr>
          <w:snapToGrid w:val="0"/>
        </w:rPr>
        <w:t xml:space="preserve"> </w:t>
      </w:r>
      <w:r w:rsidR="00ED2DE8" w:rsidRPr="00AE1B1D">
        <w:rPr>
          <w:snapToGrid w:val="0"/>
        </w:rPr>
        <w:t>These</w:t>
      </w:r>
      <w:r w:rsidR="0037792D" w:rsidRPr="00AE1B1D">
        <w:rPr>
          <w:snapToGrid w:val="0"/>
        </w:rPr>
        <w:t xml:space="preserve"> </w:t>
      </w:r>
      <w:r w:rsidR="004A1BEF" w:rsidRPr="00AE1B1D">
        <w:rPr>
          <w:snapToGrid w:val="0"/>
        </w:rPr>
        <w:t xml:space="preserve">recent </w:t>
      </w:r>
      <w:r w:rsidR="00B31DF0" w:rsidRPr="00AE1B1D">
        <w:rPr>
          <w:snapToGrid w:val="0"/>
        </w:rPr>
        <w:t xml:space="preserve">evidences </w:t>
      </w:r>
      <w:r w:rsidR="00ED2DE8" w:rsidRPr="00AE1B1D">
        <w:rPr>
          <w:snapToGrid w:val="0"/>
        </w:rPr>
        <w:t xml:space="preserve">therefore </w:t>
      </w:r>
      <w:r w:rsidR="00B31DF0" w:rsidRPr="00AE1B1D">
        <w:rPr>
          <w:snapToGrid w:val="0"/>
        </w:rPr>
        <w:t>render</w:t>
      </w:r>
      <w:r w:rsidR="0037792D" w:rsidRPr="00AE1B1D">
        <w:rPr>
          <w:snapToGrid w:val="0"/>
        </w:rPr>
        <w:t xml:space="preserve"> Naringin a</w:t>
      </w:r>
      <w:r w:rsidR="00B31DF0" w:rsidRPr="00AE1B1D">
        <w:rPr>
          <w:snapToGrid w:val="0"/>
        </w:rPr>
        <w:t>s a</w:t>
      </w:r>
      <w:r w:rsidR="0037792D" w:rsidRPr="00AE1B1D">
        <w:rPr>
          <w:snapToGrid w:val="0"/>
        </w:rPr>
        <w:t xml:space="preserve"> promising candidate for inducing </w:t>
      </w:r>
      <w:r w:rsidR="004A1BEF" w:rsidRPr="00AE1B1D">
        <w:rPr>
          <w:snapToGrid w:val="0"/>
        </w:rPr>
        <w:t xml:space="preserve">stem cells </w:t>
      </w:r>
      <w:r w:rsidR="0037792D" w:rsidRPr="00AE1B1D">
        <w:rPr>
          <w:snapToGrid w:val="0"/>
        </w:rPr>
        <w:t xml:space="preserve">osteodifferentiattion. However, </w:t>
      </w:r>
      <w:r w:rsidR="00ED2DE8" w:rsidRPr="00AE1B1D">
        <w:rPr>
          <w:snapToGrid w:val="0"/>
        </w:rPr>
        <w:t>due to its</w:t>
      </w:r>
      <w:r w:rsidR="0037792D" w:rsidRPr="00AE1B1D">
        <w:rPr>
          <w:snapToGrid w:val="0"/>
        </w:rPr>
        <w:t xml:space="preserve"> poor </w:t>
      </w:r>
      <w:r w:rsidR="0037792D" w:rsidRPr="00AE1B1D">
        <w:rPr>
          <w:i/>
          <w:snapToGrid w:val="0"/>
        </w:rPr>
        <w:t>in vivo</w:t>
      </w:r>
      <w:r w:rsidR="0037792D" w:rsidRPr="00AE1B1D">
        <w:rPr>
          <w:snapToGrid w:val="0"/>
        </w:rPr>
        <w:t xml:space="preserve"> bioavailability and extensive metabol</w:t>
      </w:r>
      <w:r w:rsidR="00ED2DE8" w:rsidRPr="00AE1B1D">
        <w:rPr>
          <w:snapToGrid w:val="0"/>
        </w:rPr>
        <w:t xml:space="preserve">ism </w:t>
      </w:r>
      <w:r w:rsidR="0037792D" w:rsidRPr="00AE1B1D">
        <w:rPr>
          <w:snapToGrid w:val="0"/>
        </w:rPr>
        <w:t>upon administration</w:t>
      </w:r>
      <w:r w:rsidR="00D87871" w:rsidRPr="00AE1B1D">
        <w:rPr>
          <w:snapToGrid w:val="0"/>
        </w:rPr>
        <w:t>,</w:t>
      </w:r>
      <w:r w:rsidR="00ED2DE8" w:rsidRPr="00AE1B1D">
        <w:rPr>
          <w:snapToGrid w:val="0"/>
        </w:rPr>
        <w:t xml:space="preserve"> its clinical efficacy is limited</w:t>
      </w:r>
      <w:r w:rsidR="00D87871" w:rsidRPr="00AE1B1D">
        <w:rPr>
          <w:snapToGrid w:val="0"/>
        </w:rPr>
        <w:t>.</w:t>
      </w:r>
      <w:r w:rsidR="00A05659" w:rsidRPr="00AE1B1D">
        <w:rPr>
          <w:noProof/>
          <w:snapToGrid w:val="0"/>
          <w:vertAlign w:val="superscript"/>
        </w:rPr>
        <w:t>[14,15]</w:t>
      </w:r>
      <w:r w:rsidR="0037792D" w:rsidRPr="00AE1B1D">
        <w:rPr>
          <w:lang w:val="en-US"/>
        </w:rPr>
        <w:t xml:space="preserve"> </w:t>
      </w:r>
    </w:p>
    <w:p w14:paraId="37DA4261" w14:textId="77777777" w:rsidR="002D16A0" w:rsidRPr="00AE1B1D" w:rsidRDefault="00ED2DE8" w:rsidP="00632511">
      <w:pPr>
        <w:spacing w:after="240" w:line="480" w:lineRule="auto"/>
        <w:ind w:firstLine="284"/>
        <w:jc w:val="both"/>
        <w:rPr>
          <w:lang w:val="en-US"/>
        </w:rPr>
      </w:pPr>
      <w:r w:rsidRPr="00AE1B1D">
        <w:rPr>
          <w:lang w:val="en-US"/>
        </w:rPr>
        <w:t>To overcome such drawbacks, i</w:t>
      </w:r>
      <w:r w:rsidR="0037792D" w:rsidRPr="00AE1B1D">
        <w:rPr>
          <w:lang w:val="en-US"/>
        </w:rPr>
        <w:t xml:space="preserve">n this study, the potential of mPEG-MS-PLA </w:t>
      </w:r>
      <w:r w:rsidRPr="00AE1B1D">
        <w:rPr>
          <w:lang w:val="en-US"/>
        </w:rPr>
        <w:t xml:space="preserve">polymeric </w:t>
      </w:r>
      <w:proofErr w:type="spellStart"/>
      <w:r w:rsidR="0037792D" w:rsidRPr="00AE1B1D">
        <w:rPr>
          <w:lang w:val="en-US"/>
        </w:rPr>
        <w:t>nanomicelles</w:t>
      </w:r>
      <w:proofErr w:type="spellEnd"/>
      <w:r w:rsidR="0037792D" w:rsidRPr="00AE1B1D">
        <w:rPr>
          <w:lang w:val="en-US"/>
        </w:rPr>
        <w:t>-mediated Naringin delivery was explored for the first time in the context of flavanone-</w:t>
      </w:r>
      <w:proofErr w:type="spellStart"/>
      <w:r w:rsidR="0037792D" w:rsidRPr="00AE1B1D">
        <w:rPr>
          <w:lang w:val="en-US"/>
        </w:rPr>
        <w:t>bioinstructed</w:t>
      </w:r>
      <w:proofErr w:type="spellEnd"/>
      <w:r w:rsidRPr="00AE1B1D">
        <w:rPr>
          <w:lang w:val="en-US"/>
        </w:rPr>
        <w:t xml:space="preserve"> adipose</w:t>
      </w:r>
      <w:r w:rsidR="0037792D" w:rsidRPr="00AE1B1D">
        <w:rPr>
          <w:lang w:val="en-US"/>
        </w:rPr>
        <w:t xml:space="preserve"> stem cell </w:t>
      </w:r>
      <w:r w:rsidRPr="00AE1B1D">
        <w:rPr>
          <w:lang w:val="en-US"/>
        </w:rPr>
        <w:t>pro-</w:t>
      </w:r>
      <w:r w:rsidR="0037792D" w:rsidRPr="00AE1B1D">
        <w:rPr>
          <w:lang w:val="en-US"/>
        </w:rPr>
        <w:t xml:space="preserve">osteogenic differentiation. The obtained results indicate that nanomicelles have a high Naringin encapsulation efficacy and achieve a dose-dependent cellular internalization in </w:t>
      </w:r>
      <w:proofErr w:type="spellStart"/>
      <w:r w:rsidR="0037792D" w:rsidRPr="00AE1B1D">
        <w:rPr>
          <w:lang w:val="en-US"/>
        </w:rPr>
        <w:t>hASCs</w:t>
      </w:r>
      <w:proofErr w:type="spellEnd"/>
      <w:r w:rsidR="0037792D" w:rsidRPr="00AE1B1D">
        <w:rPr>
          <w:lang w:val="en-US"/>
        </w:rPr>
        <w:t xml:space="preserve">. Osteogenesis induction assays demonstrated that Naringin intracellular delivery and spatiotemporal release improves </w:t>
      </w:r>
      <w:proofErr w:type="spellStart"/>
      <w:r w:rsidR="0037792D" w:rsidRPr="00AE1B1D">
        <w:rPr>
          <w:lang w:val="en-US"/>
        </w:rPr>
        <w:t>hASCs</w:t>
      </w:r>
      <w:proofErr w:type="spellEnd"/>
      <w:r w:rsidR="0037792D" w:rsidRPr="00AE1B1D">
        <w:rPr>
          <w:lang w:val="en-US"/>
        </w:rPr>
        <w:t xml:space="preserve"> commitment to osteogenic lineages, with significant calcium mineralization deposit</w:t>
      </w:r>
      <w:r w:rsidR="00F45BC5" w:rsidRPr="00AE1B1D">
        <w:rPr>
          <w:lang w:val="en-US"/>
        </w:rPr>
        <w:t xml:space="preserve">s being obtained in nanocarrier-treated </w:t>
      </w:r>
      <w:r w:rsidR="0037792D" w:rsidRPr="00AE1B1D">
        <w:rPr>
          <w:lang w:val="en-US"/>
        </w:rPr>
        <w:t xml:space="preserve">stem cells in comparison to free drug controls. These results emphasize the </w:t>
      </w:r>
      <w:r w:rsidR="0037792D" w:rsidRPr="00AE1B1D">
        <w:rPr>
          <w:lang w:val="en-US"/>
        </w:rPr>
        <w:lastRenderedPageBreak/>
        <w:t xml:space="preserve">valuable potential of Naringin </w:t>
      </w:r>
      <w:proofErr w:type="spellStart"/>
      <w:r w:rsidR="0037792D" w:rsidRPr="00AE1B1D">
        <w:rPr>
          <w:lang w:val="en-US"/>
        </w:rPr>
        <w:t>nanodelivery</w:t>
      </w:r>
      <w:proofErr w:type="spellEnd"/>
      <w:r w:rsidR="0037792D" w:rsidRPr="00AE1B1D">
        <w:rPr>
          <w:lang w:val="en-US"/>
        </w:rPr>
        <w:t xml:space="preserve"> as a cell-instructive approach that can then be extrapolated for application</w:t>
      </w:r>
      <w:r w:rsidR="00F06592" w:rsidRPr="00AE1B1D">
        <w:rPr>
          <w:lang w:val="en-US"/>
        </w:rPr>
        <w:t>s</w:t>
      </w:r>
      <w:r w:rsidR="0037792D" w:rsidRPr="00AE1B1D">
        <w:rPr>
          <w:lang w:val="en-US"/>
        </w:rPr>
        <w:t xml:space="preserve"> in bone tissue engineering and regenerative medicine.</w:t>
      </w:r>
    </w:p>
    <w:p w14:paraId="4B315117" w14:textId="77777777" w:rsidR="002C5C6E" w:rsidRPr="00AE1B1D" w:rsidRDefault="002C5C6E" w:rsidP="00CE1242">
      <w:pPr>
        <w:pStyle w:val="Head1"/>
      </w:pPr>
      <w:r w:rsidRPr="00AE1B1D">
        <w:t xml:space="preserve">2. Results and </w:t>
      </w:r>
      <w:r w:rsidR="00825599" w:rsidRPr="00AE1B1D">
        <w:t>D</w:t>
      </w:r>
      <w:r w:rsidRPr="00AE1B1D">
        <w:t>iscussion</w:t>
      </w:r>
    </w:p>
    <w:p w14:paraId="3E00AEA1" w14:textId="77777777" w:rsidR="007F231E" w:rsidRPr="00AE1B1D" w:rsidRDefault="00825599" w:rsidP="00CE1242">
      <w:pPr>
        <w:pStyle w:val="Head1"/>
      </w:pPr>
      <w:r w:rsidRPr="00AE1B1D">
        <w:t xml:space="preserve">2.1. Synthesis and </w:t>
      </w:r>
      <w:r w:rsidR="00682703" w:rsidRPr="00AE1B1D">
        <w:t xml:space="preserve">Formulation of </w:t>
      </w:r>
      <w:r w:rsidR="007F231E" w:rsidRPr="00AE1B1D">
        <w:t>Naringin-loaded Nanomicelles</w:t>
      </w:r>
    </w:p>
    <w:p w14:paraId="3B383712" w14:textId="258D5029" w:rsidR="00B26863" w:rsidRPr="00AE1B1D" w:rsidRDefault="00B26863" w:rsidP="00B26863">
      <w:pPr>
        <w:spacing w:after="240" w:line="480" w:lineRule="auto"/>
        <w:ind w:firstLine="284"/>
        <w:jc w:val="both"/>
        <w:rPr>
          <w:lang w:val="en-US" w:eastAsia="en-US"/>
        </w:rPr>
      </w:pPr>
      <w:r w:rsidRPr="00AE1B1D">
        <w:rPr>
          <w:lang w:val="en-US" w:eastAsia="en-US"/>
        </w:rPr>
        <w:t>The synthesis of</w:t>
      </w:r>
      <w:r w:rsidR="00ED2DE8" w:rsidRPr="00AE1B1D">
        <w:rPr>
          <w:lang w:val="en-US" w:eastAsia="en-US"/>
        </w:rPr>
        <w:t xml:space="preserve"> methoxy-</w:t>
      </w:r>
      <w:proofErr w:type="gramStart"/>
      <w:r w:rsidR="00ED2DE8" w:rsidRPr="00AE1B1D">
        <w:rPr>
          <w:lang w:val="en-US" w:eastAsia="en-US"/>
        </w:rPr>
        <w:t>poly(</w:t>
      </w:r>
      <w:proofErr w:type="gramEnd"/>
      <w:r w:rsidR="00ED2DE8" w:rsidRPr="00AE1B1D">
        <w:rPr>
          <w:lang w:val="en-US" w:eastAsia="en-US"/>
        </w:rPr>
        <w:t>ethylene</w:t>
      </w:r>
      <w:r w:rsidR="00F92C58" w:rsidRPr="00AE1B1D">
        <w:rPr>
          <w:lang w:val="en-US" w:eastAsia="en-US"/>
        </w:rPr>
        <w:t xml:space="preserve"> </w:t>
      </w:r>
      <w:r w:rsidR="00ED2DE8" w:rsidRPr="00AE1B1D">
        <w:rPr>
          <w:lang w:val="en-US" w:eastAsia="en-US"/>
        </w:rPr>
        <w:t>glycol)-</w:t>
      </w:r>
      <w:r w:rsidR="009E41D2" w:rsidRPr="00AE1B1D">
        <w:rPr>
          <w:lang w:val="en-US" w:eastAsia="en-US"/>
        </w:rPr>
        <w:t>m</w:t>
      </w:r>
      <w:r w:rsidR="00ED2DE8" w:rsidRPr="00AE1B1D">
        <w:rPr>
          <w:lang w:val="en-US" w:eastAsia="en-US"/>
        </w:rPr>
        <w:t>aleimide-</w:t>
      </w:r>
      <w:r w:rsidR="009E41D2" w:rsidRPr="00AE1B1D">
        <w:rPr>
          <w:lang w:val="en-US" w:eastAsia="en-US"/>
        </w:rPr>
        <w:t>t</w:t>
      </w:r>
      <w:r w:rsidR="00ED2DE8" w:rsidRPr="00AE1B1D">
        <w:rPr>
          <w:lang w:val="en-US" w:eastAsia="en-US"/>
        </w:rPr>
        <w:t>hiol-poly(L-lactide)</w:t>
      </w:r>
      <w:r w:rsidRPr="00AE1B1D">
        <w:rPr>
          <w:lang w:val="en-US" w:eastAsia="en-US"/>
        </w:rPr>
        <w:t xml:space="preserve"> </w:t>
      </w:r>
      <w:r w:rsidR="00ED2DE8" w:rsidRPr="00AE1B1D">
        <w:rPr>
          <w:lang w:val="en-US" w:eastAsia="en-US"/>
        </w:rPr>
        <w:t>(</w:t>
      </w:r>
      <w:r w:rsidRPr="00AE1B1D">
        <w:rPr>
          <w:lang w:val="en-US" w:eastAsia="en-US"/>
        </w:rPr>
        <w:t>mPEG-MS-PLA</w:t>
      </w:r>
      <w:r w:rsidR="00ED2DE8" w:rsidRPr="00AE1B1D">
        <w:rPr>
          <w:lang w:val="en-US" w:eastAsia="en-US"/>
        </w:rPr>
        <w:t>)</w:t>
      </w:r>
      <w:r w:rsidRPr="00AE1B1D">
        <w:rPr>
          <w:lang w:val="en-US" w:eastAsia="en-US"/>
        </w:rPr>
        <w:t xml:space="preserve"> diblock copolymer was performed by a highly selective </w:t>
      </w:r>
      <w:r w:rsidR="006555EE" w:rsidRPr="00AE1B1D">
        <w:rPr>
          <w:lang w:val="en-US" w:eastAsia="en-US"/>
        </w:rPr>
        <w:t xml:space="preserve">Michael-type </w:t>
      </w:r>
      <w:r w:rsidR="00ED2DE8" w:rsidRPr="00AE1B1D">
        <w:rPr>
          <w:lang w:val="en-US" w:eastAsia="en-US"/>
        </w:rPr>
        <w:t xml:space="preserve">coupling </w:t>
      </w:r>
      <w:r w:rsidRPr="00AE1B1D">
        <w:rPr>
          <w:lang w:val="en-US" w:eastAsia="en-US"/>
        </w:rPr>
        <w:t>between the thiol</w:t>
      </w:r>
      <w:r w:rsidR="00ED2DE8" w:rsidRPr="00AE1B1D">
        <w:rPr>
          <w:lang w:val="en-US" w:eastAsia="en-US"/>
        </w:rPr>
        <w:t xml:space="preserve"> moiety of</w:t>
      </w:r>
      <w:r w:rsidRPr="00AE1B1D">
        <w:rPr>
          <w:lang w:val="en-US" w:eastAsia="en-US"/>
        </w:rPr>
        <w:t xml:space="preserve"> PLA-SH and the double bond of the N-substituted maleimide group in mPEG-MAL, result</w:t>
      </w:r>
      <w:r w:rsidR="006555EE" w:rsidRPr="00AE1B1D">
        <w:rPr>
          <w:lang w:val="en-US" w:eastAsia="en-US"/>
        </w:rPr>
        <w:t>ing</w:t>
      </w:r>
      <w:r w:rsidRPr="00AE1B1D">
        <w:rPr>
          <w:lang w:val="en-US" w:eastAsia="en-US"/>
        </w:rPr>
        <w:t xml:space="preserve"> in a </w:t>
      </w:r>
      <w:proofErr w:type="spellStart"/>
      <w:r w:rsidRPr="00AE1B1D">
        <w:rPr>
          <w:lang w:val="en-US" w:eastAsia="en-US"/>
        </w:rPr>
        <w:t>succinimidyl</w:t>
      </w:r>
      <w:proofErr w:type="spellEnd"/>
      <w:r w:rsidRPr="00AE1B1D">
        <w:rPr>
          <w:lang w:val="en-US" w:eastAsia="en-US"/>
        </w:rPr>
        <w:t xml:space="preserve"> thioether adduct</w:t>
      </w:r>
      <w:r w:rsidR="00ED2DE8" w:rsidRPr="00AE1B1D">
        <w:rPr>
          <w:lang w:val="en-US" w:eastAsia="en-US"/>
        </w:rPr>
        <w:t xml:space="preserve"> that linked the hydrophilic and hydrophobic polymers</w:t>
      </w:r>
      <w:r w:rsidR="006555EE" w:rsidRPr="00AE1B1D">
        <w:rPr>
          <w:lang w:val="en-US" w:eastAsia="en-US"/>
        </w:rPr>
        <w:t xml:space="preserve"> </w:t>
      </w:r>
      <w:r w:rsidR="006555EE" w:rsidRPr="00AE1B1D">
        <w:rPr>
          <w:b/>
          <w:lang w:val="en-US" w:eastAsia="en-US"/>
        </w:rPr>
        <w:t>(Figure 1</w:t>
      </w:r>
      <w:r w:rsidR="00E6788A" w:rsidRPr="00AE1B1D">
        <w:rPr>
          <w:b/>
          <w:lang w:val="en-US" w:eastAsia="en-US"/>
        </w:rPr>
        <w:t>A</w:t>
      </w:r>
      <w:r w:rsidR="006555EE" w:rsidRPr="00AE1B1D">
        <w:rPr>
          <w:b/>
          <w:lang w:val="en-US" w:eastAsia="en-US"/>
        </w:rPr>
        <w:t>)</w:t>
      </w:r>
      <w:r w:rsidRPr="00AE1B1D">
        <w:rPr>
          <w:lang w:val="en-US" w:eastAsia="en-US"/>
        </w:rPr>
        <w:t xml:space="preserve">. The reaction </w:t>
      </w:r>
      <w:r w:rsidR="00ED2DE8" w:rsidRPr="00AE1B1D">
        <w:rPr>
          <w:lang w:val="en-US" w:eastAsia="en-US"/>
        </w:rPr>
        <w:t xml:space="preserve">was performed under mild conditions </w:t>
      </w:r>
      <w:r w:rsidR="004B1D72" w:rsidRPr="00AE1B1D">
        <w:rPr>
          <w:lang w:val="en-US" w:eastAsia="en-US"/>
        </w:rPr>
        <w:t xml:space="preserve">by </w:t>
      </w:r>
      <w:r w:rsidR="00ED2DE8" w:rsidRPr="00AE1B1D">
        <w:rPr>
          <w:lang w:val="en-US" w:eastAsia="en-US"/>
        </w:rPr>
        <w:t xml:space="preserve">comprising </w:t>
      </w:r>
      <w:r w:rsidRPr="00AE1B1D">
        <w:rPr>
          <w:lang w:val="en-US" w:eastAsia="en-US"/>
        </w:rPr>
        <w:t>a mixture of acetone and phosphate buffer</w:t>
      </w:r>
      <w:r w:rsidR="006555EE" w:rsidRPr="00AE1B1D">
        <w:rPr>
          <w:lang w:val="en-US" w:eastAsia="en-US"/>
        </w:rPr>
        <w:t xml:space="preserve"> with 5 mM EDTA</w:t>
      </w:r>
      <w:r w:rsidR="004B1D72" w:rsidRPr="00AE1B1D">
        <w:rPr>
          <w:lang w:val="en-US" w:eastAsia="en-US"/>
        </w:rPr>
        <w:t>. The crude products were then purified by</w:t>
      </w:r>
      <w:r w:rsidR="00ED2DE8" w:rsidRPr="00AE1B1D">
        <w:rPr>
          <w:lang w:val="en-US" w:eastAsia="en-US"/>
        </w:rPr>
        <w:t xml:space="preserve"> dialysis and freeze dr</w:t>
      </w:r>
      <w:r w:rsidR="004B1D72" w:rsidRPr="00AE1B1D">
        <w:rPr>
          <w:lang w:val="en-US" w:eastAsia="en-US"/>
        </w:rPr>
        <w:t>ied</w:t>
      </w:r>
      <w:r w:rsidR="00ED2DE8" w:rsidRPr="00AE1B1D">
        <w:rPr>
          <w:lang w:val="en-US" w:eastAsia="en-US"/>
        </w:rPr>
        <w:t xml:space="preserve"> to obtain a</w:t>
      </w:r>
      <w:r w:rsidR="004B1D72" w:rsidRPr="00AE1B1D">
        <w:rPr>
          <w:lang w:val="en-US" w:eastAsia="en-US"/>
        </w:rPr>
        <w:t xml:space="preserve"> fine</w:t>
      </w:r>
      <w:r w:rsidR="00ED2DE8" w:rsidRPr="00AE1B1D">
        <w:rPr>
          <w:lang w:val="en-US" w:eastAsia="en-US"/>
        </w:rPr>
        <w:t xml:space="preserve"> white powder</w:t>
      </w:r>
      <w:r w:rsidR="006555EE" w:rsidRPr="00AE1B1D">
        <w:rPr>
          <w:lang w:val="en-US" w:eastAsia="en-US"/>
        </w:rPr>
        <w:t>. The</w:t>
      </w:r>
      <w:r w:rsidR="00ED2DE8" w:rsidRPr="00AE1B1D">
        <w:rPr>
          <w:lang w:val="en-US" w:eastAsia="en-US"/>
        </w:rPr>
        <w:t xml:space="preserve"> resulting</w:t>
      </w:r>
      <w:r w:rsidR="006555EE" w:rsidRPr="00AE1B1D">
        <w:rPr>
          <w:lang w:val="en-US" w:eastAsia="en-US"/>
        </w:rPr>
        <w:t xml:space="preserve"> </w:t>
      </w:r>
      <w:r w:rsidRPr="00AE1B1D">
        <w:rPr>
          <w:lang w:val="en-US" w:eastAsia="en-US"/>
        </w:rPr>
        <w:t>mPEG-MS-PLA diblock copolymer</w:t>
      </w:r>
      <w:r w:rsidR="00ED2DE8" w:rsidRPr="00AE1B1D">
        <w:rPr>
          <w:lang w:val="en-US" w:eastAsia="en-US"/>
        </w:rPr>
        <w:t>s</w:t>
      </w:r>
      <w:r w:rsidRPr="00AE1B1D">
        <w:rPr>
          <w:lang w:val="en-US" w:eastAsia="en-US"/>
        </w:rPr>
        <w:t xml:space="preserve"> </w:t>
      </w:r>
      <w:r w:rsidR="00EC11A8" w:rsidRPr="00AE1B1D">
        <w:rPr>
          <w:b/>
          <w:lang w:val="en-US" w:eastAsia="en-US"/>
        </w:rPr>
        <w:t>(Figure S1)</w:t>
      </w:r>
      <w:r w:rsidR="00EC11A8" w:rsidRPr="00AE1B1D">
        <w:rPr>
          <w:lang w:val="en-US" w:eastAsia="en-US"/>
        </w:rPr>
        <w:t xml:space="preserve"> </w:t>
      </w:r>
      <w:r w:rsidRPr="00AE1B1D">
        <w:rPr>
          <w:lang w:val="en-US" w:eastAsia="en-US"/>
        </w:rPr>
        <w:t>were</w:t>
      </w:r>
      <w:r w:rsidR="00ED2DE8" w:rsidRPr="00AE1B1D">
        <w:rPr>
          <w:lang w:val="en-US" w:eastAsia="en-US"/>
        </w:rPr>
        <w:t xml:space="preserve"> then</w:t>
      </w:r>
      <w:r w:rsidRPr="00AE1B1D">
        <w:rPr>
          <w:lang w:val="en-US" w:eastAsia="en-US"/>
        </w:rPr>
        <w:t xml:space="preserve"> characterized by </w:t>
      </w:r>
      <w:r w:rsidRPr="00AE1B1D">
        <w:rPr>
          <w:vertAlign w:val="superscript"/>
          <w:lang w:val="en-US" w:eastAsia="en-US"/>
        </w:rPr>
        <w:t>1</w:t>
      </w:r>
      <w:r w:rsidRPr="00AE1B1D">
        <w:rPr>
          <w:lang w:val="en-US" w:eastAsia="en-US"/>
        </w:rPr>
        <w:t>H NMR and ATR-FTIR</w:t>
      </w:r>
      <w:r w:rsidR="009E41D2" w:rsidRPr="00AE1B1D">
        <w:rPr>
          <w:lang w:val="en-US" w:eastAsia="en-US"/>
        </w:rPr>
        <w:t xml:space="preserve"> to access the synthesis of the amphiphilic copolymer</w:t>
      </w:r>
      <w:r w:rsidRPr="00AE1B1D">
        <w:rPr>
          <w:lang w:val="en-US" w:eastAsia="en-US"/>
        </w:rPr>
        <w:t>. The</w:t>
      </w:r>
      <w:r w:rsidR="006555EE" w:rsidRPr="00AE1B1D">
        <w:rPr>
          <w:lang w:val="en-US" w:eastAsia="en-US"/>
        </w:rPr>
        <w:t xml:space="preserve"> obtained </w:t>
      </w:r>
      <w:r w:rsidR="009E41D2" w:rsidRPr="00AE1B1D">
        <w:rPr>
          <w:lang w:val="en-US" w:eastAsia="en-US"/>
        </w:rPr>
        <w:t xml:space="preserve">proton NMR and FTIR </w:t>
      </w:r>
      <w:r w:rsidRPr="00AE1B1D">
        <w:rPr>
          <w:lang w:val="en-US" w:eastAsia="en-US"/>
        </w:rPr>
        <w:t>spectr</w:t>
      </w:r>
      <w:r w:rsidR="006555EE" w:rsidRPr="00AE1B1D">
        <w:rPr>
          <w:lang w:val="en-US" w:eastAsia="en-US"/>
        </w:rPr>
        <w:t>a</w:t>
      </w:r>
      <w:r w:rsidRPr="00AE1B1D">
        <w:rPr>
          <w:lang w:val="en-US" w:eastAsia="en-US"/>
        </w:rPr>
        <w:t xml:space="preserve"> exhibit</w:t>
      </w:r>
      <w:r w:rsidR="004B1D72" w:rsidRPr="00AE1B1D">
        <w:rPr>
          <w:lang w:val="en-US" w:eastAsia="en-US"/>
        </w:rPr>
        <w:t>ed</w:t>
      </w:r>
      <w:r w:rsidRPr="00AE1B1D">
        <w:rPr>
          <w:lang w:val="en-US" w:eastAsia="en-US"/>
        </w:rPr>
        <w:t xml:space="preserve"> the characteristic peaks of both hydrophilic and hydrophobic blocks</w:t>
      </w:r>
      <w:r w:rsidR="006555EE" w:rsidRPr="00AE1B1D">
        <w:rPr>
          <w:lang w:val="en-US" w:eastAsia="en-US"/>
        </w:rPr>
        <w:t xml:space="preserve">, </w:t>
      </w:r>
      <w:r w:rsidR="004B1D72" w:rsidRPr="00AE1B1D">
        <w:rPr>
          <w:lang w:val="en-US" w:eastAsia="en-US"/>
        </w:rPr>
        <w:t>thus</w:t>
      </w:r>
      <w:r w:rsidR="007579A6" w:rsidRPr="00AE1B1D">
        <w:rPr>
          <w:lang w:val="en-US" w:eastAsia="en-US"/>
        </w:rPr>
        <w:t xml:space="preserve"> </w:t>
      </w:r>
      <w:r w:rsidR="006555EE" w:rsidRPr="00AE1B1D">
        <w:rPr>
          <w:lang w:val="en-US" w:eastAsia="en-US"/>
        </w:rPr>
        <w:t xml:space="preserve">providing evidence for </w:t>
      </w:r>
      <w:r w:rsidR="00193B99" w:rsidRPr="00AE1B1D">
        <w:rPr>
          <w:lang w:val="en-US" w:eastAsia="en-US"/>
        </w:rPr>
        <w:t xml:space="preserve">chemical </w:t>
      </w:r>
      <w:r w:rsidR="006555EE" w:rsidRPr="00AE1B1D">
        <w:rPr>
          <w:lang w:val="en-US" w:eastAsia="en-US"/>
        </w:rPr>
        <w:t>conjugation of the maleimide and thiol moieties</w:t>
      </w:r>
      <w:r w:rsidRPr="00AE1B1D">
        <w:rPr>
          <w:lang w:val="en-US" w:eastAsia="en-US"/>
        </w:rPr>
        <w:t xml:space="preserve"> </w:t>
      </w:r>
      <w:r w:rsidRPr="00AE1B1D">
        <w:rPr>
          <w:b/>
          <w:lang w:val="en-US" w:eastAsia="en-US"/>
        </w:rPr>
        <w:t>(Figure</w:t>
      </w:r>
      <w:r w:rsidR="00E6788A" w:rsidRPr="00AE1B1D">
        <w:rPr>
          <w:b/>
          <w:lang w:val="en-US" w:eastAsia="en-US"/>
        </w:rPr>
        <w:t>s</w:t>
      </w:r>
      <w:r w:rsidRPr="00AE1B1D">
        <w:rPr>
          <w:b/>
          <w:lang w:val="en-US" w:eastAsia="en-US"/>
        </w:rPr>
        <w:t xml:space="preserve"> S</w:t>
      </w:r>
      <w:r w:rsidR="00E6788A" w:rsidRPr="00AE1B1D">
        <w:rPr>
          <w:b/>
          <w:lang w:val="en-US" w:eastAsia="en-US"/>
        </w:rPr>
        <w:t>2</w:t>
      </w:r>
      <w:r w:rsidR="00527EE5" w:rsidRPr="00AE1B1D">
        <w:rPr>
          <w:b/>
          <w:lang w:val="en-US" w:eastAsia="en-US"/>
        </w:rPr>
        <w:t xml:space="preserve"> </w:t>
      </w:r>
      <w:r w:rsidR="00527EE5" w:rsidRPr="00AE1B1D">
        <w:rPr>
          <w:lang w:val="en-US" w:eastAsia="en-US"/>
        </w:rPr>
        <w:t>and</w:t>
      </w:r>
      <w:r w:rsidR="00E6788A" w:rsidRPr="00AE1B1D">
        <w:rPr>
          <w:b/>
          <w:lang w:val="en-US" w:eastAsia="en-US"/>
        </w:rPr>
        <w:t xml:space="preserve"> S3</w:t>
      </w:r>
      <w:r w:rsidRPr="00AE1B1D">
        <w:rPr>
          <w:b/>
          <w:lang w:val="en-US" w:eastAsia="en-US"/>
        </w:rPr>
        <w:t>)</w:t>
      </w:r>
      <w:r w:rsidRPr="00AE1B1D">
        <w:rPr>
          <w:lang w:val="en-US" w:eastAsia="en-US"/>
        </w:rPr>
        <w:t xml:space="preserve">. </w:t>
      </w:r>
    </w:p>
    <w:p w14:paraId="76A58C8C" w14:textId="77777777" w:rsidR="00A349A3" w:rsidRPr="00AE1B1D" w:rsidRDefault="00193B99" w:rsidP="00840046">
      <w:pPr>
        <w:spacing w:after="240" w:line="480" w:lineRule="auto"/>
        <w:ind w:firstLine="284"/>
        <w:jc w:val="both"/>
        <w:rPr>
          <w:lang w:val="en-US" w:eastAsia="en-US"/>
        </w:rPr>
      </w:pPr>
      <w:r w:rsidRPr="00AE1B1D">
        <w:rPr>
          <w:lang w:val="en-US" w:eastAsia="en-US"/>
        </w:rPr>
        <w:t xml:space="preserve">Following successful </w:t>
      </w:r>
      <w:r w:rsidR="00D819AB" w:rsidRPr="00AE1B1D">
        <w:rPr>
          <w:lang w:val="en-US" w:eastAsia="en-US"/>
        </w:rPr>
        <w:t>co</w:t>
      </w:r>
      <w:r w:rsidRPr="00AE1B1D">
        <w:rPr>
          <w:lang w:val="en-US" w:eastAsia="en-US"/>
        </w:rPr>
        <w:t xml:space="preserve">polymer synthesis, </w:t>
      </w:r>
      <w:r w:rsidR="00D819AB" w:rsidRPr="00AE1B1D">
        <w:rPr>
          <w:lang w:val="en-US" w:eastAsia="en-US"/>
        </w:rPr>
        <w:t>N</w:t>
      </w:r>
      <w:r w:rsidR="00A349A3" w:rsidRPr="00AE1B1D">
        <w:rPr>
          <w:lang w:val="en-US" w:eastAsia="en-US"/>
        </w:rPr>
        <w:t>aringin</w:t>
      </w:r>
      <w:r w:rsidR="00C717A4" w:rsidRPr="00AE1B1D">
        <w:rPr>
          <w:lang w:val="en-US" w:eastAsia="en-US"/>
        </w:rPr>
        <w:t xml:space="preserve">-loaded </w:t>
      </w:r>
      <w:r w:rsidR="00024F1F" w:rsidRPr="00AE1B1D">
        <w:rPr>
          <w:lang w:val="en-US" w:eastAsia="en-US"/>
        </w:rPr>
        <w:t>polymeric micelles were</w:t>
      </w:r>
      <w:r w:rsidR="004B1D72" w:rsidRPr="00AE1B1D">
        <w:rPr>
          <w:lang w:val="en-US" w:eastAsia="en-US"/>
        </w:rPr>
        <w:t xml:space="preserve"> then</w:t>
      </w:r>
      <w:r w:rsidR="00024F1F" w:rsidRPr="00AE1B1D">
        <w:rPr>
          <w:lang w:val="en-US" w:eastAsia="en-US"/>
        </w:rPr>
        <w:t xml:space="preserve"> self-assembled </w:t>
      </w:r>
      <w:r w:rsidR="004B1D72" w:rsidRPr="00AE1B1D">
        <w:rPr>
          <w:lang w:val="en-US" w:eastAsia="en-US"/>
        </w:rPr>
        <w:t xml:space="preserve">via </w:t>
      </w:r>
      <w:r w:rsidR="00024F1F" w:rsidRPr="00AE1B1D">
        <w:rPr>
          <w:lang w:val="en-US" w:eastAsia="en-US"/>
        </w:rPr>
        <w:t xml:space="preserve">nanoprecipitation </w:t>
      </w:r>
      <w:r w:rsidR="00A349A3" w:rsidRPr="00AE1B1D">
        <w:rPr>
          <w:lang w:val="en-US" w:eastAsia="en-US"/>
        </w:rPr>
        <w:t xml:space="preserve">by mixing </w:t>
      </w:r>
      <w:r w:rsidR="004B1D72" w:rsidRPr="00AE1B1D">
        <w:rPr>
          <w:lang w:val="en-US" w:eastAsia="en-US"/>
        </w:rPr>
        <w:t xml:space="preserve">the flavanone </w:t>
      </w:r>
      <w:r w:rsidR="00024F1F" w:rsidRPr="00AE1B1D">
        <w:rPr>
          <w:lang w:val="en-US" w:eastAsia="en-US"/>
        </w:rPr>
        <w:t>and</w:t>
      </w:r>
      <w:r w:rsidR="00A349A3" w:rsidRPr="00AE1B1D">
        <w:rPr>
          <w:lang w:val="en-US" w:eastAsia="en-US"/>
        </w:rPr>
        <w:t xml:space="preserve"> </w:t>
      </w:r>
      <w:r w:rsidR="004B1D72" w:rsidRPr="00AE1B1D">
        <w:rPr>
          <w:lang w:val="en-US" w:eastAsia="en-US"/>
        </w:rPr>
        <w:t xml:space="preserve">the amphiphilic </w:t>
      </w:r>
      <w:r w:rsidR="00A349A3" w:rsidRPr="00AE1B1D">
        <w:rPr>
          <w:lang w:val="en-US" w:eastAsia="en-US"/>
        </w:rPr>
        <w:t>copolymer in the organic phase</w:t>
      </w:r>
      <w:r w:rsidR="00B9458B" w:rsidRPr="00AE1B1D">
        <w:rPr>
          <w:lang w:val="en-US" w:eastAsia="en-US"/>
        </w:rPr>
        <w:t>.</w:t>
      </w:r>
      <w:r w:rsidR="00024F1F" w:rsidRPr="00AE1B1D">
        <w:rPr>
          <w:lang w:val="en-US" w:eastAsia="en-US"/>
        </w:rPr>
        <w:t xml:space="preserve"> </w:t>
      </w:r>
      <w:r w:rsidR="00B9458B" w:rsidRPr="00AE1B1D">
        <w:rPr>
          <w:lang w:val="en-US" w:eastAsia="en-US"/>
        </w:rPr>
        <w:t>To</w:t>
      </w:r>
      <w:r w:rsidR="001005AE" w:rsidRPr="00AE1B1D">
        <w:rPr>
          <w:lang w:val="en-US" w:eastAsia="en-US"/>
        </w:rPr>
        <w:t xml:space="preserve"> promote</w:t>
      </w:r>
      <w:r w:rsidR="00B9458B" w:rsidRPr="00AE1B1D">
        <w:rPr>
          <w:lang w:val="en-US" w:eastAsia="en-US"/>
        </w:rPr>
        <w:t xml:space="preserve"> micelles assembly the drug-copolymer mixture was added</w:t>
      </w:r>
      <w:r w:rsidR="00024F1F" w:rsidRPr="00AE1B1D">
        <w:rPr>
          <w:lang w:val="en-US" w:eastAsia="en-US"/>
        </w:rPr>
        <w:t xml:space="preserve"> </w:t>
      </w:r>
      <w:r w:rsidR="00A349A3" w:rsidRPr="00AE1B1D">
        <w:rPr>
          <w:lang w:val="en-US" w:eastAsia="en-US"/>
        </w:rPr>
        <w:t>drop-wise add</w:t>
      </w:r>
      <w:r w:rsidR="00B9458B" w:rsidRPr="00AE1B1D">
        <w:rPr>
          <w:lang w:val="en-US" w:eastAsia="en-US"/>
        </w:rPr>
        <w:t>ed</w:t>
      </w:r>
      <w:r w:rsidR="00A349A3" w:rsidRPr="00AE1B1D">
        <w:rPr>
          <w:lang w:val="en-US" w:eastAsia="en-US"/>
        </w:rPr>
        <w:t xml:space="preserve"> into a determined amount of aqueous solution (V</w:t>
      </w:r>
      <w:r w:rsidR="0090568E" w:rsidRPr="00AE1B1D">
        <w:rPr>
          <w:lang w:val="en-US" w:eastAsia="en-US"/>
        </w:rPr>
        <w:t xml:space="preserve"> </w:t>
      </w:r>
      <w:r w:rsidR="00A349A3" w:rsidRPr="00AE1B1D">
        <w:rPr>
          <w:lang w:val="en-US" w:eastAsia="en-US"/>
        </w:rPr>
        <w:t>= 5 mL</w:t>
      </w:r>
      <w:r w:rsidR="006C481B" w:rsidRPr="00AE1B1D">
        <w:rPr>
          <w:lang w:val="en-US" w:eastAsia="en-US"/>
        </w:rPr>
        <w:t>)</w:t>
      </w:r>
      <w:r w:rsidR="00A349A3" w:rsidRPr="00AE1B1D">
        <w:rPr>
          <w:lang w:val="en-US" w:eastAsia="en-US"/>
        </w:rPr>
        <w:t xml:space="preserve"> </w:t>
      </w:r>
      <w:r w:rsidR="006C481B" w:rsidRPr="00AE1B1D">
        <w:rPr>
          <w:lang w:val="en-US" w:eastAsia="en-US"/>
        </w:rPr>
        <w:t xml:space="preserve">at </w:t>
      </w:r>
      <w:r w:rsidR="006470C6" w:rsidRPr="00AE1B1D">
        <w:rPr>
          <w:lang w:val="en-US" w:eastAsia="en-US"/>
        </w:rPr>
        <w:t>room temperature</w:t>
      </w:r>
      <w:r w:rsidR="006C481B" w:rsidRPr="00AE1B1D">
        <w:rPr>
          <w:lang w:val="en-US" w:eastAsia="en-US"/>
        </w:rPr>
        <w:t xml:space="preserve"> (</w:t>
      </w:r>
      <w:r w:rsidR="00A349A3" w:rsidRPr="00AE1B1D">
        <w:rPr>
          <w:lang w:val="en-US" w:eastAsia="en-US"/>
        </w:rPr>
        <w:t>RT)</w:t>
      </w:r>
      <w:r w:rsidR="00E6788A" w:rsidRPr="00AE1B1D">
        <w:rPr>
          <w:lang w:val="en-US" w:eastAsia="en-US"/>
        </w:rPr>
        <w:t xml:space="preserve"> </w:t>
      </w:r>
      <w:r w:rsidR="00E6788A" w:rsidRPr="00AE1B1D">
        <w:rPr>
          <w:b/>
          <w:lang w:val="en-US" w:eastAsia="en-US"/>
        </w:rPr>
        <w:t>(Figure 1B)</w:t>
      </w:r>
      <w:r w:rsidR="00A349A3" w:rsidRPr="00AE1B1D">
        <w:rPr>
          <w:lang w:val="en-US" w:eastAsia="en-US"/>
        </w:rPr>
        <w:t xml:space="preserve">. </w:t>
      </w:r>
      <w:r w:rsidR="00B9458B" w:rsidRPr="00AE1B1D">
        <w:rPr>
          <w:lang w:val="en-US" w:eastAsia="en-US"/>
        </w:rPr>
        <w:t xml:space="preserve">The physicochemical properties of the resulting </w:t>
      </w:r>
      <w:r w:rsidR="00A349A3" w:rsidRPr="00AE1B1D">
        <w:rPr>
          <w:lang w:val="en-US" w:eastAsia="en-US"/>
        </w:rPr>
        <w:t xml:space="preserve">Naringin-loaded and blank (control) micelles were characterized by DLS. </w:t>
      </w:r>
      <w:r w:rsidR="00E63391" w:rsidRPr="00AE1B1D">
        <w:rPr>
          <w:lang w:val="en-US" w:eastAsia="en-US"/>
        </w:rPr>
        <w:t xml:space="preserve">As demonstrated in </w:t>
      </w:r>
      <w:r w:rsidR="00E63391" w:rsidRPr="00AE1B1D">
        <w:rPr>
          <w:b/>
          <w:lang w:val="en-US" w:eastAsia="en-US"/>
        </w:rPr>
        <w:t>Figure</w:t>
      </w:r>
      <w:r w:rsidR="009147E0" w:rsidRPr="00AE1B1D">
        <w:rPr>
          <w:b/>
          <w:lang w:val="en-US" w:eastAsia="en-US"/>
        </w:rPr>
        <w:t>s</w:t>
      </w:r>
      <w:r w:rsidR="00E63391" w:rsidRPr="00AE1B1D">
        <w:rPr>
          <w:b/>
          <w:lang w:val="en-US" w:eastAsia="en-US"/>
        </w:rPr>
        <w:t xml:space="preserve"> </w:t>
      </w:r>
      <w:r w:rsidR="00E6788A" w:rsidRPr="00AE1B1D">
        <w:rPr>
          <w:b/>
          <w:lang w:val="en-US" w:eastAsia="en-US"/>
        </w:rPr>
        <w:t>1</w:t>
      </w:r>
      <w:r w:rsidR="0090568E" w:rsidRPr="00AE1B1D">
        <w:rPr>
          <w:b/>
          <w:lang w:val="en-US" w:eastAsia="en-US"/>
        </w:rPr>
        <w:t xml:space="preserve">C </w:t>
      </w:r>
      <w:r w:rsidR="0090568E" w:rsidRPr="00AE1B1D">
        <w:rPr>
          <w:lang w:val="en-US" w:eastAsia="en-US"/>
        </w:rPr>
        <w:t>and</w:t>
      </w:r>
      <w:r w:rsidR="0090568E" w:rsidRPr="00AE1B1D">
        <w:rPr>
          <w:b/>
          <w:lang w:val="en-US" w:eastAsia="en-US"/>
        </w:rPr>
        <w:t xml:space="preserve"> 1D</w:t>
      </w:r>
      <w:r w:rsidR="00A349A3" w:rsidRPr="00AE1B1D">
        <w:rPr>
          <w:lang w:val="en-US" w:eastAsia="en-US"/>
        </w:rPr>
        <w:t xml:space="preserve"> </w:t>
      </w:r>
      <w:r w:rsidR="00E63391" w:rsidRPr="00AE1B1D">
        <w:rPr>
          <w:lang w:val="en-US" w:eastAsia="en-US"/>
        </w:rPr>
        <w:t xml:space="preserve">the formulated </w:t>
      </w:r>
      <w:r w:rsidR="00A349A3" w:rsidRPr="00AE1B1D">
        <w:rPr>
          <w:lang w:val="en-US" w:eastAsia="en-US"/>
        </w:rPr>
        <w:t xml:space="preserve">blank micelles (75.15 ± 1.06 nm) </w:t>
      </w:r>
      <w:r w:rsidR="00E63391" w:rsidRPr="00AE1B1D">
        <w:rPr>
          <w:lang w:val="en-US" w:eastAsia="en-US"/>
        </w:rPr>
        <w:t xml:space="preserve">were </w:t>
      </w:r>
      <w:r w:rsidR="00A349A3" w:rsidRPr="00AE1B1D">
        <w:rPr>
          <w:lang w:val="en-US" w:eastAsia="en-US"/>
        </w:rPr>
        <w:t xml:space="preserve">smaller than those loaded with Naringin (84.48 ± 2.44 nm). </w:t>
      </w:r>
      <w:r w:rsidR="00840046" w:rsidRPr="00AE1B1D">
        <w:rPr>
          <w:lang w:val="en-US" w:eastAsia="en-US"/>
        </w:rPr>
        <w:t xml:space="preserve">This increase could be </w:t>
      </w:r>
      <w:r w:rsidR="00B9458B" w:rsidRPr="00AE1B1D">
        <w:rPr>
          <w:lang w:val="en-US" w:eastAsia="en-US"/>
        </w:rPr>
        <w:t>attributed to</w:t>
      </w:r>
      <w:r w:rsidR="00840046" w:rsidRPr="00AE1B1D">
        <w:rPr>
          <w:lang w:val="en-US" w:eastAsia="en-US"/>
        </w:rPr>
        <w:t xml:space="preserve"> the</w:t>
      </w:r>
      <w:r w:rsidR="00A2205B" w:rsidRPr="00AE1B1D">
        <w:rPr>
          <w:lang w:val="en-US" w:eastAsia="en-US"/>
        </w:rPr>
        <w:t xml:space="preserve"> relatively</w:t>
      </w:r>
      <w:r w:rsidR="00840046" w:rsidRPr="00AE1B1D">
        <w:rPr>
          <w:lang w:val="en-US" w:eastAsia="en-US"/>
        </w:rPr>
        <w:t xml:space="preserve"> amphiphilic features of the flavanone glycoside Naringin</w:t>
      </w:r>
      <w:r w:rsidR="00A2205B" w:rsidRPr="00AE1B1D">
        <w:rPr>
          <w:lang w:val="en-US" w:eastAsia="en-US"/>
        </w:rPr>
        <w:t xml:space="preserve"> chemical structure (Figure </w:t>
      </w:r>
      <w:r w:rsidR="001F15CE" w:rsidRPr="00AE1B1D">
        <w:rPr>
          <w:lang w:val="en-US" w:eastAsia="en-US"/>
        </w:rPr>
        <w:t>1</w:t>
      </w:r>
      <w:r w:rsidR="009147E0" w:rsidRPr="00AE1B1D">
        <w:rPr>
          <w:lang w:val="en-US" w:eastAsia="en-US"/>
        </w:rPr>
        <w:t>A</w:t>
      </w:r>
      <w:r w:rsidR="001F15CE" w:rsidRPr="00AE1B1D">
        <w:rPr>
          <w:lang w:val="en-US" w:eastAsia="en-US"/>
        </w:rPr>
        <w:t>)</w:t>
      </w:r>
      <w:r w:rsidR="00840046" w:rsidRPr="00AE1B1D">
        <w:rPr>
          <w:lang w:val="en-US" w:eastAsia="en-US"/>
        </w:rPr>
        <w:t xml:space="preserve">. </w:t>
      </w:r>
      <w:r w:rsidR="00AA0973" w:rsidRPr="00AE1B1D">
        <w:rPr>
          <w:lang w:val="en-US" w:eastAsia="en-US"/>
        </w:rPr>
        <w:t>This</w:t>
      </w:r>
      <w:r w:rsidR="00A349A3" w:rsidRPr="00AE1B1D">
        <w:rPr>
          <w:lang w:val="en-US" w:eastAsia="en-US"/>
        </w:rPr>
        <w:t xml:space="preserve"> could explain the small </w:t>
      </w:r>
      <w:r w:rsidR="00A349A3" w:rsidRPr="00AE1B1D">
        <w:rPr>
          <w:lang w:val="en-US" w:eastAsia="en-US"/>
        </w:rPr>
        <w:lastRenderedPageBreak/>
        <w:t>increase in hydrodynamic size of drug-loaded micelles over blank micelles</w:t>
      </w:r>
      <w:r w:rsidR="00E63391" w:rsidRPr="00AE1B1D">
        <w:rPr>
          <w:lang w:val="en-US" w:eastAsia="en-US"/>
        </w:rPr>
        <w:t xml:space="preserve"> and is a valuable information </w:t>
      </w:r>
      <w:r w:rsidR="0066271C" w:rsidRPr="00AE1B1D">
        <w:rPr>
          <w:lang w:val="en-US" w:eastAsia="en-US"/>
        </w:rPr>
        <w:t>since</w:t>
      </w:r>
      <w:r w:rsidR="00840046" w:rsidRPr="00AE1B1D">
        <w:rPr>
          <w:lang w:val="en-US" w:eastAsia="en-US"/>
        </w:rPr>
        <w:t>,</w:t>
      </w:r>
      <w:r w:rsidR="0066271C" w:rsidRPr="00AE1B1D">
        <w:rPr>
          <w:lang w:val="en-US" w:eastAsia="en-US"/>
        </w:rPr>
        <w:t xml:space="preserve"> to the best of our knowledge</w:t>
      </w:r>
      <w:r w:rsidR="00840046" w:rsidRPr="00AE1B1D">
        <w:rPr>
          <w:lang w:val="en-US" w:eastAsia="en-US"/>
        </w:rPr>
        <w:t>,</w:t>
      </w:r>
      <w:r w:rsidR="00E63391" w:rsidRPr="00AE1B1D">
        <w:rPr>
          <w:lang w:val="en-US" w:eastAsia="en-US"/>
        </w:rPr>
        <w:t xml:space="preserve"> this is the first </w:t>
      </w:r>
      <w:r w:rsidR="00337428" w:rsidRPr="00AE1B1D">
        <w:rPr>
          <w:lang w:val="en-US" w:eastAsia="en-US"/>
        </w:rPr>
        <w:t xml:space="preserve">time </w:t>
      </w:r>
      <w:r w:rsidR="00840046" w:rsidRPr="00AE1B1D">
        <w:rPr>
          <w:lang w:val="en-US" w:eastAsia="en-US"/>
        </w:rPr>
        <w:t xml:space="preserve">that </w:t>
      </w:r>
      <w:r w:rsidR="00337428" w:rsidRPr="00AE1B1D">
        <w:rPr>
          <w:lang w:val="en-US" w:eastAsia="en-US"/>
        </w:rPr>
        <w:t xml:space="preserve">Naringin has been encapsulated in </w:t>
      </w:r>
      <w:r w:rsidR="00AA0973" w:rsidRPr="00AE1B1D">
        <w:rPr>
          <w:lang w:val="en-US" w:eastAsia="en-US"/>
        </w:rPr>
        <w:t xml:space="preserve">polymeric </w:t>
      </w:r>
      <w:r w:rsidR="00337428" w:rsidRPr="00AE1B1D">
        <w:rPr>
          <w:lang w:val="en-US" w:eastAsia="en-US"/>
        </w:rPr>
        <w:t>micellar systems.</w:t>
      </w:r>
      <w:r w:rsidR="0066271C" w:rsidRPr="00AE1B1D">
        <w:rPr>
          <w:lang w:val="en-US" w:eastAsia="en-US"/>
        </w:rPr>
        <w:t xml:space="preserve"> We hypothesize that </w:t>
      </w:r>
      <w:r w:rsidR="00A349A3" w:rsidRPr="00AE1B1D">
        <w:rPr>
          <w:lang w:val="en-US" w:eastAsia="en-US"/>
        </w:rPr>
        <w:t>Naringin</w:t>
      </w:r>
      <w:r w:rsidR="00840046" w:rsidRPr="00AE1B1D">
        <w:rPr>
          <w:lang w:val="en-US" w:eastAsia="en-US"/>
        </w:rPr>
        <w:t>’s</w:t>
      </w:r>
      <w:r w:rsidR="00A349A3" w:rsidRPr="00AE1B1D">
        <w:rPr>
          <w:lang w:val="en-US" w:eastAsia="en-US"/>
        </w:rPr>
        <w:t xml:space="preserve"> bulkier non-planar structure comprised by hydrophobic (aglycone, Naringenin) and hydrophilic (glycoside, </w:t>
      </w:r>
      <w:proofErr w:type="spellStart"/>
      <w:r w:rsidR="00A349A3" w:rsidRPr="00AE1B1D">
        <w:rPr>
          <w:lang w:val="en-US" w:eastAsia="en-US"/>
        </w:rPr>
        <w:t>Neohesperidose</w:t>
      </w:r>
      <w:proofErr w:type="spellEnd"/>
      <w:r w:rsidR="00A349A3" w:rsidRPr="00AE1B1D">
        <w:rPr>
          <w:lang w:val="en-US" w:eastAsia="en-US"/>
        </w:rPr>
        <w:t xml:space="preserve">) domains could potentially decrease the hydrophobic interactions with PLA micelles core. This hypothesis is supported by </w:t>
      </w:r>
      <w:proofErr w:type="spellStart"/>
      <w:r w:rsidR="00A349A3" w:rsidRPr="00AE1B1D">
        <w:rPr>
          <w:lang w:val="en-US" w:eastAsia="en-US"/>
        </w:rPr>
        <w:t>Sanver</w:t>
      </w:r>
      <w:proofErr w:type="spellEnd"/>
      <w:r w:rsidR="0066271C" w:rsidRPr="00AE1B1D">
        <w:rPr>
          <w:lang w:val="en-US" w:eastAsia="en-US"/>
        </w:rPr>
        <w:t xml:space="preserve"> </w:t>
      </w:r>
      <w:r w:rsidR="00A349A3" w:rsidRPr="00AE1B1D">
        <w:rPr>
          <w:lang w:val="en-US" w:eastAsia="en-US"/>
        </w:rPr>
        <w:t xml:space="preserve">on experimental modelling of flavonoid membrane interactions, which suggests that flavonoids such as Naringin may partition in the lipid/water </w:t>
      </w:r>
      <w:proofErr w:type="gramStart"/>
      <w:r w:rsidR="00A349A3" w:rsidRPr="00AE1B1D">
        <w:rPr>
          <w:lang w:val="en-US" w:eastAsia="en-US"/>
        </w:rPr>
        <w:t>interface</w:t>
      </w:r>
      <w:r w:rsidR="00141503" w:rsidRPr="00AE1B1D">
        <w:rPr>
          <w:lang w:val="en-US" w:eastAsia="en-US"/>
        </w:rPr>
        <w:t>.</w:t>
      </w:r>
      <w:r w:rsidR="00416615" w:rsidRPr="00AE1B1D">
        <w:rPr>
          <w:noProof/>
          <w:vertAlign w:val="superscript"/>
          <w:lang w:val="en-US" w:eastAsia="en-US"/>
        </w:rPr>
        <w:t>[</w:t>
      </w:r>
      <w:proofErr w:type="gramEnd"/>
      <w:r w:rsidR="00416615" w:rsidRPr="00AE1B1D">
        <w:rPr>
          <w:noProof/>
          <w:vertAlign w:val="superscript"/>
          <w:lang w:val="en-US" w:eastAsia="en-US"/>
        </w:rPr>
        <w:t>16]</w:t>
      </w:r>
      <w:r w:rsidR="00AA0973" w:rsidRPr="00AE1B1D">
        <w:rPr>
          <w:lang w:val="en-US" w:eastAsia="en-US"/>
        </w:rPr>
        <w:t xml:space="preserve"> This is an important factor that also supports the use of nanosized delivery systems for the intracellular delivery of this drug, which otherwise can only be </w:t>
      </w:r>
      <w:r w:rsidR="0000078A" w:rsidRPr="00AE1B1D">
        <w:rPr>
          <w:lang w:val="en-US" w:eastAsia="en-US"/>
        </w:rPr>
        <w:t>partitioned</w:t>
      </w:r>
      <w:r w:rsidR="00AA0973" w:rsidRPr="00AE1B1D">
        <w:rPr>
          <w:lang w:val="en-US" w:eastAsia="en-US"/>
        </w:rPr>
        <w:t xml:space="preserve"> in </w:t>
      </w:r>
      <w:r w:rsidR="0000078A" w:rsidRPr="00AE1B1D">
        <w:rPr>
          <w:lang w:val="en-US" w:eastAsia="en-US"/>
        </w:rPr>
        <w:t>cells membrane. Moreover</w:t>
      </w:r>
      <w:r w:rsidR="00A349A3" w:rsidRPr="00AE1B1D">
        <w:rPr>
          <w:lang w:val="en-US" w:eastAsia="en-US"/>
        </w:rPr>
        <w:t>, Yan and his team studied Naringin/</w:t>
      </w:r>
      <w:r w:rsidR="00D64795" w:rsidRPr="00AE1B1D">
        <w:rPr>
          <w:rFonts w:ascii="Symbol" w:hAnsi="Symbol"/>
          <w:lang w:val="en-US" w:eastAsia="en-US"/>
        </w:rPr>
        <w:t></w:t>
      </w:r>
      <w:r w:rsidR="00A349A3" w:rsidRPr="00AE1B1D">
        <w:rPr>
          <w:lang w:val="en-US" w:eastAsia="en-US"/>
        </w:rPr>
        <w:t>-cyclodextrin (</w:t>
      </w:r>
      <w:r w:rsidR="00D64795" w:rsidRPr="00AE1B1D">
        <w:rPr>
          <w:rFonts w:ascii="Symbol" w:hAnsi="Symbol"/>
          <w:lang w:val="en-US" w:eastAsia="en-US"/>
        </w:rPr>
        <w:t></w:t>
      </w:r>
      <w:r w:rsidR="00A349A3" w:rsidRPr="00AE1B1D">
        <w:rPr>
          <w:lang w:val="en-US" w:eastAsia="en-US"/>
        </w:rPr>
        <w:t>-CD) inclusion complexes, where computational and experimental simulations indicated that while the benzene ring of Naringin was embedded within the hydrophobic (</w:t>
      </w:r>
      <w:r w:rsidR="00D64795" w:rsidRPr="00AE1B1D">
        <w:rPr>
          <w:rFonts w:ascii="Symbol" w:hAnsi="Symbol"/>
          <w:lang w:val="en-US" w:eastAsia="en-US"/>
        </w:rPr>
        <w:t></w:t>
      </w:r>
      <w:r w:rsidR="00A349A3" w:rsidRPr="00AE1B1D">
        <w:rPr>
          <w:lang w:val="en-US" w:eastAsia="en-US"/>
        </w:rPr>
        <w:t>-CD) cavity, the glycoside domain was on plane with the relatively hydrophilic outer wide rim</w:t>
      </w:r>
      <w:r w:rsidR="00141503" w:rsidRPr="00AE1B1D">
        <w:rPr>
          <w:lang w:val="en-US" w:eastAsia="en-US"/>
        </w:rPr>
        <w:t>.</w:t>
      </w:r>
      <w:r w:rsidR="00416615" w:rsidRPr="00AE1B1D">
        <w:rPr>
          <w:noProof/>
          <w:vertAlign w:val="superscript"/>
          <w:lang w:val="en-US" w:eastAsia="en-US"/>
        </w:rPr>
        <w:t>[17]</w:t>
      </w:r>
      <w:r w:rsidR="00A349A3" w:rsidRPr="00AE1B1D">
        <w:rPr>
          <w:lang w:val="en-US" w:eastAsia="en-US"/>
        </w:rPr>
        <w:t xml:space="preserve"> </w:t>
      </w:r>
      <w:r w:rsidR="0066271C" w:rsidRPr="00AE1B1D">
        <w:rPr>
          <w:lang w:val="en-US" w:eastAsia="en-US"/>
        </w:rPr>
        <w:t>I</w:t>
      </w:r>
      <w:r w:rsidR="00A349A3" w:rsidRPr="00AE1B1D">
        <w:rPr>
          <w:lang w:val="en-US" w:eastAsia="en-US"/>
        </w:rPr>
        <w:t>t is important to mention that the capacity for PEG to form hydrogen bonds with flavanone glycosides such as Naringin is</w:t>
      </w:r>
      <w:r w:rsidR="00A24C3F" w:rsidRPr="00AE1B1D">
        <w:rPr>
          <w:lang w:val="en-US" w:eastAsia="en-US"/>
        </w:rPr>
        <w:t xml:space="preserve"> </w:t>
      </w:r>
      <w:r w:rsidR="00A349A3" w:rsidRPr="00AE1B1D">
        <w:rPr>
          <w:lang w:val="en-US" w:eastAsia="en-US"/>
        </w:rPr>
        <w:t>limited</w:t>
      </w:r>
      <w:r w:rsidR="00141503" w:rsidRPr="00AE1B1D">
        <w:rPr>
          <w:lang w:val="en-US" w:eastAsia="en-US"/>
        </w:rPr>
        <w:t>,</w:t>
      </w:r>
      <w:r w:rsidR="00416615" w:rsidRPr="00AE1B1D">
        <w:rPr>
          <w:noProof/>
          <w:vertAlign w:val="superscript"/>
          <w:lang w:val="en-US" w:eastAsia="en-US"/>
        </w:rPr>
        <w:t>[18]</w:t>
      </w:r>
      <w:r w:rsidR="00A349A3" w:rsidRPr="00AE1B1D">
        <w:rPr>
          <w:lang w:val="en-US" w:eastAsia="en-US"/>
        </w:rPr>
        <w:t xml:space="preserve"> whereas the PLA repeating lactide units containing carbonyls (-C=O) may provide more opportunities for hydrogen-bonding with the flavonoid hydroxyls (-OH)</w:t>
      </w:r>
      <w:r w:rsidR="004433F4" w:rsidRPr="00AE1B1D">
        <w:rPr>
          <w:lang w:val="en-US" w:eastAsia="en-US"/>
        </w:rPr>
        <w:t>.</w:t>
      </w:r>
      <w:r w:rsidR="00416615" w:rsidRPr="00AE1B1D">
        <w:rPr>
          <w:noProof/>
          <w:vertAlign w:val="superscript"/>
          <w:lang w:val="en-US" w:eastAsia="en-US"/>
        </w:rPr>
        <w:t>[19]</w:t>
      </w:r>
      <w:r w:rsidR="00A349A3" w:rsidRPr="00AE1B1D">
        <w:rPr>
          <w:lang w:val="en-US" w:eastAsia="en-US"/>
        </w:rPr>
        <w:t xml:space="preserve"> Therefore, </w:t>
      </w:r>
      <w:r w:rsidR="0066271C" w:rsidRPr="00AE1B1D">
        <w:rPr>
          <w:lang w:val="en-US" w:eastAsia="en-US"/>
        </w:rPr>
        <w:t>the</w:t>
      </w:r>
      <w:r w:rsidR="00A349A3" w:rsidRPr="00AE1B1D">
        <w:rPr>
          <w:lang w:val="en-US" w:eastAsia="en-US"/>
        </w:rPr>
        <w:t xml:space="preserve"> amphiphilic character of Naringin could play a role in the interactions governing the hydrophobic micelle core. These insights are extremely important to optimize nanocarriers properties </w:t>
      </w:r>
      <w:r w:rsidR="0000078A" w:rsidRPr="00AE1B1D">
        <w:rPr>
          <w:lang w:val="en-US" w:eastAsia="en-US"/>
        </w:rPr>
        <w:t xml:space="preserve">when the </w:t>
      </w:r>
      <w:r w:rsidR="00A349A3" w:rsidRPr="00AE1B1D">
        <w:rPr>
          <w:lang w:val="en-US" w:eastAsia="en-US"/>
        </w:rPr>
        <w:t>encapsulation of flavonoids such as Naringin</w:t>
      </w:r>
      <w:r w:rsidR="0000078A" w:rsidRPr="00AE1B1D">
        <w:rPr>
          <w:lang w:val="en-US" w:eastAsia="en-US"/>
        </w:rPr>
        <w:t>,</w:t>
      </w:r>
      <w:r w:rsidR="00A349A3" w:rsidRPr="00AE1B1D">
        <w:rPr>
          <w:lang w:val="en-US" w:eastAsia="en-US"/>
        </w:rPr>
        <w:t xml:space="preserve"> or others</w:t>
      </w:r>
      <w:r w:rsidR="0000078A" w:rsidRPr="00AE1B1D">
        <w:rPr>
          <w:lang w:val="en-US" w:eastAsia="en-US"/>
        </w:rPr>
        <w:t>,</w:t>
      </w:r>
      <w:r w:rsidR="00A349A3" w:rsidRPr="00AE1B1D">
        <w:rPr>
          <w:lang w:val="en-US" w:eastAsia="en-US"/>
        </w:rPr>
        <w:t xml:space="preserve"> </w:t>
      </w:r>
      <w:r w:rsidR="0000078A" w:rsidRPr="00AE1B1D">
        <w:rPr>
          <w:lang w:val="en-US" w:eastAsia="en-US"/>
        </w:rPr>
        <w:t>is</w:t>
      </w:r>
      <w:r w:rsidR="00A349A3" w:rsidRPr="00AE1B1D">
        <w:rPr>
          <w:lang w:val="en-US" w:eastAsia="en-US"/>
        </w:rPr>
        <w:t xml:space="preserve"> envisioned.</w:t>
      </w:r>
    </w:p>
    <w:p w14:paraId="480DBCFD" w14:textId="77777777" w:rsidR="00386EB1" w:rsidRPr="00AE1B1D" w:rsidRDefault="0000078A" w:rsidP="00840046">
      <w:pPr>
        <w:spacing w:after="240" w:line="480" w:lineRule="auto"/>
        <w:ind w:firstLine="284"/>
        <w:jc w:val="both"/>
        <w:rPr>
          <w:lang w:val="en-US" w:eastAsia="en-US"/>
        </w:rPr>
      </w:pPr>
      <w:r w:rsidRPr="00AE1B1D">
        <w:rPr>
          <w:lang w:val="en-US" w:eastAsia="en-US"/>
        </w:rPr>
        <w:t>Apart from this</w:t>
      </w:r>
      <w:r w:rsidR="00E54B37" w:rsidRPr="00AE1B1D">
        <w:rPr>
          <w:lang w:val="en-US" w:eastAsia="en-US"/>
        </w:rPr>
        <w:t>,</w:t>
      </w:r>
      <w:r w:rsidRPr="00AE1B1D">
        <w:rPr>
          <w:lang w:val="en-US" w:eastAsia="en-US"/>
        </w:rPr>
        <w:t xml:space="preserve"> it is also</w:t>
      </w:r>
      <w:r w:rsidR="00386EB1" w:rsidRPr="00AE1B1D">
        <w:rPr>
          <w:lang w:val="en-US" w:eastAsia="en-US"/>
        </w:rPr>
        <w:t xml:space="preserve"> important to note that the obtained </w:t>
      </w:r>
      <w:r w:rsidRPr="00AE1B1D">
        <w:rPr>
          <w:lang w:val="en-US" w:eastAsia="en-US"/>
        </w:rPr>
        <w:t xml:space="preserve">Naringin-loaded micelles size (84.48 ± 2.44 nm) </w:t>
      </w:r>
      <w:r w:rsidR="00386EB1" w:rsidRPr="00AE1B1D">
        <w:rPr>
          <w:lang w:val="en-US" w:eastAsia="en-US"/>
        </w:rPr>
        <w:t>is suitable fo</w:t>
      </w:r>
      <w:r w:rsidRPr="00AE1B1D">
        <w:rPr>
          <w:lang w:val="en-US" w:eastAsia="en-US"/>
        </w:rPr>
        <w:t>r potential parenteral</w:t>
      </w:r>
      <w:r w:rsidR="00386EB1" w:rsidRPr="00AE1B1D">
        <w:rPr>
          <w:lang w:val="en-US" w:eastAsia="en-US"/>
        </w:rPr>
        <w:t xml:space="preserve"> delivery</w:t>
      </w:r>
      <w:r w:rsidRPr="00AE1B1D">
        <w:rPr>
          <w:lang w:val="en-US" w:eastAsia="en-US"/>
        </w:rPr>
        <w:t xml:space="preserve"> to bone tissue in the future since </w:t>
      </w:r>
      <w:r w:rsidR="00386EB1" w:rsidRPr="00AE1B1D">
        <w:rPr>
          <w:lang w:val="en-US" w:eastAsia="en-US"/>
        </w:rPr>
        <w:t xml:space="preserve">nanoparticles with diameters over 150 - 200 nm </w:t>
      </w:r>
      <w:r w:rsidRPr="00AE1B1D">
        <w:rPr>
          <w:lang w:val="en-US" w:eastAsia="en-US"/>
        </w:rPr>
        <w:t xml:space="preserve">are reported to </w:t>
      </w:r>
      <w:r w:rsidR="00386EB1" w:rsidRPr="00AE1B1D">
        <w:rPr>
          <w:lang w:val="en-US" w:eastAsia="en-US"/>
        </w:rPr>
        <w:t xml:space="preserve">accumulate significantly in </w:t>
      </w:r>
      <w:r w:rsidR="003526DA" w:rsidRPr="00AE1B1D">
        <w:rPr>
          <w:lang w:val="en-US" w:eastAsia="en-US"/>
        </w:rPr>
        <w:t>mononuclear phagocytic system (</w:t>
      </w:r>
      <w:r w:rsidR="00386EB1" w:rsidRPr="00AE1B1D">
        <w:rPr>
          <w:lang w:val="en-US" w:eastAsia="en-US"/>
        </w:rPr>
        <w:t>MPS</w:t>
      </w:r>
      <w:r w:rsidR="003526DA" w:rsidRPr="00AE1B1D">
        <w:rPr>
          <w:lang w:val="en-US" w:eastAsia="en-US"/>
        </w:rPr>
        <w:t>)</w:t>
      </w:r>
      <w:r w:rsidR="00386EB1" w:rsidRPr="00AE1B1D">
        <w:rPr>
          <w:lang w:val="en-US" w:eastAsia="en-US"/>
        </w:rPr>
        <w:t xml:space="preserve"> organs</w:t>
      </w:r>
      <w:r w:rsidR="009F6AFC" w:rsidRPr="00AE1B1D">
        <w:rPr>
          <w:lang w:val="en-US" w:eastAsia="en-US"/>
        </w:rPr>
        <w:t>.</w:t>
      </w:r>
      <w:r w:rsidR="009F6AFC" w:rsidRPr="00AE1B1D">
        <w:rPr>
          <w:noProof/>
          <w:vertAlign w:val="superscript"/>
          <w:lang w:val="en-US" w:eastAsia="en-US"/>
        </w:rPr>
        <w:t>[20]</w:t>
      </w:r>
      <w:r w:rsidR="00386EB1" w:rsidRPr="00AE1B1D">
        <w:rPr>
          <w:lang w:val="en-US" w:eastAsia="en-US"/>
        </w:rPr>
        <w:t xml:space="preserve"> Furthermore, current knowledge of the physiological barriers for bone</w:t>
      </w:r>
      <w:r w:rsidRPr="00AE1B1D">
        <w:rPr>
          <w:lang w:val="en-US" w:eastAsia="en-US"/>
        </w:rPr>
        <w:t xml:space="preserve"> nanotherapeutics</w:t>
      </w:r>
      <w:r w:rsidR="00386EB1" w:rsidRPr="00AE1B1D">
        <w:rPr>
          <w:lang w:val="en-US" w:eastAsia="en-US"/>
        </w:rPr>
        <w:t xml:space="preserve"> delivery </w:t>
      </w:r>
      <w:r w:rsidRPr="00AE1B1D">
        <w:rPr>
          <w:lang w:val="en-US" w:eastAsia="en-US"/>
        </w:rPr>
        <w:t xml:space="preserve">indicate </w:t>
      </w:r>
      <w:r w:rsidR="00386EB1" w:rsidRPr="00AE1B1D">
        <w:rPr>
          <w:lang w:val="en-US" w:eastAsia="en-US"/>
        </w:rPr>
        <w:t xml:space="preserve">that maintaining a nanocarrier size between 60 - 100 nm might be valuable for improving both para- and </w:t>
      </w:r>
      <w:r w:rsidR="00386EB1" w:rsidRPr="00AE1B1D">
        <w:rPr>
          <w:lang w:val="en-US" w:eastAsia="en-US"/>
        </w:rPr>
        <w:lastRenderedPageBreak/>
        <w:t>transcellular uptak</w:t>
      </w:r>
      <w:r w:rsidRPr="00AE1B1D">
        <w:rPr>
          <w:lang w:val="en-US" w:eastAsia="en-US"/>
        </w:rPr>
        <w:t>e</w:t>
      </w:r>
      <w:r w:rsidR="00386EB1" w:rsidRPr="00AE1B1D">
        <w:rPr>
          <w:lang w:val="en-US" w:eastAsia="en-US"/>
        </w:rPr>
        <w:t xml:space="preserve"> into the marrow stroma.</w:t>
      </w:r>
      <w:r w:rsidR="00475980" w:rsidRPr="00AE1B1D">
        <w:rPr>
          <w:noProof/>
          <w:vertAlign w:val="superscript"/>
          <w:lang w:val="en-US" w:eastAsia="en-US"/>
        </w:rPr>
        <w:t>[21]</w:t>
      </w:r>
      <w:r w:rsidR="00386EB1" w:rsidRPr="00AE1B1D">
        <w:rPr>
          <w:lang w:val="en-US" w:eastAsia="en-US"/>
        </w:rPr>
        <w:t xml:space="preserve"> From this standpoint, the nanomicelles here produced are also promising for systemic passive delivery to skeletal </w:t>
      </w:r>
      <w:r w:rsidR="00D64795" w:rsidRPr="00AE1B1D">
        <w:rPr>
          <w:lang w:val="en-US" w:eastAsia="en-US"/>
        </w:rPr>
        <w:t>sites</w:t>
      </w:r>
      <w:r w:rsidR="00386EB1" w:rsidRPr="00AE1B1D">
        <w:rPr>
          <w:lang w:val="en-US" w:eastAsia="en-US"/>
        </w:rPr>
        <w:t>.</w:t>
      </w:r>
    </w:p>
    <w:p w14:paraId="5217FF90" w14:textId="77777777" w:rsidR="00A349A3" w:rsidRPr="00AE1B1D" w:rsidRDefault="00A349A3" w:rsidP="00A349A3">
      <w:pPr>
        <w:spacing w:after="240" w:line="480" w:lineRule="auto"/>
        <w:ind w:firstLine="284"/>
        <w:jc w:val="both"/>
        <w:rPr>
          <w:lang w:val="en-US" w:eastAsia="en-US"/>
        </w:rPr>
      </w:pPr>
      <w:r w:rsidRPr="00AE1B1D">
        <w:rPr>
          <w:lang w:val="en-US" w:eastAsia="en-US"/>
        </w:rPr>
        <w:t>Regarding mPEG-MS-PLA micelles</w:t>
      </w:r>
      <w:r w:rsidR="00A54E2C" w:rsidRPr="00AE1B1D">
        <w:rPr>
          <w:lang w:val="en-US" w:eastAsia="en-US"/>
        </w:rPr>
        <w:t xml:space="preserve"> zeta potential, </w:t>
      </w:r>
      <w:r w:rsidRPr="00AE1B1D">
        <w:rPr>
          <w:lang w:val="en-US" w:eastAsia="en-US"/>
        </w:rPr>
        <w:t>both blank</w:t>
      </w:r>
      <w:r w:rsidR="0066271C" w:rsidRPr="00AE1B1D">
        <w:rPr>
          <w:lang w:val="en-US" w:eastAsia="en-US"/>
        </w:rPr>
        <w:t xml:space="preserve"> (-13.2 ± 0.8 mV)</w:t>
      </w:r>
      <w:r w:rsidRPr="00AE1B1D">
        <w:rPr>
          <w:lang w:val="en-US" w:eastAsia="en-US"/>
        </w:rPr>
        <w:t xml:space="preserve"> and Naringin-loaded </w:t>
      </w:r>
      <w:r w:rsidR="0066271C" w:rsidRPr="00AE1B1D">
        <w:rPr>
          <w:lang w:val="en-US" w:eastAsia="en-US"/>
        </w:rPr>
        <w:t>(</w:t>
      </w:r>
      <w:r w:rsidRPr="00AE1B1D">
        <w:rPr>
          <w:lang w:val="en-US" w:eastAsia="en-US"/>
        </w:rPr>
        <w:t>-12.7 ± 0.6 mV</w:t>
      </w:r>
      <w:r w:rsidR="0066271C" w:rsidRPr="00AE1B1D">
        <w:rPr>
          <w:lang w:val="en-US" w:eastAsia="en-US"/>
        </w:rPr>
        <w:t>)</w:t>
      </w:r>
      <w:r w:rsidR="00A54E2C" w:rsidRPr="00AE1B1D">
        <w:rPr>
          <w:lang w:val="en-US" w:eastAsia="en-US"/>
        </w:rPr>
        <w:t xml:space="preserve"> formulation</w:t>
      </w:r>
      <w:r w:rsidR="009F6AFC" w:rsidRPr="00AE1B1D">
        <w:rPr>
          <w:lang w:val="en-US" w:eastAsia="en-US"/>
        </w:rPr>
        <w:t xml:space="preserve">s </w:t>
      </w:r>
      <w:r w:rsidR="0066271C" w:rsidRPr="00AE1B1D">
        <w:rPr>
          <w:lang w:val="en-US" w:eastAsia="en-US"/>
        </w:rPr>
        <w:t>displayed negative potential</w:t>
      </w:r>
      <w:r w:rsidRPr="00AE1B1D">
        <w:rPr>
          <w:lang w:val="en-US" w:eastAsia="en-US"/>
        </w:rPr>
        <w:t xml:space="preserve">. These results are consistent with other studies employing PEG-PLA micelles in the </w:t>
      </w:r>
      <w:proofErr w:type="gramStart"/>
      <w:r w:rsidRPr="00AE1B1D">
        <w:rPr>
          <w:lang w:val="en-US" w:eastAsia="en-US"/>
        </w:rPr>
        <w:t>literature</w:t>
      </w:r>
      <w:r w:rsidR="00475980" w:rsidRPr="00AE1B1D">
        <w:rPr>
          <w:lang w:val="en-US" w:eastAsia="en-US"/>
        </w:rPr>
        <w:t>.</w:t>
      </w:r>
      <w:r w:rsidR="00475980" w:rsidRPr="00AE1B1D">
        <w:rPr>
          <w:noProof/>
          <w:vertAlign w:val="superscript"/>
          <w:lang w:val="en-US" w:eastAsia="en-US"/>
        </w:rPr>
        <w:t>[</w:t>
      </w:r>
      <w:proofErr w:type="gramEnd"/>
      <w:r w:rsidR="00475980" w:rsidRPr="00AE1B1D">
        <w:rPr>
          <w:noProof/>
          <w:vertAlign w:val="superscript"/>
          <w:lang w:val="en-US" w:eastAsia="en-US"/>
        </w:rPr>
        <w:t>22,23]</w:t>
      </w:r>
      <w:r w:rsidRPr="00AE1B1D">
        <w:rPr>
          <w:lang w:val="en-US" w:eastAsia="en-US"/>
        </w:rPr>
        <w:t xml:space="preserve"> The obtained surface charge values are </w:t>
      </w:r>
      <w:r w:rsidR="0066271C" w:rsidRPr="00AE1B1D">
        <w:rPr>
          <w:lang w:val="en-US" w:eastAsia="en-US"/>
        </w:rPr>
        <w:t xml:space="preserve">interesting </w:t>
      </w:r>
      <w:r w:rsidRPr="00AE1B1D">
        <w:rPr>
          <w:lang w:val="en-US" w:eastAsia="en-US"/>
        </w:rPr>
        <w:t>for</w:t>
      </w:r>
      <w:r w:rsidR="0066271C" w:rsidRPr="00AE1B1D">
        <w:rPr>
          <w:lang w:val="en-US" w:eastAsia="en-US"/>
        </w:rPr>
        <w:t xml:space="preserve"> parenteral</w:t>
      </w:r>
      <w:r w:rsidRPr="00AE1B1D">
        <w:rPr>
          <w:lang w:val="en-US" w:eastAsia="en-US"/>
        </w:rPr>
        <w:t xml:space="preserve"> delivery, </w:t>
      </w:r>
      <w:r w:rsidR="00A54E2C" w:rsidRPr="00AE1B1D">
        <w:rPr>
          <w:lang w:val="en-US" w:eastAsia="en-US"/>
        </w:rPr>
        <w:t xml:space="preserve">since </w:t>
      </w:r>
      <w:r w:rsidRPr="00AE1B1D">
        <w:rPr>
          <w:lang w:val="en-US" w:eastAsia="en-US"/>
        </w:rPr>
        <w:t>slightly negative-charged nanoparticles</w:t>
      </w:r>
      <w:r w:rsidR="0066271C" w:rsidRPr="00AE1B1D">
        <w:rPr>
          <w:lang w:val="en-US" w:eastAsia="en-US"/>
        </w:rPr>
        <w:t xml:space="preserve"> </w:t>
      </w:r>
      <w:r w:rsidRPr="00AE1B1D">
        <w:rPr>
          <w:lang w:val="en-US" w:eastAsia="en-US"/>
        </w:rPr>
        <w:t xml:space="preserve">have longer circulation times and are less prone to opsonization </w:t>
      </w:r>
      <w:r w:rsidR="0066271C" w:rsidRPr="00AE1B1D">
        <w:rPr>
          <w:lang w:val="en-US" w:eastAsia="en-US"/>
        </w:rPr>
        <w:t xml:space="preserve">by </w:t>
      </w:r>
      <w:r w:rsidR="003526DA" w:rsidRPr="00AE1B1D">
        <w:rPr>
          <w:lang w:val="en-US" w:eastAsia="en-US"/>
        </w:rPr>
        <w:t xml:space="preserve">the </w:t>
      </w:r>
      <w:r w:rsidR="0066271C" w:rsidRPr="00AE1B1D">
        <w:rPr>
          <w:lang w:val="en-US" w:eastAsia="en-US"/>
        </w:rPr>
        <w:t>MPS</w:t>
      </w:r>
      <w:r w:rsidR="00475980" w:rsidRPr="00AE1B1D">
        <w:rPr>
          <w:lang w:val="en-US" w:eastAsia="en-US"/>
        </w:rPr>
        <w:t>.</w:t>
      </w:r>
      <w:r w:rsidR="009F6AFC" w:rsidRPr="00AE1B1D">
        <w:rPr>
          <w:noProof/>
          <w:vertAlign w:val="superscript"/>
          <w:lang w:val="en-US" w:eastAsia="en-US"/>
        </w:rPr>
        <w:t>[20]</w:t>
      </w:r>
    </w:p>
    <w:p w14:paraId="7DB4265A" w14:textId="77777777" w:rsidR="00C3566B" w:rsidRPr="00AE1B1D" w:rsidRDefault="00C3566B" w:rsidP="00CE1242">
      <w:pPr>
        <w:pStyle w:val="Head1"/>
      </w:pPr>
      <w:r w:rsidRPr="00AE1B1D">
        <w:t>2.</w:t>
      </w:r>
      <w:r w:rsidR="00E743A4" w:rsidRPr="00AE1B1D">
        <w:t>2</w:t>
      </w:r>
      <w:r w:rsidRPr="00AE1B1D">
        <w:t xml:space="preserve">. </w:t>
      </w:r>
      <w:r w:rsidR="00A54E2C" w:rsidRPr="00AE1B1D">
        <w:t>Nanomicelles Morphological Characterization</w:t>
      </w:r>
    </w:p>
    <w:p w14:paraId="0330523F" w14:textId="77777777" w:rsidR="004B0FD5" w:rsidRPr="00AE1B1D" w:rsidRDefault="00C3566B" w:rsidP="003C6A96">
      <w:pPr>
        <w:spacing w:after="240" w:line="480" w:lineRule="auto"/>
        <w:ind w:firstLine="284"/>
        <w:jc w:val="both"/>
        <w:rPr>
          <w:lang w:val="en-US" w:eastAsia="en-US"/>
        </w:rPr>
      </w:pPr>
      <w:r w:rsidRPr="00AE1B1D">
        <w:rPr>
          <w:lang w:val="en-US" w:eastAsia="en-US"/>
        </w:rPr>
        <w:t xml:space="preserve">The morphology of mPEG-MS-PLA core-shell micelles was characterized by </w:t>
      </w:r>
      <w:r w:rsidR="00D94037" w:rsidRPr="00AE1B1D">
        <w:rPr>
          <w:lang w:val="en-US" w:eastAsia="en-US"/>
        </w:rPr>
        <w:t>scanning transmission electron microscopy (S</w:t>
      </w:r>
      <w:r w:rsidRPr="00AE1B1D">
        <w:rPr>
          <w:lang w:val="en-US" w:eastAsia="en-US"/>
        </w:rPr>
        <w:t>TEM</w:t>
      </w:r>
      <w:r w:rsidR="00D94037" w:rsidRPr="00AE1B1D">
        <w:rPr>
          <w:lang w:val="en-US" w:eastAsia="en-US"/>
        </w:rPr>
        <w:t>)</w:t>
      </w:r>
      <w:r w:rsidR="0066271C" w:rsidRPr="00AE1B1D">
        <w:rPr>
          <w:lang w:val="en-US" w:eastAsia="en-US"/>
        </w:rPr>
        <w:t xml:space="preserve">. </w:t>
      </w:r>
      <w:r w:rsidRPr="00AE1B1D">
        <w:rPr>
          <w:lang w:val="en-US" w:eastAsia="en-US"/>
        </w:rPr>
        <w:t xml:space="preserve">The obtained micrographs </w:t>
      </w:r>
      <w:r w:rsidR="00D94037" w:rsidRPr="00AE1B1D">
        <w:rPr>
          <w:lang w:val="en-US" w:eastAsia="en-US"/>
        </w:rPr>
        <w:t xml:space="preserve">indicate </w:t>
      </w:r>
      <w:r w:rsidRPr="00AE1B1D">
        <w:rPr>
          <w:lang w:val="en-US" w:eastAsia="en-US"/>
        </w:rPr>
        <w:t>that both blank and Naringin-loaded micelles have a</w:t>
      </w:r>
      <w:r w:rsidR="00D94037" w:rsidRPr="00AE1B1D">
        <w:rPr>
          <w:lang w:val="en-US" w:eastAsia="en-US"/>
        </w:rPr>
        <w:t xml:space="preserve"> well-defined</w:t>
      </w:r>
      <w:r w:rsidRPr="00AE1B1D">
        <w:rPr>
          <w:lang w:val="en-US" w:eastAsia="en-US"/>
        </w:rPr>
        <w:t xml:space="preserve"> spherical morphology </w:t>
      </w:r>
      <w:r w:rsidRPr="00AE1B1D">
        <w:rPr>
          <w:b/>
          <w:lang w:val="en-US" w:eastAsia="en-US"/>
        </w:rPr>
        <w:t>(</w:t>
      </w:r>
      <w:r w:rsidR="0066271C" w:rsidRPr="00AE1B1D">
        <w:rPr>
          <w:b/>
          <w:lang w:val="en-US" w:eastAsia="en-US"/>
        </w:rPr>
        <w:t>Figure</w:t>
      </w:r>
      <w:r w:rsidR="00D84E12" w:rsidRPr="00AE1B1D">
        <w:rPr>
          <w:b/>
          <w:lang w:val="en-US" w:eastAsia="en-US"/>
        </w:rPr>
        <w:t>s</w:t>
      </w:r>
      <w:r w:rsidR="0066271C" w:rsidRPr="00AE1B1D">
        <w:rPr>
          <w:lang w:val="en-US" w:eastAsia="en-US"/>
        </w:rPr>
        <w:t xml:space="preserve"> </w:t>
      </w:r>
      <w:r w:rsidR="00D84E12" w:rsidRPr="00AE1B1D">
        <w:rPr>
          <w:b/>
          <w:lang w:val="en-US" w:eastAsia="en-US"/>
        </w:rPr>
        <w:t>1D</w:t>
      </w:r>
      <w:r w:rsidR="00D84E12" w:rsidRPr="00AE1B1D">
        <w:rPr>
          <w:lang w:val="en-US" w:eastAsia="en-US"/>
        </w:rPr>
        <w:t xml:space="preserve"> and </w:t>
      </w:r>
      <w:r w:rsidR="00D84E12" w:rsidRPr="00AE1B1D">
        <w:rPr>
          <w:b/>
          <w:lang w:val="en-US" w:eastAsia="en-US"/>
        </w:rPr>
        <w:t>1E</w:t>
      </w:r>
      <w:r w:rsidRPr="00AE1B1D">
        <w:rPr>
          <w:b/>
          <w:lang w:val="en-US" w:eastAsia="en-US"/>
        </w:rPr>
        <w:t>)</w:t>
      </w:r>
      <w:r w:rsidRPr="00AE1B1D">
        <w:rPr>
          <w:lang w:val="en-US" w:eastAsia="en-US"/>
        </w:rPr>
        <w:t>.</w:t>
      </w:r>
      <w:r w:rsidR="0066271C" w:rsidRPr="00AE1B1D">
        <w:rPr>
          <w:lang w:val="en-US" w:eastAsia="en-US"/>
        </w:rPr>
        <w:t xml:space="preserve"> </w:t>
      </w:r>
      <w:r w:rsidRPr="00AE1B1D">
        <w:rPr>
          <w:lang w:val="en-US" w:eastAsia="en-US"/>
        </w:rPr>
        <w:t>The shape of nanocarriers is known to play a key role in their interaction with cell membrane at the nano-biointerface</w:t>
      </w:r>
      <w:r w:rsidR="00D94037" w:rsidRPr="00AE1B1D">
        <w:rPr>
          <w:lang w:val="en-US" w:eastAsia="en-US"/>
        </w:rPr>
        <w:t xml:space="preserve"> thus</w:t>
      </w:r>
      <w:r w:rsidRPr="00AE1B1D">
        <w:rPr>
          <w:lang w:val="en-US" w:eastAsia="en-US"/>
        </w:rPr>
        <w:t xml:space="preserve"> influencing the cellular uptake </w:t>
      </w:r>
      <w:proofErr w:type="gramStart"/>
      <w:r w:rsidR="00DB1FC4" w:rsidRPr="00AE1B1D">
        <w:rPr>
          <w:lang w:val="en-US" w:eastAsia="en-US"/>
        </w:rPr>
        <w:t>kinetics</w:t>
      </w:r>
      <w:r w:rsidR="00475980" w:rsidRPr="00AE1B1D">
        <w:rPr>
          <w:lang w:val="en-US" w:eastAsia="en-US"/>
        </w:rPr>
        <w:t>.</w:t>
      </w:r>
      <w:r w:rsidR="00475980" w:rsidRPr="00AE1B1D">
        <w:rPr>
          <w:noProof/>
          <w:vertAlign w:val="superscript"/>
          <w:lang w:val="en-US" w:eastAsia="en-US"/>
        </w:rPr>
        <w:t>[</w:t>
      </w:r>
      <w:proofErr w:type="gramEnd"/>
      <w:r w:rsidR="00475980" w:rsidRPr="00AE1B1D">
        <w:rPr>
          <w:noProof/>
          <w:vertAlign w:val="superscript"/>
          <w:lang w:val="en-US" w:eastAsia="en-US"/>
        </w:rPr>
        <w:t>24]</w:t>
      </w:r>
      <w:r w:rsidRPr="00AE1B1D">
        <w:rPr>
          <w:lang w:val="en-US" w:eastAsia="en-US"/>
        </w:rPr>
        <w:t xml:space="preserve"> </w:t>
      </w:r>
      <w:r w:rsidR="0066271C" w:rsidRPr="00AE1B1D">
        <w:rPr>
          <w:lang w:val="en-US" w:eastAsia="en-US"/>
        </w:rPr>
        <w:t>S</w:t>
      </w:r>
      <w:r w:rsidRPr="00AE1B1D">
        <w:rPr>
          <w:lang w:val="en-US" w:eastAsia="en-US"/>
        </w:rPr>
        <w:t>pherical particles have</w:t>
      </w:r>
      <w:r w:rsidR="0066271C" w:rsidRPr="00AE1B1D">
        <w:rPr>
          <w:lang w:val="en-US" w:eastAsia="en-US"/>
        </w:rPr>
        <w:t xml:space="preserve"> shown a</w:t>
      </w:r>
      <w:r w:rsidRPr="00AE1B1D">
        <w:rPr>
          <w:lang w:val="en-US" w:eastAsia="en-US"/>
        </w:rPr>
        <w:t xml:space="preserve"> significant</w:t>
      </w:r>
      <w:r w:rsidR="0066271C" w:rsidRPr="00AE1B1D">
        <w:rPr>
          <w:lang w:val="en-US" w:eastAsia="en-US"/>
        </w:rPr>
        <w:t xml:space="preserve"> cellular</w:t>
      </w:r>
      <w:r w:rsidRPr="00AE1B1D">
        <w:rPr>
          <w:lang w:val="en-US" w:eastAsia="en-US"/>
        </w:rPr>
        <w:t xml:space="preserve"> uptake </w:t>
      </w:r>
      <w:r w:rsidR="0066271C" w:rsidRPr="00AE1B1D">
        <w:rPr>
          <w:lang w:val="en-US" w:eastAsia="en-US"/>
        </w:rPr>
        <w:t xml:space="preserve">efficacy in comparison to </w:t>
      </w:r>
      <w:r w:rsidRPr="00AE1B1D">
        <w:rPr>
          <w:lang w:val="en-US" w:eastAsia="en-US"/>
        </w:rPr>
        <w:t>rods</w:t>
      </w:r>
      <w:r w:rsidR="0066271C" w:rsidRPr="00AE1B1D">
        <w:rPr>
          <w:lang w:val="en-US" w:eastAsia="en-US"/>
        </w:rPr>
        <w:t>, particularly</w:t>
      </w:r>
      <w:r w:rsidRPr="00AE1B1D">
        <w:rPr>
          <w:lang w:val="en-US" w:eastAsia="en-US"/>
        </w:rPr>
        <w:t xml:space="preserve"> for sub-100 nm nanoparticles</w:t>
      </w:r>
      <w:r w:rsidR="00475980" w:rsidRPr="00AE1B1D">
        <w:rPr>
          <w:lang w:val="en-US" w:eastAsia="en-US"/>
        </w:rPr>
        <w:t>.</w:t>
      </w:r>
      <w:r w:rsidR="00475980" w:rsidRPr="00AE1B1D">
        <w:rPr>
          <w:noProof/>
          <w:vertAlign w:val="superscript"/>
          <w:lang w:val="en-US" w:eastAsia="en-US"/>
        </w:rPr>
        <w:t>[25]</w:t>
      </w:r>
    </w:p>
    <w:p w14:paraId="6FCFDEA0" w14:textId="77777777" w:rsidR="00855E87" w:rsidRPr="00AE1B1D" w:rsidRDefault="00855E87" w:rsidP="00CE1242">
      <w:pPr>
        <w:pStyle w:val="Head1"/>
      </w:pPr>
      <w:r w:rsidRPr="00AE1B1D">
        <w:t>2.</w:t>
      </w:r>
      <w:r w:rsidR="00E743A4" w:rsidRPr="00AE1B1D">
        <w:t>3</w:t>
      </w:r>
      <w:r w:rsidRPr="00AE1B1D">
        <w:t>. Nanomicelles Colloidal Stability</w:t>
      </w:r>
      <w:r w:rsidR="00EF74C7" w:rsidRPr="00AE1B1D">
        <w:t xml:space="preserve"> Evaluation</w:t>
      </w:r>
    </w:p>
    <w:p w14:paraId="149C929F" w14:textId="77777777" w:rsidR="00855E87" w:rsidRPr="00AE1B1D" w:rsidRDefault="00855E87" w:rsidP="00855E87">
      <w:pPr>
        <w:spacing w:after="240" w:line="480" w:lineRule="auto"/>
        <w:ind w:firstLine="284"/>
        <w:jc w:val="both"/>
        <w:rPr>
          <w:lang w:val="en-US" w:eastAsia="en-US"/>
        </w:rPr>
      </w:pPr>
      <w:r w:rsidRPr="00AE1B1D">
        <w:rPr>
          <w:lang w:val="en-US" w:eastAsia="en-US"/>
        </w:rPr>
        <w:t xml:space="preserve">The colloidal stability of Naringin-loaded mPEG-MS-PLA micelles in aqueous solutions was investigated via DLS by monitoring changes in their physicochemical properties, namely particle size, PDI and </w:t>
      </w:r>
      <w:r w:rsidR="00743648" w:rsidRPr="00AE1B1D">
        <w:rPr>
          <w:lang w:val="en-US" w:eastAsia="en-US"/>
        </w:rPr>
        <w:t xml:space="preserve">zeta </w:t>
      </w:r>
      <w:r w:rsidRPr="00AE1B1D">
        <w:rPr>
          <w:lang w:val="en-US" w:eastAsia="en-US"/>
        </w:rPr>
        <w:t xml:space="preserve">potential, up to 14 days </w:t>
      </w:r>
      <w:r w:rsidRPr="00AE1B1D">
        <w:rPr>
          <w:b/>
          <w:lang w:val="en-US" w:eastAsia="en-US"/>
        </w:rPr>
        <w:t>(Figure</w:t>
      </w:r>
      <w:r w:rsidR="004B0FD5" w:rsidRPr="00AE1B1D">
        <w:rPr>
          <w:b/>
          <w:lang w:val="en-US" w:eastAsia="en-US"/>
        </w:rPr>
        <w:t xml:space="preserve"> </w:t>
      </w:r>
      <w:r w:rsidR="003526DA" w:rsidRPr="00AE1B1D">
        <w:rPr>
          <w:b/>
          <w:lang w:val="en-US" w:eastAsia="en-US"/>
        </w:rPr>
        <w:t>S</w:t>
      </w:r>
      <w:r w:rsidR="008D748B" w:rsidRPr="00AE1B1D">
        <w:rPr>
          <w:b/>
          <w:lang w:val="en-US" w:eastAsia="en-US"/>
        </w:rPr>
        <w:t>4</w:t>
      </w:r>
      <w:r w:rsidRPr="00AE1B1D">
        <w:rPr>
          <w:b/>
          <w:lang w:val="en-US" w:eastAsia="en-US"/>
        </w:rPr>
        <w:t>)</w:t>
      </w:r>
      <w:r w:rsidRPr="00AE1B1D">
        <w:rPr>
          <w:lang w:val="en-US" w:eastAsia="en-US"/>
        </w:rPr>
        <w:t>. Overall, the obtained results indicate that micelles are stable after a two-week storage period at 4</w:t>
      </w:r>
      <w:r w:rsidR="00E1738A" w:rsidRPr="00AE1B1D">
        <w:rPr>
          <w:lang w:val="en-US" w:eastAsia="en-US"/>
        </w:rPr>
        <w:t xml:space="preserve"> </w:t>
      </w:r>
      <w:r w:rsidRPr="00AE1B1D">
        <w:rPr>
          <w:lang w:val="en-US" w:eastAsia="en-US"/>
        </w:rPr>
        <w:t>ºC in both deionized water and PBS buffer at physiological pH =</w:t>
      </w:r>
      <w:r w:rsidR="00E1738A" w:rsidRPr="00AE1B1D">
        <w:rPr>
          <w:lang w:val="en-US" w:eastAsia="en-US"/>
        </w:rPr>
        <w:t xml:space="preserve"> </w:t>
      </w:r>
      <w:r w:rsidRPr="00AE1B1D">
        <w:rPr>
          <w:lang w:val="en-US" w:eastAsia="en-US"/>
        </w:rPr>
        <w:t xml:space="preserve">7.4. </w:t>
      </w:r>
      <w:r w:rsidR="00743648" w:rsidRPr="00AE1B1D">
        <w:rPr>
          <w:lang w:val="en-US" w:eastAsia="en-US"/>
        </w:rPr>
        <w:t>The</w:t>
      </w:r>
      <w:r w:rsidRPr="00AE1B1D">
        <w:rPr>
          <w:lang w:val="en-US" w:eastAsia="en-US"/>
        </w:rPr>
        <w:t xml:space="preserve"> produced micelles maintained a relatively constant particle size</w:t>
      </w:r>
      <w:r w:rsidR="00941B27" w:rsidRPr="00AE1B1D">
        <w:rPr>
          <w:lang w:val="en-US" w:eastAsia="en-US"/>
        </w:rPr>
        <w:t xml:space="preserve">, </w:t>
      </w:r>
      <w:r w:rsidRPr="00AE1B1D">
        <w:rPr>
          <w:lang w:val="en-US" w:eastAsia="en-US"/>
        </w:rPr>
        <w:t>PDI</w:t>
      </w:r>
      <w:r w:rsidR="00941B27" w:rsidRPr="00AE1B1D">
        <w:rPr>
          <w:lang w:val="en-US" w:eastAsia="en-US"/>
        </w:rPr>
        <w:t xml:space="preserve"> and zeta potential throughout the storage period, corroborating the stability of the maleimide-</w:t>
      </w:r>
      <w:proofErr w:type="spellStart"/>
      <w:r w:rsidR="00941B27" w:rsidRPr="00AE1B1D">
        <w:rPr>
          <w:lang w:val="en-US" w:eastAsia="en-US"/>
        </w:rPr>
        <w:t>alkylthiol</w:t>
      </w:r>
      <w:proofErr w:type="spellEnd"/>
      <w:r w:rsidR="00941B27" w:rsidRPr="00AE1B1D">
        <w:rPr>
          <w:lang w:val="en-US" w:eastAsia="en-US"/>
        </w:rPr>
        <w:t xml:space="preserve"> linkage in these conditions</w:t>
      </w:r>
      <w:r w:rsidRPr="00AE1B1D">
        <w:rPr>
          <w:lang w:val="en-US" w:eastAsia="en-US"/>
        </w:rPr>
        <w:t xml:space="preserve">. Regarding the micelles dispersed in PBS, they presented a slight increase in the final PDI. </w:t>
      </w:r>
      <w:r w:rsidR="00E1738A" w:rsidRPr="00AE1B1D">
        <w:rPr>
          <w:lang w:val="en-US" w:eastAsia="en-US"/>
        </w:rPr>
        <w:t>In conclusion</w:t>
      </w:r>
      <w:r w:rsidRPr="00AE1B1D">
        <w:rPr>
          <w:lang w:val="en-US" w:eastAsia="en-US"/>
        </w:rPr>
        <w:t xml:space="preserve">, the stability studies highlight a high colloidal stability of mPEG-MS-PLA </w:t>
      </w:r>
      <w:proofErr w:type="spellStart"/>
      <w:r w:rsidRPr="00AE1B1D">
        <w:rPr>
          <w:lang w:val="en-US" w:eastAsia="en-US"/>
        </w:rPr>
        <w:t>nanomicelles</w:t>
      </w:r>
      <w:proofErr w:type="spellEnd"/>
      <w:r w:rsidRPr="00AE1B1D">
        <w:rPr>
          <w:lang w:val="en-US" w:eastAsia="en-US"/>
        </w:rPr>
        <w:t>.</w:t>
      </w:r>
    </w:p>
    <w:p w14:paraId="55B196EE" w14:textId="77777777" w:rsidR="009F09A3" w:rsidRPr="00AE1B1D" w:rsidRDefault="009F09A3" w:rsidP="009F09A3">
      <w:pPr>
        <w:spacing w:after="120" w:line="360" w:lineRule="auto"/>
        <w:jc w:val="both"/>
        <w:rPr>
          <w:b/>
          <w:sz w:val="22"/>
          <w:lang w:val="en-US" w:eastAsia="en-US"/>
        </w:rPr>
      </w:pPr>
      <w:r w:rsidRPr="00AE1B1D">
        <w:rPr>
          <w:b/>
        </w:rPr>
        <w:lastRenderedPageBreak/>
        <w:t>2.</w:t>
      </w:r>
      <w:r w:rsidR="00E743A4" w:rsidRPr="00AE1B1D">
        <w:rPr>
          <w:b/>
        </w:rPr>
        <w:t>4</w:t>
      </w:r>
      <w:r w:rsidRPr="00AE1B1D">
        <w:rPr>
          <w:b/>
        </w:rPr>
        <w:t xml:space="preserve">. </w:t>
      </w:r>
      <w:r w:rsidRPr="00AE1B1D">
        <w:rPr>
          <w:b/>
          <w:lang w:val="en-US" w:eastAsia="en-US"/>
        </w:rPr>
        <w:t xml:space="preserve">Drug Encapsulation Efficiency and </w:t>
      </w:r>
      <w:r w:rsidRPr="00AE1B1D">
        <w:rPr>
          <w:b/>
          <w:i/>
          <w:lang w:val="en-US" w:eastAsia="en-US"/>
        </w:rPr>
        <w:t>In vitro</w:t>
      </w:r>
      <w:r w:rsidRPr="00AE1B1D">
        <w:rPr>
          <w:b/>
          <w:lang w:val="en-US" w:eastAsia="en-US"/>
        </w:rPr>
        <w:t xml:space="preserve"> Drug Release</w:t>
      </w:r>
    </w:p>
    <w:p w14:paraId="18F81902" w14:textId="08F87FA4" w:rsidR="009F09A3" w:rsidRPr="00AE1B1D" w:rsidRDefault="009F09A3" w:rsidP="00150C54">
      <w:pPr>
        <w:spacing w:after="240" w:line="480" w:lineRule="auto"/>
        <w:ind w:firstLine="284"/>
        <w:jc w:val="both"/>
        <w:rPr>
          <w:lang w:val="en-US" w:eastAsia="en-US"/>
        </w:rPr>
      </w:pPr>
      <w:r w:rsidRPr="00AE1B1D">
        <w:rPr>
          <w:lang w:val="en-US" w:eastAsia="en-US"/>
        </w:rPr>
        <w:t xml:space="preserve">Naringin encapsulation efficacy in </w:t>
      </w:r>
      <w:r w:rsidR="00941B27" w:rsidRPr="00AE1B1D">
        <w:rPr>
          <w:lang w:val="en-US" w:eastAsia="en-US"/>
        </w:rPr>
        <w:t xml:space="preserve">micelles </w:t>
      </w:r>
      <w:r w:rsidRPr="00AE1B1D">
        <w:rPr>
          <w:lang w:val="en-US" w:eastAsia="en-US"/>
        </w:rPr>
        <w:t xml:space="preserve">was determined by UV-VIS analysis of the characteristic flavanone peak at λ= 282 nm. The amount of encapsulated Naringin was extrapolated from Naringin calibration curve in water (concentration range from 2 </w:t>
      </w:r>
      <w:r w:rsidR="00674839" w:rsidRPr="00AE1B1D">
        <w:rPr>
          <w:lang w:val="en-US" w:eastAsia="en-US"/>
        </w:rPr>
        <w:t>to</w:t>
      </w:r>
      <w:r w:rsidRPr="00AE1B1D">
        <w:rPr>
          <w:lang w:val="en-US" w:eastAsia="en-US"/>
        </w:rPr>
        <w:t xml:space="preserve"> 100 </w:t>
      </w:r>
      <w:r w:rsidR="00FE6F1E" w:rsidRPr="00AE1B1D">
        <w:rPr>
          <w:rFonts w:ascii="Symbol" w:hAnsi="Symbol"/>
          <w:lang w:val="en-US" w:eastAsia="en-US"/>
        </w:rPr>
        <w:t></w:t>
      </w:r>
      <w:r w:rsidRPr="00AE1B1D">
        <w:rPr>
          <w:lang w:val="en-US" w:eastAsia="en-US"/>
        </w:rPr>
        <w:t>g</w:t>
      </w:r>
      <w:r w:rsidR="00150C54" w:rsidRPr="00AE1B1D">
        <w:rPr>
          <w:lang w:val="en-US" w:eastAsia="en-US"/>
        </w:rPr>
        <w:t xml:space="preserve"> </w:t>
      </w:r>
      <w:r w:rsidRPr="00AE1B1D">
        <w:rPr>
          <w:lang w:val="en-US" w:eastAsia="en-US"/>
        </w:rPr>
        <w:t>mL</w:t>
      </w:r>
      <w:r w:rsidR="00150C54" w:rsidRPr="00AE1B1D">
        <w:rPr>
          <w:vertAlign w:val="superscript"/>
          <w:lang w:val="en-US" w:eastAsia="en-US"/>
        </w:rPr>
        <w:t>-1</w:t>
      </w:r>
      <w:r w:rsidRPr="00AE1B1D">
        <w:rPr>
          <w:lang w:val="en-US" w:eastAsia="en-US"/>
        </w:rPr>
        <w:t xml:space="preserve">, </w:t>
      </w:r>
      <w:r w:rsidR="00394D62" w:rsidRPr="00AE1B1D">
        <w:rPr>
          <w:b/>
          <w:lang w:val="en-US" w:eastAsia="en-US"/>
        </w:rPr>
        <w:t>Figure S</w:t>
      </w:r>
      <w:r w:rsidR="00674839" w:rsidRPr="00AE1B1D">
        <w:rPr>
          <w:b/>
          <w:lang w:val="en-US" w:eastAsia="en-US"/>
        </w:rPr>
        <w:t>5</w:t>
      </w:r>
      <w:r w:rsidRPr="00AE1B1D">
        <w:rPr>
          <w:lang w:val="en-US" w:eastAsia="en-US"/>
        </w:rPr>
        <w:t>) The obtained data shows that mPEG-MS-PLA micelles achieved a high encapsulation efficiency of Naringin (87.2 ± 4.6 %).</w:t>
      </w:r>
    </w:p>
    <w:p w14:paraId="00E40E77" w14:textId="77777777" w:rsidR="009F09A3" w:rsidRPr="00AE1B1D" w:rsidRDefault="009F09A3" w:rsidP="00150C54">
      <w:pPr>
        <w:spacing w:after="240" w:line="480" w:lineRule="auto"/>
        <w:ind w:firstLine="284"/>
        <w:jc w:val="both"/>
        <w:rPr>
          <w:lang w:val="en-US" w:eastAsia="en-US"/>
        </w:rPr>
      </w:pPr>
      <w:r w:rsidRPr="00AE1B1D">
        <w:rPr>
          <w:lang w:val="en-US" w:eastAsia="en-US"/>
        </w:rPr>
        <w:t>It is important to emphasize that to date</w:t>
      </w:r>
      <w:r w:rsidR="00F936FB" w:rsidRPr="00AE1B1D">
        <w:rPr>
          <w:lang w:val="en-US" w:eastAsia="en-US"/>
        </w:rPr>
        <w:t xml:space="preserve">, </w:t>
      </w:r>
      <w:r w:rsidR="00E13BEE" w:rsidRPr="00AE1B1D">
        <w:rPr>
          <w:lang w:val="en-US" w:eastAsia="en-US"/>
        </w:rPr>
        <w:t xml:space="preserve">the delivery of Naringin </w:t>
      </w:r>
      <w:r w:rsidR="00F936FB" w:rsidRPr="00AE1B1D">
        <w:rPr>
          <w:lang w:val="en-US" w:eastAsia="en-US"/>
        </w:rPr>
        <w:t xml:space="preserve">to skeletal sites </w:t>
      </w:r>
      <w:r w:rsidR="00E13BEE" w:rsidRPr="00AE1B1D">
        <w:rPr>
          <w:lang w:val="en-US" w:eastAsia="en-US"/>
        </w:rPr>
        <w:t>was only attempted by impregnation in implantable scaffolds, porous composites or in surface-</w:t>
      </w:r>
      <w:proofErr w:type="gramStart"/>
      <w:r w:rsidR="00E13BEE" w:rsidRPr="00AE1B1D">
        <w:rPr>
          <w:lang w:val="en-US" w:eastAsia="en-US"/>
        </w:rPr>
        <w:t>coatings</w:t>
      </w:r>
      <w:r w:rsidR="00F936FB" w:rsidRPr="00AE1B1D">
        <w:rPr>
          <w:lang w:val="en-US" w:eastAsia="en-US"/>
        </w:rPr>
        <w:t>.</w:t>
      </w:r>
      <w:r w:rsidR="00475980" w:rsidRPr="00AE1B1D">
        <w:rPr>
          <w:noProof/>
          <w:vertAlign w:val="superscript"/>
          <w:lang w:val="en-US" w:eastAsia="en-US"/>
        </w:rPr>
        <w:t>[</w:t>
      </w:r>
      <w:proofErr w:type="gramEnd"/>
      <w:r w:rsidR="00475980" w:rsidRPr="00AE1B1D">
        <w:rPr>
          <w:noProof/>
          <w:vertAlign w:val="superscript"/>
          <w:lang w:val="en-US" w:eastAsia="en-US"/>
        </w:rPr>
        <w:t>26–29]</w:t>
      </w:r>
      <w:r w:rsidR="00E13BEE" w:rsidRPr="00AE1B1D">
        <w:rPr>
          <w:lang w:val="en-US" w:eastAsia="en-US"/>
        </w:rPr>
        <w:t xml:space="preserve"> These works focused on the development of bone graft materials either to enhance the repair of osteoporotic bone defects, or to provide a multifunctional orthopedic coating with inherent antimicrobial and pro-osteogenic properties. </w:t>
      </w:r>
      <w:r w:rsidR="00F936FB" w:rsidRPr="00AE1B1D">
        <w:rPr>
          <w:lang w:val="en-US" w:eastAsia="en-US"/>
        </w:rPr>
        <w:t>Outside of the scope of skeletal delivery, o</w:t>
      </w:r>
      <w:r w:rsidRPr="00AE1B1D">
        <w:rPr>
          <w:lang w:val="en-US" w:eastAsia="en-US"/>
        </w:rPr>
        <w:t>ne of the few examples</w:t>
      </w:r>
      <w:r w:rsidR="00E36219" w:rsidRPr="00AE1B1D">
        <w:rPr>
          <w:lang w:val="en-US" w:eastAsia="en-US"/>
        </w:rPr>
        <w:t xml:space="preserve"> focused on Naringin delivery by nanocarriers</w:t>
      </w:r>
      <w:r w:rsidRPr="00AE1B1D">
        <w:rPr>
          <w:lang w:val="en-US" w:eastAsia="en-US"/>
        </w:rPr>
        <w:t xml:space="preserve"> is the recent study performed by Feng and colleagues, in which Naringin establishe</w:t>
      </w:r>
      <w:r w:rsidR="00E36219" w:rsidRPr="00AE1B1D">
        <w:rPr>
          <w:lang w:val="en-US" w:eastAsia="en-US"/>
        </w:rPr>
        <w:t>d</w:t>
      </w:r>
      <w:r w:rsidRPr="00AE1B1D">
        <w:rPr>
          <w:lang w:val="en-US" w:eastAsia="en-US"/>
        </w:rPr>
        <w:t xml:space="preserve"> an inclusion complex with water-soluble ternary nanoparticles (particle size: 212 nm, PDI: 0.252)</w:t>
      </w:r>
      <w:r w:rsidR="00F936FB" w:rsidRPr="00AE1B1D">
        <w:rPr>
          <w:lang w:val="en-US" w:eastAsia="en-US"/>
        </w:rPr>
        <w:t>.</w:t>
      </w:r>
      <w:r w:rsidR="00475980" w:rsidRPr="00AE1B1D">
        <w:rPr>
          <w:noProof/>
          <w:vertAlign w:val="superscript"/>
          <w:lang w:val="en-US" w:eastAsia="en-US"/>
        </w:rPr>
        <w:t>[30]</w:t>
      </w:r>
      <w:r w:rsidRPr="00AE1B1D">
        <w:rPr>
          <w:lang w:val="en-US" w:eastAsia="en-US"/>
        </w:rPr>
        <w:t xml:space="preserve"> These carriers consisted of amylose, </w:t>
      </w:r>
      <w:r w:rsidR="00E31BA6" w:rsidRPr="00AE1B1D">
        <w:rPr>
          <w:rFonts w:ascii="Symbol" w:hAnsi="Symbol"/>
          <w:lang w:val="en-US" w:eastAsia="en-US"/>
        </w:rPr>
        <w:t></w:t>
      </w:r>
      <w:r w:rsidRPr="00AE1B1D">
        <w:rPr>
          <w:lang w:val="en-US" w:eastAsia="en-US"/>
        </w:rPr>
        <w:t xml:space="preserve">-linoleic acid and </w:t>
      </w:r>
      <w:r w:rsidR="00E31BA6" w:rsidRPr="00AE1B1D">
        <w:rPr>
          <w:rFonts w:ascii="Symbol" w:hAnsi="Symbol"/>
          <w:lang w:val="en-US" w:eastAsia="en-US"/>
        </w:rPr>
        <w:t></w:t>
      </w:r>
      <w:r w:rsidRPr="00AE1B1D">
        <w:rPr>
          <w:lang w:val="en-US" w:eastAsia="en-US"/>
        </w:rPr>
        <w:t xml:space="preserve">-lactoglobulin, and the aim of the study was to improve Naringin bioavailability using a food grade carrier, as well as study the physicochemical properties of this </w:t>
      </w:r>
      <w:r w:rsidR="00BB2BE3" w:rsidRPr="00AE1B1D">
        <w:rPr>
          <w:lang w:val="en-US" w:eastAsia="en-US"/>
        </w:rPr>
        <w:t>inclusion</w:t>
      </w:r>
      <w:r w:rsidRPr="00AE1B1D">
        <w:rPr>
          <w:lang w:val="en-US" w:eastAsia="en-US"/>
        </w:rPr>
        <w:t xml:space="preserve"> complex. Moreover, Naringin encapsulation efficiency within these nanocarriers was 78.7 ± 4.2% as determined via high-performance liquid chromatography</w:t>
      </w:r>
      <w:r w:rsidR="00F936FB" w:rsidRPr="00AE1B1D">
        <w:rPr>
          <w:lang w:val="en-US" w:eastAsia="en-US"/>
        </w:rPr>
        <w:t xml:space="preserve"> (HPLC)</w:t>
      </w:r>
      <w:r w:rsidRPr="00AE1B1D">
        <w:rPr>
          <w:lang w:val="en-US" w:eastAsia="en-US"/>
        </w:rPr>
        <w:t>. Considering this</w:t>
      </w:r>
      <w:r w:rsidR="00150C54" w:rsidRPr="00AE1B1D">
        <w:rPr>
          <w:lang w:val="en-US" w:eastAsia="en-US"/>
        </w:rPr>
        <w:t>,</w:t>
      </w:r>
      <w:r w:rsidR="00BB2BE3" w:rsidRPr="00AE1B1D">
        <w:rPr>
          <w:lang w:val="en-US" w:eastAsia="en-US"/>
        </w:rPr>
        <w:t xml:space="preserve"> the</w:t>
      </w:r>
      <w:r w:rsidRPr="00AE1B1D">
        <w:rPr>
          <w:lang w:val="en-US" w:eastAsia="en-US"/>
        </w:rPr>
        <w:t xml:space="preserve"> mPEG-MS-PLA </w:t>
      </w:r>
      <w:r w:rsidR="00BB2BE3" w:rsidRPr="00AE1B1D">
        <w:rPr>
          <w:lang w:val="en-US" w:eastAsia="en-US"/>
        </w:rPr>
        <w:t>micelles</w:t>
      </w:r>
      <w:r w:rsidRPr="00AE1B1D">
        <w:rPr>
          <w:lang w:val="en-US" w:eastAsia="en-US"/>
        </w:rPr>
        <w:t xml:space="preserve"> </w:t>
      </w:r>
      <w:r w:rsidR="00E31BA6" w:rsidRPr="00AE1B1D">
        <w:rPr>
          <w:lang w:val="en-US" w:eastAsia="en-US"/>
        </w:rPr>
        <w:t>here</w:t>
      </w:r>
      <w:r w:rsidR="00E36219" w:rsidRPr="00AE1B1D">
        <w:rPr>
          <w:lang w:val="en-US" w:eastAsia="en-US"/>
        </w:rPr>
        <w:t>in</w:t>
      </w:r>
      <w:r w:rsidR="00E31BA6" w:rsidRPr="00AE1B1D">
        <w:rPr>
          <w:lang w:val="en-US" w:eastAsia="en-US"/>
        </w:rPr>
        <w:t xml:space="preserve"> produced </w:t>
      </w:r>
      <w:r w:rsidR="00BB2BE3" w:rsidRPr="00AE1B1D">
        <w:rPr>
          <w:lang w:val="en-US" w:eastAsia="en-US"/>
        </w:rPr>
        <w:t xml:space="preserve">achieved </w:t>
      </w:r>
      <w:r w:rsidRPr="00AE1B1D">
        <w:rPr>
          <w:lang w:val="en-US" w:eastAsia="en-US"/>
        </w:rPr>
        <w:t xml:space="preserve">a </w:t>
      </w:r>
      <w:r w:rsidR="00562A40" w:rsidRPr="00AE1B1D">
        <w:rPr>
          <w:lang w:val="en-US" w:eastAsia="en-US"/>
        </w:rPr>
        <w:t>similar high</w:t>
      </w:r>
      <w:r w:rsidRPr="00AE1B1D">
        <w:rPr>
          <w:lang w:val="en-US" w:eastAsia="en-US"/>
        </w:rPr>
        <w:t xml:space="preserve"> encapsulation efficiency. Such is paramount to reduce the dose of nanocarriers that is required to be administered to </w:t>
      </w:r>
      <w:r w:rsidR="00BC6AD5" w:rsidRPr="00AE1B1D">
        <w:rPr>
          <w:lang w:val="en-US" w:eastAsia="en-US"/>
        </w:rPr>
        <w:t xml:space="preserve">stem cells </w:t>
      </w:r>
      <w:proofErr w:type="gramStart"/>
      <w:r w:rsidRPr="00AE1B1D">
        <w:rPr>
          <w:lang w:val="en-US" w:eastAsia="en-US"/>
        </w:rPr>
        <w:t>in order to</w:t>
      </w:r>
      <w:proofErr w:type="gramEnd"/>
      <w:r w:rsidRPr="00AE1B1D">
        <w:rPr>
          <w:lang w:val="en-US" w:eastAsia="en-US"/>
        </w:rPr>
        <w:t xml:space="preserve"> promote their osteogenic differentiation as </w:t>
      </w:r>
      <w:r w:rsidR="00E36219" w:rsidRPr="00AE1B1D">
        <w:rPr>
          <w:lang w:val="en-US" w:eastAsia="en-US"/>
        </w:rPr>
        <w:t>proposed</w:t>
      </w:r>
      <w:r w:rsidRPr="00AE1B1D">
        <w:rPr>
          <w:lang w:val="en-US" w:eastAsia="en-US"/>
        </w:rPr>
        <w:t>.</w:t>
      </w:r>
    </w:p>
    <w:p w14:paraId="480B8934" w14:textId="611DAE5C" w:rsidR="000763BB" w:rsidRPr="00AE1B1D" w:rsidRDefault="008D2E57" w:rsidP="000763BB">
      <w:pPr>
        <w:spacing w:after="240" w:line="480" w:lineRule="auto"/>
        <w:ind w:firstLine="284"/>
        <w:jc w:val="both"/>
        <w:rPr>
          <w:lang w:val="en-US" w:eastAsia="en-US"/>
        </w:rPr>
      </w:pPr>
      <w:r w:rsidRPr="00AE1B1D">
        <w:rPr>
          <w:lang w:val="en-US" w:eastAsia="en-US"/>
        </w:rPr>
        <w:t>Following encapsulation</w:t>
      </w:r>
      <w:r w:rsidR="000763BB" w:rsidRPr="00AE1B1D">
        <w:rPr>
          <w:lang w:val="en-US" w:eastAsia="en-US"/>
        </w:rPr>
        <w:t xml:space="preserve">, the </w:t>
      </w:r>
      <w:r w:rsidR="000763BB" w:rsidRPr="00AE1B1D">
        <w:rPr>
          <w:i/>
          <w:lang w:val="en-US" w:eastAsia="en-US"/>
        </w:rPr>
        <w:t>in vitro</w:t>
      </w:r>
      <w:r w:rsidR="000763BB" w:rsidRPr="00AE1B1D">
        <w:rPr>
          <w:lang w:val="en-US" w:eastAsia="en-US"/>
        </w:rPr>
        <w:t xml:space="preserve"> release profile of Naringin from mPEG-MS-PLA micelles was investigated </w:t>
      </w:r>
      <w:r w:rsidR="00E36219" w:rsidRPr="00AE1B1D">
        <w:rPr>
          <w:lang w:val="en-US" w:eastAsia="en-US"/>
        </w:rPr>
        <w:t xml:space="preserve">by the </w:t>
      </w:r>
      <w:r w:rsidR="000763BB" w:rsidRPr="00AE1B1D">
        <w:rPr>
          <w:lang w:val="en-US" w:eastAsia="en-US"/>
        </w:rPr>
        <w:t>dialysis</w:t>
      </w:r>
      <w:r w:rsidR="00E36219" w:rsidRPr="00AE1B1D">
        <w:rPr>
          <w:lang w:val="en-US" w:eastAsia="en-US"/>
        </w:rPr>
        <w:t xml:space="preserve"> method</w:t>
      </w:r>
      <w:r w:rsidR="000763BB" w:rsidRPr="00AE1B1D">
        <w:rPr>
          <w:lang w:val="en-US" w:eastAsia="en-US"/>
        </w:rPr>
        <w:t xml:space="preserve"> under sink conditions.</w:t>
      </w:r>
      <w:r w:rsidR="000763BB" w:rsidRPr="00AE1B1D">
        <w:rPr>
          <w:b/>
          <w:lang w:val="en-US" w:eastAsia="en-US"/>
        </w:rPr>
        <w:t xml:space="preserve"> (Figure </w:t>
      </w:r>
      <w:r w:rsidR="00917529" w:rsidRPr="00AE1B1D">
        <w:rPr>
          <w:b/>
          <w:lang w:val="en-US" w:eastAsia="en-US"/>
        </w:rPr>
        <w:t>2)</w:t>
      </w:r>
      <w:r w:rsidR="000763BB" w:rsidRPr="00AE1B1D">
        <w:rPr>
          <w:lang w:val="en-US" w:eastAsia="en-US"/>
        </w:rPr>
        <w:t xml:space="preserve">. This study was </w:t>
      </w:r>
      <w:r w:rsidRPr="00AE1B1D">
        <w:rPr>
          <w:lang w:val="en-US" w:eastAsia="en-US"/>
        </w:rPr>
        <w:t xml:space="preserve">performed </w:t>
      </w:r>
      <w:r w:rsidR="000763BB" w:rsidRPr="00AE1B1D">
        <w:rPr>
          <w:lang w:val="en-US" w:eastAsia="en-US"/>
        </w:rPr>
        <w:t xml:space="preserve">in PBS buffer at different pH to simulate either physiological conditions (pH = </w:t>
      </w:r>
      <w:r w:rsidR="000763BB" w:rsidRPr="00AE1B1D">
        <w:rPr>
          <w:lang w:val="en-US" w:eastAsia="en-US"/>
        </w:rPr>
        <w:lastRenderedPageBreak/>
        <w:t>7.4) or the acidic environment within the lysosomal/endosomal intracellular compartments</w:t>
      </w:r>
      <w:r w:rsidRPr="00AE1B1D">
        <w:rPr>
          <w:lang w:val="en-US" w:eastAsia="en-US"/>
        </w:rPr>
        <w:t xml:space="preserve"> (pH</w:t>
      </w:r>
      <w:r w:rsidR="00150C54" w:rsidRPr="00AE1B1D">
        <w:rPr>
          <w:lang w:val="en-US" w:eastAsia="en-US"/>
        </w:rPr>
        <w:t xml:space="preserve"> = </w:t>
      </w:r>
      <w:r w:rsidRPr="00AE1B1D">
        <w:rPr>
          <w:lang w:val="en-US" w:eastAsia="en-US"/>
        </w:rPr>
        <w:t>5.5)</w:t>
      </w:r>
      <w:r w:rsidR="00F936FB" w:rsidRPr="00AE1B1D">
        <w:rPr>
          <w:lang w:val="en-US" w:eastAsia="en-US"/>
        </w:rPr>
        <w:t>.</w:t>
      </w:r>
      <w:r w:rsidR="00475980" w:rsidRPr="00AE1B1D">
        <w:rPr>
          <w:noProof/>
          <w:vertAlign w:val="superscript"/>
          <w:lang w:val="en-US" w:eastAsia="en-US"/>
        </w:rPr>
        <w:t>[31]</w:t>
      </w:r>
      <w:r w:rsidR="000763BB" w:rsidRPr="00AE1B1D">
        <w:rPr>
          <w:lang w:val="en-US" w:eastAsia="en-US"/>
        </w:rPr>
        <w:t xml:space="preserve"> The latter was considered important since mPEG-PLA micelles are reported to be internalized via dynamin- and caveolin-dependent but also </w:t>
      </w:r>
      <w:proofErr w:type="spellStart"/>
      <w:r w:rsidR="000763BB" w:rsidRPr="00AE1B1D">
        <w:rPr>
          <w:lang w:val="en-US" w:eastAsia="en-US"/>
        </w:rPr>
        <w:t>clathrin</w:t>
      </w:r>
      <w:proofErr w:type="spellEnd"/>
      <w:r w:rsidR="000763BB" w:rsidRPr="00AE1B1D">
        <w:rPr>
          <w:lang w:val="en-US" w:eastAsia="en-US"/>
        </w:rPr>
        <w:t xml:space="preserve">-independent endocytosis </w:t>
      </w:r>
      <w:r w:rsidR="00917529" w:rsidRPr="00AE1B1D">
        <w:rPr>
          <w:lang w:val="en-US" w:eastAsia="en-US"/>
        </w:rPr>
        <w:t xml:space="preserve">pathways </w:t>
      </w:r>
      <w:r w:rsidR="000763BB" w:rsidRPr="00AE1B1D">
        <w:rPr>
          <w:lang w:val="en-US" w:eastAsia="en-US"/>
        </w:rPr>
        <w:t>which results in the formation of endo-lysosomal vesicles</w:t>
      </w:r>
      <w:r w:rsidR="00F936FB" w:rsidRPr="00AE1B1D">
        <w:rPr>
          <w:lang w:val="en-US" w:eastAsia="en-US"/>
        </w:rPr>
        <w:t>.</w:t>
      </w:r>
      <w:r w:rsidR="00475980" w:rsidRPr="00AE1B1D">
        <w:rPr>
          <w:noProof/>
          <w:vertAlign w:val="superscript"/>
          <w:lang w:val="en-US" w:eastAsia="en-US"/>
        </w:rPr>
        <w:t>[32]</w:t>
      </w:r>
    </w:p>
    <w:p w14:paraId="7D9B5C8A" w14:textId="68637692" w:rsidR="000763BB" w:rsidRPr="00AE1B1D" w:rsidRDefault="00CC7F09" w:rsidP="00946286">
      <w:pPr>
        <w:spacing w:line="480" w:lineRule="auto"/>
        <w:ind w:firstLine="284"/>
        <w:jc w:val="both"/>
        <w:rPr>
          <w:noProof/>
          <w:vertAlign w:val="superscript"/>
          <w:lang w:val="en-US" w:eastAsia="en-US"/>
        </w:rPr>
      </w:pPr>
      <w:r w:rsidRPr="00AE1B1D">
        <w:rPr>
          <w:lang w:val="en-US" w:eastAsia="en-US"/>
        </w:rPr>
        <w:t xml:space="preserve">The observed </w:t>
      </w:r>
      <w:r w:rsidR="00E36219" w:rsidRPr="00AE1B1D">
        <w:rPr>
          <w:lang w:val="en-US" w:eastAsia="en-US"/>
        </w:rPr>
        <w:t xml:space="preserve">spatiotemporal </w:t>
      </w:r>
      <w:r w:rsidRPr="00AE1B1D">
        <w:rPr>
          <w:lang w:val="en-US" w:eastAsia="en-US"/>
        </w:rPr>
        <w:t>d</w:t>
      </w:r>
      <w:r w:rsidR="006C73E2" w:rsidRPr="00AE1B1D">
        <w:rPr>
          <w:lang w:val="en-US" w:eastAsia="en-US"/>
        </w:rPr>
        <w:t xml:space="preserve">rug </w:t>
      </w:r>
      <w:r w:rsidR="000763BB" w:rsidRPr="00AE1B1D">
        <w:rPr>
          <w:lang w:val="en-US" w:eastAsia="en-US"/>
        </w:rPr>
        <w:t xml:space="preserve">release profile </w:t>
      </w:r>
      <w:r w:rsidR="006C73E2" w:rsidRPr="00AE1B1D">
        <w:rPr>
          <w:lang w:val="en-US" w:eastAsia="en-US"/>
        </w:rPr>
        <w:t>was</w:t>
      </w:r>
      <w:r w:rsidR="000763BB" w:rsidRPr="00AE1B1D">
        <w:rPr>
          <w:lang w:val="en-US" w:eastAsia="en-US"/>
        </w:rPr>
        <w:t xml:space="preserve"> similar </w:t>
      </w:r>
      <w:r w:rsidR="006C73E2" w:rsidRPr="00AE1B1D">
        <w:rPr>
          <w:lang w:val="en-US" w:eastAsia="en-US"/>
        </w:rPr>
        <w:t xml:space="preserve">at </w:t>
      </w:r>
      <w:r w:rsidR="000763BB" w:rsidRPr="00AE1B1D">
        <w:rPr>
          <w:lang w:val="en-US" w:eastAsia="en-US"/>
        </w:rPr>
        <w:t>both acidic and physiological conditions</w:t>
      </w:r>
      <w:r w:rsidR="00FE5E73" w:rsidRPr="00AE1B1D">
        <w:rPr>
          <w:lang w:val="en-US" w:eastAsia="en-US"/>
        </w:rPr>
        <w:t xml:space="preserve"> </w:t>
      </w:r>
      <w:r w:rsidR="00FE5E73" w:rsidRPr="00AE1B1D">
        <w:rPr>
          <w:b/>
          <w:lang w:val="en-US" w:eastAsia="en-US"/>
        </w:rPr>
        <w:t>(Figure 2</w:t>
      </w:r>
      <w:r w:rsidR="00E36219" w:rsidRPr="00AE1B1D">
        <w:rPr>
          <w:b/>
          <w:lang w:val="en-US" w:eastAsia="en-US"/>
        </w:rPr>
        <w:t>)</w:t>
      </w:r>
      <w:r w:rsidR="000763BB" w:rsidRPr="00AE1B1D">
        <w:rPr>
          <w:lang w:val="en-US" w:eastAsia="en-US"/>
        </w:rPr>
        <w:t xml:space="preserve">. </w:t>
      </w:r>
      <w:r w:rsidR="00E36219" w:rsidRPr="00AE1B1D">
        <w:rPr>
          <w:lang w:val="en-US" w:eastAsia="en-US"/>
        </w:rPr>
        <w:t>Interestingly</w:t>
      </w:r>
      <w:r w:rsidR="000763BB" w:rsidRPr="00AE1B1D">
        <w:rPr>
          <w:lang w:val="en-US" w:eastAsia="en-US"/>
        </w:rPr>
        <w:t>, the release profile of Naringin from mPEG-MS-PLA micelles appears to follow a biphasic release: (</w:t>
      </w:r>
      <w:proofErr w:type="spellStart"/>
      <w:r w:rsidR="000763BB" w:rsidRPr="00AE1B1D">
        <w:rPr>
          <w:lang w:val="en-US" w:eastAsia="en-US"/>
        </w:rPr>
        <w:t>i</w:t>
      </w:r>
      <w:proofErr w:type="spellEnd"/>
      <w:r w:rsidR="000763BB" w:rsidRPr="00AE1B1D">
        <w:rPr>
          <w:lang w:val="en-US" w:eastAsia="en-US"/>
        </w:rPr>
        <w:t xml:space="preserve">) a </w:t>
      </w:r>
      <w:r w:rsidR="00E36219" w:rsidRPr="00AE1B1D">
        <w:rPr>
          <w:lang w:val="en-US" w:eastAsia="en-US"/>
        </w:rPr>
        <w:t xml:space="preserve">higher rate of </w:t>
      </w:r>
      <w:r w:rsidR="000763BB" w:rsidRPr="00AE1B1D">
        <w:rPr>
          <w:lang w:val="en-US" w:eastAsia="en-US"/>
        </w:rPr>
        <w:t>release during the first hours (ca. 22% released drug within 4 h), and then (ii) a slower and sustained release over the following days</w:t>
      </w:r>
      <w:r w:rsidR="006C73E2" w:rsidRPr="00AE1B1D">
        <w:rPr>
          <w:lang w:val="en-US" w:eastAsia="en-US"/>
        </w:rPr>
        <w:t xml:space="preserve"> (Figure </w:t>
      </w:r>
      <w:r w:rsidR="00917529" w:rsidRPr="00AE1B1D">
        <w:rPr>
          <w:lang w:val="en-US" w:eastAsia="en-US"/>
        </w:rPr>
        <w:t>2B</w:t>
      </w:r>
      <w:r w:rsidR="006C73E2" w:rsidRPr="00AE1B1D">
        <w:rPr>
          <w:lang w:val="en-US" w:eastAsia="en-US"/>
        </w:rPr>
        <w:t xml:space="preserve">). </w:t>
      </w:r>
      <w:r w:rsidR="000763BB" w:rsidRPr="00AE1B1D">
        <w:rPr>
          <w:lang w:val="en-US" w:eastAsia="en-US"/>
        </w:rPr>
        <w:t xml:space="preserve">The obtained release profile </w:t>
      </w:r>
      <w:r w:rsidR="008D2E57" w:rsidRPr="00AE1B1D">
        <w:rPr>
          <w:lang w:val="en-US" w:eastAsia="en-US"/>
        </w:rPr>
        <w:t xml:space="preserve">is comparable to </w:t>
      </w:r>
      <w:r w:rsidR="000763BB" w:rsidRPr="00AE1B1D">
        <w:rPr>
          <w:lang w:val="en-US" w:eastAsia="en-US"/>
        </w:rPr>
        <w:t xml:space="preserve">the recent work by Yu and colleagues, where </w:t>
      </w:r>
      <w:r w:rsidR="008D2E57" w:rsidRPr="00AE1B1D">
        <w:rPr>
          <w:lang w:val="en-US" w:eastAsia="en-US"/>
        </w:rPr>
        <w:t xml:space="preserve">the flavanone </w:t>
      </w:r>
      <w:r w:rsidR="000763BB" w:rsidRPr="00AE1B1D">
        <w:rPr>
          <w:lang w:val="en-US" w:eastAsia="en-US"/>
        </w:rPr>
        <w:t>was loaded into a mineralized collagen coating, containing or not metal-organic frameworks (MOFs</w:t>
      </w:r>
      <w:proofErr w:type="gramStart"/>
      <w:r w:rsidR="000763BB" w:rsidRPr="00AE1B1D">
        <w:rPr>
          <w:lang w:val="en-US" w:eastAsia="en-US"/>
        </w:rPr>
        <w:t>)</w:t>
      </w:r>
      <w:r w:rsidR="00F936FB" w:rsidRPr="00AE1B1D">
        <w:rPr>
          <w:lang w:val="en-US" w:eastAsia="en-US"/>
        </w:rPr>
        <w:t>.</w:t>
      </w:r>
      <w:r w:rsidR="00475980" w:rsidRPr="00AE1B1D">
        <w:rPr>
          <w:noProof/>
          <w:vertAlign w:val="superscript"/>
          <w:lang w:val="en-US" w:eastAsia="en-US"/>
        </w:rPr>
        <w:t>[</w:t>
      </w:r>
      <w:proofErr w:type="gramEnd"/>
      <w:r w:rsidR="00475980" w:rsidRPr="00AE1B1D">
        <w:rPr>
          <w:noProof/>
          <w:vertAlign w:val="superscript"/>
          <w:lang w:val="en-US" w:eastAsia="en-US"/>
        </w:rPr>
        <w:t>28]</w:t>
      </w:r>
      <w:r w:rsidR="000763BB" w:rsidRPr="00AE1B1D">
        <w:rPr>
          <w:lang w:val="en-US" w:eastAsia="en-US"/>
        </w:rPr>
        <w:t xml:space="preserve"> In this study, the authors observed a</w:t>
      </w:r>
      <w:r w:rsidR="008D2E57" w:rsidRPr="00AE1B1D">
        <w:rPr>
          <w:lang w:val="en-US" w:eastAsia="en-US"/>
        </w:rPr>
        <w:t xml:space="preserve"> Naringin release </w:t>
      </w:r>
      <w:r w:rsidR="00562A40" w:rsidRPr="00AE1B1D">
        <w:rPr>
          <w:lang w:val="en-US" w:eastAsia="en-US"/>
        </w:rPr>
        <w:t xml:space="preserve">at 16 h </w:t>
      </w:r>
      <w:r w:rsidR="008D2E57" w:rsidRPr="00AE1B1D">
        <w:rPr>
          <w:lang w:val="en-US" w:eastAsia="en-US"/>
        </w:rPr>
        <w:t>of</w:t>
      </w:r>
      <w:r w:rsidR="000763BB" w:rsidRPr="00AE1B1D">
        <w:rPr>
          <w:lang w:val="en-US" w:eastAsia="en-US"/>
        </w:rPr>
        <w:t xml:space="preserve"> ca. 65% </w:t>
      </w:r>
      <w:r w:rsidR="008D2E57" w:rsidRPr="00AE1B1D">
        <w:rPr>
          <w:lang w:val="en-US" w:eastAsia="en-US"/>
        </w:rPr>
        <w:t xml:space="preserve">from Collagen/MOFs </w:t>
      </w:r>
      <w:r w:rsidR="000763BB" w:rsidRPr="00AE1B1D">
        <w:rPr>
          <w:lang w:val="en-US" w:eastAsia="en-US"/>
        </w:rPr>
        <w:t xml:space="preserve">and 85% </w:t>
      </w:r>
      <w:r w:rsidR="008D2E57" w:rsidRPr="00AE1B1D">
        <w:rPr>
          <w:lang w:val="en-US" w:eastAsia="en-US"/>
        </w:rPr>
        <w:t xml:space="preserve">for </w:t>
      </w:r>
      <w:r w:rsidR="000763BB" w:rsidRPr="00AE1B1D">
        <w:rPr>
          <w:lang w:val="en-US" w:eastAsia="en-US"/>
        </w:rPr>
        <w:t>Collagen</w:t>
      </w:r>
      <w:r w:rsidR="008D2E57" w:rsidRPr="00AE1B1D">
        <w:rPr>
          <w:lang w:val="en-US" w:eastAsia="en-US"/>
        </w:rPr>
        <w:t xml:space="preserve"> coating</w:t>
      </w:r>
      <w:r w:rsidR="000763BB" w:rsidRPr="00AE1B1D">
        <w:rPr>
          <w:lang w:val="en-US" w:eastAsia="en-US"/>
        </w:rPr>
        <w:t xml:space="preserve">, respectively. Interestingly, the mPEG-MS-PLA micelles from this work </w:t>
      </w:r>
      <w:r w:rsidR="006D3847" w:rsidRPr="00AE1B1D">
        <w:rPr>
          <w:lang w:val="en-US" w:eastAsia="en-US"/>
        </w:rPr>
        <w:t xml:space="preserve">only achieved </w:t>
      </w:r>
      <w:r w:rsidR="000763BB" w:rsidRPr="00AE1B1D">
        <w:rPr>
          <w:lang w:val="en-US" w:eastAsia="en-US"/>
        </w:rPr>
        <w:t xml:space="preserve">65% of released drug after 24 h, </w:t>
      </w:r>
      <w:r w:rsidR="008D2E57" w:rsidRPr="00AE1B1D">
        <w:rPr>
          <w:lang w:val="en-US" w:eastAsia="en-US"/>
        </w:rPr>
        <w:t>suggesting that</w:t>
      </w:r>
      <w:r w:rsidR="000763BB" w:rsidRPr="00AE1B1D">
        <w:rPr>
          <w:lang w:val="en-US" w:eastAsia="en-US"/>
        </w:rPr>
        <w:t xml:space="preserve"> these nanomicelles provide a</w:t>
      </w:r>
      <w:r w:rsidR="00FF3F76" w:rsidRPr="00AE1B1D">
        <w:rPr>
          <w:lang w:val="en-US" w:eastAsia="en-US"/>
        </w:rPr>
        <w:t xml:space="preserve"> </w:t>
      </w:r>
      <w:r w:rsidR="000763BB" w:rsidRPr="00AE1B1D">
        <w:rPr>
          <w:lang w:val="en-US" w:eastAsia="en-US"/>
        </w:rPr>
        <w:t xml:space="preserve">more sustained release </w:t>
      </w:r>
      <w:r w:rsidR="00FF3F76" w:rsidRPr="00AE1B1D">
        <w:rPr>
          <w:lang w:val="en-US" w:eastAsia="en-US"/>
        </w:rPr>
        <w:t xml:space="preserve">in comparison with the </w:t>
      </w:r>
      <w:r w:rsidR="000763BB" w:rsidRPr="00AE1B1D">
        <w:rPr>
          <w:lang w:val="en-US" w:eastAsia="en-US"/>
        </w:rPr>
        <w:t xml:space="preserve">reported Collagen/MOFs coatings. The authors underline the importance of both preventing an initial burst release and </w:t>
      </w:r>
      <w:r w:rsidR="008D2E57" w:rsidRPr="00AE1B1D">
        <w:rPr>
          <w:lang w:val="en-US" w:eastAsia="en-US"/>
        </w:rPr>
        <w:t>assur</w:t>
      </w:r>
      <w:r w:rsidR="00FF3F76" w:rsidRPr="00AE1B1D">
        <w:rPr>
          <w:lang w:val="en-US" w:eastAsia="en-US"/>
        </w:rPr>
        <w:t>ing</w:t>
      </w:r>
      <w:r w:rsidR="008D2E57" w:rsidRPr="00AE1B1D">
        <w:rPr>
          <w:lang w:val="en-US" w:eastAsia="en-US"/>
        </w:rPr>
        <w:t xml:space="preserve"> </w:t>
      </w:r>
      <w:r w:rsidR="000763BB" w:rsidRPr="00AE1B1D">
        <w:rPr>
          <w:lang w:val="en-US" w:eastAsia="en-US"/>
        </w:rPr>
        <w:t xml:space="preserve">a long-term sustained release of Naringin for enhancing its therapeutic potential. One of the main advantages of </w:t>
      </w:r>
      <w:r w:rsidR="00946286" w:rsidRPr="00AE1B1D">
        <w:rPr>
          <w:lang w:val="en-US" w:eastAsia="en-US"/>
        </w:rPr>
        <w:t xml:space="preserve">the nanocarrier </w:t>
      </w:r>
      <w:r w:rsidR="00FF3F76" w:rsidRPr="00AE1B1D">
        <w:rPr>
          <w:lang w:val="en-US" w:eastAsia="en-US"/>
        </w:rPr>
        <w:t xml:space="preserve">class </w:t>
      </w:r>
      <w:r w:rsidR="00946286" w:rsidRPr="00AE1B1D">
        <w:rPr>
          <w:lang w:val="en-US" w:eastAsia="en-US"/>
        </w:rPr>
        <w:t xml:space="preserve">here explored, is that polymeric </w:t>
      </w:r>
      <w:r w:rsidR="00FF3F76" w:rsidRPr="00AE1B1D">
        <w:rPr>
          <w:lang w:val="en-US" w:eastAsia="en-US"/>
        </w:rPr>
        <w:t xml:space="preserve">micelles </w:t>
      </w:r>
      <w:r w:rsidR="00946286" w:rsidRPr="00AE1B1D">
        <w:rPr>
          <w:lang w:val="en-US" w:eastAsia="en-US"/>
        </w:rPr>
        <w:t>have</w:t>
      </w:r>
      <w:r w:rsidR="000763BB" w:rsidRPr="00AE1B1D">
        <w:rPr>
          <w:lang w:val="en-US" w:eastAsia="en-US"/>
        </w:rPr>
        <w:t xml:space="preserve"> the ability</w:t>
      </w:r>
      <w:r w:rsidR="00946286" w:rsidRPr="00AE1B1D">
        <w:rPr>
          <w:lang w:val="en-US" w:eastAsia="en-US"/>
        </w:rPr>
        <w:t xml:space="preserve"> </w:t>
      </w:r>
      <w:r w:rsidR="000763BB" w:rsidRPr="00AE1B1D">
        <w:rPr>
          <w:lang w:val="en-US" w:eastAsia="en-US"/>
        </w:rPr>
        <w:t xml:space="preserve">to tune </w:t>
      </w:r>
      <w:r w:rsidR="008D2E57" w:rsidRPr="00AE1B1D">
        <w:rPr>
          <w:lang w:val="en-US" w:eastAsia="en-US"/>
        </w:rPr>
        <w:t xml:space="preserve">the </w:t>
      </w:r>
      <w:r w:rsidR="000763BB" w:rsidRPr="00AE1B1D">
        <w:rPr>
          <w:lang w:val="en-US" w:eastAsia="en-US"/>
        </w:rPr>
        <w:t>release profile via testing different polymeric architectures, such as shell or core crosslinking, or by imparting stimuli-responsiveness to the polymeric nanocarrier</w:t>
      </w:r>
      <w:r w:rsidR="00FF3F76" w:rsidRPr="00AE1B1D">
        <w:rPr>
          <w:lang w:val="en-US" w:eastAsia="en-US"/>
        </w:rPr>
        <w:t xml:space="preserve"> </w:t>
      </w:r>
      <w:proofErr w:type="gramStart"/>
      <w:r w:rsidR="00FF3F76" w:rsidRPr="00AE1B1D">
        <w:rPr>
          <w:lang w:val="en-US" w:eastAsia="en-US"/>
        </w:rPr>
        <w:t>framework</w:t>
      </w:r>
      <w:r w:rsidR="00F936FB" w:rsidRPr="00AE1B1D">
        <w:rPr>
          <w:lang w:val="en-US" w:eastAsia="en-US"/>
        </w:rPr>
        <w:t>.</w:t>
      </w:r>
      <w:r w:rsidR="00475980" w:rsidRPr="00AE1B1D">
        <w:rPr>
          <w:noProof/>
          <w:vertAlign w:val="superscript"/>
          <w:lang w:val="en-US" w:eastAsia="en-US"/>
        </w:rPr>
        <w:t>[</w:t>
      </w:r>
      <w:proofErr w:type="gramEnd"/>
      <w:r w:rsidR="00475980" w:rsidRPr="00AE1B1D">
        <w:rPr>
          <w:noProof/>
          <w:vertAlign w:val="superscript"/>
          <w:lang w:val="en-US" w:eastAsia="en-US"/>
        </w:rPr>
        <w:t>33,34]</w:t>
      </w:r>
    </w:p>
    <w:p w14:paraId="4AC8AF95" w14:textId="77777777" w:rsidR="00B17BEE" w:rsidRPr="00AE1B1D" w:rsidRDefault="00B17BEE" w:rsidP="00946286">
      <w:pPr>
        <w:spacing w:line="480" w:lineRule="auto"/>
        <w:ind w:firstLine="284"/>
        <w:jc w:val="both"/>
        <w:rPr>
          <w:lang w:val="en-US" w:eastAsia="en-US"/>
        </w:rPr>
      </w:pPr>
    </w:p>
    <w:p w14:paraId="4C3A1ED5" w14:textId="77777777" w:rsidR="00BE1499" w:rsidRPr="00AE1B1D" w:rsidRDefault="00BE1499" w:rsidP="00486640">
      <w:pPr>
        <w:spacing w:after="120" w:line="360" w:lineRule="auto"/>
        <w:jc w:val="both"/>
        <w:rPr>
          <w:b/>
          <w:sz w:val="22"/>
          <w:lang w:val="en-US" w:eastAsia="en-US"/>
        </w:rPr>
      </w:pPr>
      <w:r w:rsidRPr="00AE1B1D">
        <w:rPr>
          <w:b/>
        </w:rPr>
        <w:t>2.</w:t>
      </w:r>
      <w:r w:rsidR="002B0B58" w:rsidRPr="00AE1B1D">
        <w:rPr>
          <w:b/>
        </w:rPr>
        <w:t>5</w:t>
      </w:r>
      <w:r w:rsidRPr="00AE1B1D">
        <w:rPr>
          <w:b/>
        </w:rPr>
        <w:t xml:space="preserve">. </w:t>
      </w:r>
      <w:r w:rsidR="008D2E57" w:rsidRPr="00AE1B1D">
        <w:rPr>
          <w:b/>
          <w:lang w:val="en-US" w:eastAsia="en-US"/>
        </w:rPr>
        <w:t xml:space="preserve">Nanomicelles </w:t>
      </w:r>
      <w:r w:rsidR="0024628E" w:rsidRPr="00AE1B1D">
        <w:rPr>
          <w:b/>
          <w:lang w:val="en-US" w:eastAsia="en-US"/>
        </w:rPr>
        <w:t>C</w:t>
      </w:r>
      <w:r w:rsidR="008D2E57" w:rsidRPr="00AE1B1D">
        <w:rPr>
          <w:b/>
          <w:lang w:val="en-US" w:eastAsia="en-US"/>
        </w:rPr>
        <w:t xml:space="preserve">ellular </w:t>
      </w:r>
      <w:r w:rsidR="0024628E" w:rsidRPr="00AE1B1D">
        <w:rPr>
          <w:b/>
          <w:lang w:val="en-US" w:eastAsia="en-US"/>
        </w:rPr>
        <w:t>U</w:t>
      </w:r>
      <w:r w:rsidR="008D2E57" w:rsidRPr="00AE1B1D">
        <w:rPr>
          <w:b/>
          <w:lang w:val="en-US" w:eastAsia="en-US"/>
        </w:rPr>
        <w:t>ptake</w:t>
      </w:r>
    </w:p>
    <w:p w14:paraId="6CBD9F3A" w14:textId="3ACC605D" w:rsidR="00BE1499" w:rsidRPr="00AE1B1D" w:rsidRDefault="00BE1499" w:rsidP="003C6A96">
      <w:pPr>
        <w:spacing w:after="240" w:line="480" w:lineRule="auto"/>
        <w:ind w:firstLine="284"/>
        <w:jc w:val="both"/>
        <w:rPr>
          <w:lang w:val="en-US" w:eastAsia="en-US"/>
        </w:rPr>
      </w:pPr>
      <w:r w:rsidRPr="00AE1B1D">
        <w:rPr>
          <w:lang w:val="en-US" w:eastAsia="en-US"/>
        </w:rPr>
        <w:t xml:space="preserve">Nanocarriers cellular uptake kinetics </w:t>
      </w:r>
      <w:r w:rsidR="00BA0533" w:rsidRPr="00AE1B1D">
        <w:rPr>
          <w:lang w:val="en-US" w:eastAsia="en-US"/>
        </w:rPr>
        <w:t xml:space="preserve">in </w:t>
      </w:r>
      <w:proofErr w:type="spellStart"/>
      <w:r w:rsidR="00BA0533" w:rsidRPr="00AE1B1D">
        <w:rPr>
          <w:lang w:val="en-US" w:eastAsia="en-US"/>
        </w:rPr>
        <w:t>hASCs</w:t>
      </w:r>
      <w:proofErr w:type="spellEnd"/>
      <w:r w:rsidR="00BA0533" w:rsidRPr="00AE1B1D">
        <w:rPr>
          <w:lang w:val="en-US" w:eastAsia="en-US"/>
        </w:rPr>
        <w:t xml:space="preserve"> </w:t>
      </w:r>
      <w:r w:rsidRPr="00AE1B1D">
        <w:rPr>
          <w:lang w:val="en-US" w:eastAsia="en-US"/>
        </w:rPr>
        <w:t>were</w:t>
      </w:r>
      <w:r w:rsidR="00E72C68" w:rsidRPr="00AE1B1D">
        <w:rPr>
          <w:lang w:val="en-US" w:eastAsia="en-US"/>
        </w:rPr>
        <w:t xml:space="preserve"> initially evaluated</w:t>
      </w:r>
      <w:r w:rsidRPr="00AE1B1D">
        <w:rPr>
          <w:lang w:val="en-US" w:eastAsia="en-US"/>
        </w:rPr>
        <w:t xml:space="preserve"> by </w:t>
      </w:r>
      <w:r w:rsidR="008A4457" w:rsidRPr="00AE1B1D">
        <w:rPr>
          <w:lang w:eastAsia="en-US"/>
        </w:rPr>
        <w:t>confocal laser scanning microscopy</w:t>
      </w:r>
      <w:r w:rsidR="008A4457" w:rsidRPr="00AE1B1D">
        <w:rPr>
          <w:lang w:val="en-US" w:eastAsia="en-US"/>
        </w:rPr>
        <w:t xml:space="preserve"> (</w:t>
      </w:r>
      <w:r w:rsidRPr="00AE1B1D">
        <w:rPr>
          <w:lang w:val="en-US" w:eastAsia="en-US"/>
        </w:rPr>
        <w:t>CLSM</w:t>
      </w:r>
      <w:r w:rsidR="008A4457" w:rsidRPr="00AE1B1D">
        <w:rPr>
          <w:lang w:val="en-US" w:eastAsia="en-US"/>
        </w:rPr>
        <w:t>)</w:t>
      </w:r>
      <w:r w:rsidR="00BA0533" w:rsidRPr="00AE1B1D">
        <w:rPr>
          <w:lang w:val="en-US" w:eastAsia="en-US"/>
        </w:rPr>
        <w:t xml:space="preserve"> </w:t>
      </w:r>
      <w:r w:rsidR="00BA0533" w:rsidRPr="00AE1B1D">
        <w:rPr>
          <w:b/>
          <w:lang w:val="en-US" w:eastAsia="en-US"/>
        </w:rPr>
        <w:t>(Figure</w:t>
      </w:r>
      <w:r w:rsidR="00527EE5" w:rsidRPr="00AE1B1D">
        <w:rPr>
          <w:b/>
          <w:lang w:val="en-US" w:eastAsia="en-US"/>
        </w:rPr>
        <w:t>s</w:t>
      </w:r>
      <w:r w:rsidR="00BA0533" w:rsidRPr="00AE1B1D">
        <w:rPr>
          <w:b/>
          <w:lang w:val="en-US" w:eastAsia="en-US"/>
        </w:rPr>
        <w:t xml:space="preserve"> </w:t>
      </w:r>
      <w:r w:rsidR="00404CDA" w:rsidRPr="00AE1B1D">
        <w:rPr>
          <w:b/>
          <w:lang w:val="en-US" w:eastAsia="en-US"/>
        </w:rPr>
        <w:t>3</w:t>
      </w:r>
      <w:r w:rsidR="007F76CF" w:rsidRPr="00AE1B1D">
        <w:rPr>
          <w:b/>
          <w:lang w:val="en-US" w:eastAsia="en-US"/>
        </w:rPr>
        <w:t>A-I)</w:t>
      </w:r>
      <w:r w:rsidRPr="00AE1B1D">
        <w:rPr>
          <w:b/>
          <w:lang w:val="en-US" w:eastAsia="en-US"/>
        </w:rPr>
        <w:t xml:space="preserve">. </w:t>
      </w:r>
      <w:r w:rsidRPr="00AE1B1D">
        <w:rPr>
          <w:lang w:val="en-US" w:eastAsia="en-US"/>
        </w:rPr>
        <w:t xml:space="preserve">For </w:t>
      </w:r>
      <w:r w:rsidR="00E72C68" w:rsidRPr="00AE1B1D">
        <w:rPr>
          <w:lang w:val="en-US" w:eastAsia="en-US"/>
        </w:rPr>
        <w:t>this purpose</w:t>
      </w:r>
      <w:r w:rsidRPr="00AE1B1D">
        <w:rPr>
          <w:lang w:val="en-US" w:eastAsia="en-US"/>
        </w:rPr>
        <w:t xml:space="preserve">, </w:t>
      </w:r>
      <w:r w:rsidR="00486640" w:rsidRPr="00AE1B1D">
        <w:rPr>
          <w:lang w:val="en-US" w:eastAsia="en-US"/>
        </w:rPr>
        <w:t xml:space="preserve">fluorescent </w:t>
      </w:r>
      <w:r w:rsidR="00E72C68" w:rsidRPr="00AE1B1D">
        <w:rPr>
          <w:lang w:val="en-US" w:eastAsia="en-US"/>
        </w:rPr>
        <w:t xml:space="preserve">Coumarin-6 was encapsulated </w:t>
      </w:r>
      <w:r w:rsidR="00A367C8" w:rsidRPr="00AE1B1D">
        <w:rPr>
          <w:lang w:val="en-US" w:eastAsia="en-US"/>
        </w:rPr>
        <w:t>with</w:t>
      </w:r>
      <w:r w:rsidR="00E72C68" w:rsidRPr="00AE1B1D">
        <w:rPr>
          <w:lang w:val="en-US" w:eastAsia="en-US"/>
        </w:rPr>
        <w:t xml:space="preserve">in </w:t>
      </w:r>
      <w:r w:rsidRPr="00AE1B1D">
        <w:rPr>
          <w:lang w:val="en-US" w:eastAsia="en-US"/>
        </w:rPr>
        <w:t xml:space="preserve">mPEG-MS-PLA micelles </w:t>
      </w:r>
      <w:r w:rsidR="00E72C68" w:rsidRPr="00AE1B1D">
        <w:rPr>
          <w:lang w:val="en-US" w:eastAsia="en-US"/>
        </w:rPr>
        <w:t xml:space="preserve">and the </w:t>
      </w:r>
      <w:r w:rsidR="00A367C8" w:rsidRPr="00AE1B1D">
        <w:rPr>
          <w:lang w:val="en-US" w:eastAsia="en-US"/>
        </w:rPr>
        <w:t xml:space="preserve">loaded </w:t>
      </w:r>
      <w:r w:rsidR="00486640" w:rsidRPr="00AE1B1D">
        <w:rPr>
          <w:lang w:val="en-US" w:eastAsia="en-US"/>
        </w:rPr>
        <w:t>nano</w:t>
      </w:r>
      <w:r w:rsidR="00E72C68" w:rsidRPr="00AE1B1D">
        <w:rPr>
          <w:lang w:val="en-US" w:eastAsia="en-US"/>
        </w:rPr>
        <w:t xml:space="preserve">carriers </w:t>
      </w:r>
      <w:r w:rsidR="00E43386" w:rsidRPr="00AE1B1D">
        <w:rPr>
          <w:lang w:val="en-US" w:eastAsia="en-US"/>
        </w:rPr>
        <w:t xml:space="preserve">(particle size: 63.62 </w:t>
      </w:r>
      <w:r w:rsidR="00E43386" w:rsidRPr="00AE1B1D">
        <w:rPr>
          <w:lang w:val="en-US" w:eastAsia="en-US"/>
        </w:rPr>
        <w:lastRenderedPageBreak/>
        <w:t>± 1.62 nm, PDI: 0.176</w:t>
      </w:r>
      <w:r w:rsidR="00025D04" w:rsidRPr="00AE1B1D">
        <w:rPr>
          <w:lang w:val="en-US" w:eastAsia="en-US"/>
        </w:rPr>
        <w:t xml:space="preserve"> ± 0.003, </w:t>
      </w:r>
      <w:r w:rsidR="00025D04" w:rsidRPr="00AE1B1D">
        <w:rPr>
          <w:rFonts w:ascii="Arial" w:hAnsi="Arial" w:cs="Arial"/>
          <w:lang w:val="en-US" w:eastAsia="en-US"/>
        </w:rPr>
        <w:t>ζ</w:t>
      </w:r>
      <w:r w:rsidR="00025D04" w:rsidRPr="00AE1B1D">
        <w:rPr>
          <w:lang w:val="en-US" w:eastAsia="en-US"/>
        </w:rPr>
        <w:t xml:space="preserve">-potential: -11.8 mV ± 0.7 mV, </w:t>
      </w:r>
      <w:r w:rsidR="00025D04" w:rsidRPr="00AE1B1D">
        <w:rPr>
          <w:b/>
          <w:lang w:val="en-US" w:eastAsia="en-US"/>
        </w:rPr>
        <w:t>Figure S</w:t>
      </w:r>
      <w:r w:rsidR="00CE1242" w:rsidRPr="00AE1B1D">
        <w:rPr>
          <w:b/>
          <w:lang w:val="en-US" w:eastAsia="en-US"/>
        </w:rPr>
        <w:t>6</w:t>
      </w:r>
      <w:r w:rsidR="00025D04" w:rsidRPr="00AE1B1D">
        <w:rPr>
          <w:lang w:val="en-US" w:eastAsia="en-US"/>
        </w:rPr>
        <w:t xml:space="preserve">) </w:t>
      </w:r>
      <w:r w:rsidR="00E72C68" w:rsidRPr="00AE1B1D">
        <w:rPr>
          <w:lang w:val="en-US" w:eastAsia="en-US"/>
        </w:rPr>
        <w:t xml:space="preserve">were </w:t>
      </w:r>
      <w:r w:rsidR="00486640" w:rsidRPr="00AE1B1D">
        <w:rPr>
          <w:lang w:val="en-US" w:eastAsia="en-US"/>
        </w:rPr>
        <w:t xml:space="preserve">then </w:t>
      </w:r>
      <w:r w:rsidR="00E72C68" w:rsidRPr="00AE1B1D">
        <w:rPr>
          <w:lang w:val="en-US" w:eastAsia="en-US"/>
        </w:rPr>
        <w:t>administered to</w:t>
      </w:r>
      <w:r w:rsidRPr="00AE1B1D">
        <w:rPr>
          <w:lang w:val="en-US" w:eastAsia="en-US"/>
        </w:rPr>
        <w:t xml:space="preserve"> </w:t>
      </w:r>
      <w:proofErr w:type="spellStart"/>
      <w:r w:rsidRPr="00AE1B1D">
        <w:rPr>
          <w:lang w:val="en-US" w:eastAsia="en-US"/>
        </w:rPr>
        <w:t>hASCs</w:t>
      </w:r>
      <w:proofErr w:type="spellEnd"/>
      <w:r w:rsidR="00E72C68" w:rsidRPr="00AE1B1D">
        <w:rPr>
          <w:lang w:val="en-US" w:eastAsia="en-US"/>
        </w:rPr>
        <w:t xml:space="preserve">. As shown in Figure </w:t>
      </w:r>
      <w:r w:rsidR="00404CDA" w:rsidRPr="00AE1B1D">
        <w:rPr>
          <w:lang w:val="en-US" w:eastAsia="en-US"/>
        </w:rPr>
        <w:t>3A-C</w:t>
      </w:r>
      <w:r w:rsidR="00486640" w:rsidRPr="00AE1B1D">
        <w:rPr>
          <w:lang w:val="en-US" w:eastAsia="en-US"/>
        </w:rPr>
        <w:t xml:space="preserve">, </w:t>
      </w:r>
      <w:r w:rsidR="00E72C68" w:rsidRPr="00AE1B1D">
        <w:rPr>
          <w:lang w:val="en-US" w:eastAsia="en-US"/>
        </w:rPr>
        <w:t>nanomicelles</w:t>
      </w:r>
      <w:r w:rsidR="00E36219" w:rsidRPr="00AE1B1D">
        <w:rPr>
          <w:lang w:val="en-US" w:eastAsia="en-US"/>
        </w:rPr>
        <w:t xml:space="preserve"> were</w:t>
      </w:r>
      <w:r w:rsidR="00E72C68" w:rsidRPr="00AE1B1D">
        <w:rPr>
          <w:lang w:val="en-US" w:eastAsia="en-US"/>
        </w:rPr>
        <w:t xml:space="preserve"> localized in </w:t>
      </w:r>
      <w:proofErr w:type="spellStart"/>
      <w:r w:rsidR="00E72C68" w:rsidRPr="00AE1B1D">
        <w:rPr>
          <w:lang w:val="en-US" w:eastAsia="en-US"/>
        </w:rPr>
        <w:t>hASCs</w:t>
      </w:r>
      <w:proofErr w:type="spellEnd"/>
      <w:r w:rsidR="00E72C68" w:rsidRPr="00AE1B1D">
        <w:rPr>
          <w:lang w:val="en-US" w:eastAsia="en-US"/>
        </w:rPr>
        <w:t xml:space="preserve"> intracellular milieu </w:t>
      </w:r>
      <w:r w:rsidR="008950FF" w:rsidRPr="00AE1B1D">
        <w:rPr>
          <w:lang w:val="en-US" w:eastAsia="en-US"/>
        </w:rPr>
        <w:t>within</w:t>
      </w:r>
      <w:r w:rsidRPr="00AE1B1D">
        <w:rPr>
          <w:lang w:val="en-US" w:eastAsia="en-US"/>
        </w:rPr>
        <w:t xml:space="preserve"> 2 h </w:t>
      </w:r>
      <w:r w:rsidR="00E72C68" w:rsidRPr="00AE1B1D">
        <w:rPr>
          <w:lang w:val="en-US" w:eastAsia="en-US"/>
        </w:rPr>
        <w:t xml:space="preserve">after </w:t>
      </w:r>
      <w:r w:rsidRPr="00AE1B1D">
        <w:rPr>
          <w:lang w:val="en-US" w:eastAsia="en-US"/>
        </w:rPr>
        <w:t xml:space="preserve">incubation. </w:t>
      </w:r>
      <w:r w:rsidR="00521F96" w:rsidRPr="00AE1B1D">
        <w:rPr>
          <w:lang w:val="en-US" w:eastAsia="en-US"/>
        </w:rPr>
        <w:t xml:space="preserve">Such findings </w:t>
      </w:r>
      <w:proofErr w:type="gramStart"/>
      <w:r w:rsidR="00521F96" w:rsidRPr="00AE1B1D">
        <w:rPr>
          <w:lang w:val="en-US" w:eastAsia="en-US"/>
        </w:rPr>
        <w:t>were in agreement</w:t>
      </w:r>
      <w:proofErr w:type="gramEnd"/>
      <w:r w:rsidR="00521F96" w:rsidRPr="00AE1B1D">
        <w:rPr>
          <w:lang w:val="en-US" w:eastAsia="en-US"/>
        </w:rPr>
        <w:t xml:space="preserve"> with three</w:t>
      </w:r>
      <w:r w:rsidR="00A77BD2" w:rsidRPr="00AE1B1D">
        <w:rPr>
          <w:lang w:val="en-US" w:eastAsia="en-US"/>
        </w:rPr>
        <w:t xml:space="preserve"> </w:t>
      </w:r>
      <w:r w:rsidR="00521F96" w:rsidRPr="00AE1B1D">
        <w:rPr>
          <w:lang w:val="en-US" w:eastAsia="en-US"/>
        </w:rPr>
        <w:t xml:space="preserve">dimensional </w:t>
      </w:r>
      <w:r w:rsidR="00A77BD2" w:rsidRPr="00AE1B1D">
        <w:rPr>
          <w:lang w:val="en-US" w:eastAsia="en-US"/>
        </w:rPr>
        <w:t xml:space="preserve">(3D) </w:t>
      </w:r>
      <w:r w:rsidR="00521F96" w:rsidRPr="00AE1B1D">
        <w:rPr>
          <w:lang w:val="en-US" w:eastAsia="en-US"/>
        </w:rPr>
        <w:t xml:space="preserve">CLSM imaging of </w:t>
      </w:r>
      <w:proofErr w:type="spellStart"/>
      <w:r w:rsidR="00521F96" w:rsidRPr="00AE1B1D">
        <w:rPr>
          <w:lang w:val="en-US" w:eastAsia="en-US"/>
        </w:rPr>
        <w:t>nanomicelles</w:t>
      </w:r>
      <w:proofErr w:type="spellEnd"/>
      <w:r w:rsidR="00521F96" w:rsidRPr="00AE1B1D">
        <w:rPr>
          <w:lang w:val="en-US" w:eastAsia="en-US"/>
        </w:rPr>
        <w:t xml:space="preserve"> uptake within </w:t>
      </w:r>
      <w:proofErr w:type="spellStart"/>
      <w:r w:rsidR="00521F96" w:rsidRPr="00AE1B1D">
        <w:rPr>
          <w:lang w:val="en-US" w:eastAsia="en-US"/>
        </w:rPr>
        <w:t>hASCs</w:t>
      </w:r>
      <w:proofErr w:type="spellEnd"/>
      <w:r w:rsidR="00521F96" w:rsidRPr="00AE1B1D">
        <w:rPr>
          <w:lang w:val="en-US" w:eastAsia="en-US"/>
        </w:rPr>
        <w:t xml:space="preserve"> </w:t>
      </w:r>
      <w:r w:rsidR="00521F96" w:rsidRPr="00AE1B1D">
        <w:rPr>
          <w:b/>
          <w:lang w:val="en-US" w:eastAsia="en-US"/>
        </w:rPr>
        <w:t>(Figure S</w:t>
      </w:r>
      <w:r w:rsidR="0019045E" w:rsidRPr="00AE1B1D">
        <w:rPr>
          <w:b/>
          <w:lang w:val="en-US" w:eastAsia="en-US"/>
        </w:rPr>
        <w:t>7</w:t>
      </w:r>
      <w:r w:rsidR="00547A4D" w:rsidRPr="00AE1B1D">
        <w:rPr>
          <w:b/>
          <w:lang w:val="en-US" w:eastAsia="en-US"/>
        </w:rPr>
        <w:t>A and B</w:t>
      </w:r>
      <w:r w:rsidR="00521F96" w:rsidRPr="00AE1B1D">
        <w:rPr>
          <w:b/>
          <w:lang w:val="en-US" w:eastAsia="en-US"/>
        </w:rPr>
        <w:t>)</w:t>
      </w:r>
      <w:r w:rsidR="00521F96" w:rsidRPr="00AE1B1D">
        <w:rPr>
          <w:lang w:val="en-US" w:eastAsia="en-US"/>
        </w:rPr>
        <w:t xml:space="preserve">. Moreover, </w:t>
      </w:r>
      <w:r w:rsidR="00B17BEE" w:rsidRPr="00AE1B1D">
        <w:rPr>
          <w:lang w:val="en-US" w:eastAsia="en-US"/>
        </w:rPr>
        <w:t xml:space="preserve">micelles </w:t>
      </w:r>
      <w:r w:rsidR="00521F96" w:rsidRPr="00AE1B1D">
        <w:rPr>
          <w:lang w:val="en-US" w:eastAsia="en-US"/>
        </w:rPr>
        <w:t>internalization</w:t>
      </w:r>
      <w:r w:rsidR="00B17BEE" w:rsidRPr="00AE1B1D">
        <w:rPr>
          <w:lang w:val="en-US" w:eastAsia="en-US"/>
        </w:rPr>
        <w:t xml:space="preserve"> and trafficking into</w:t>
      </w:r>
      <w:r w:rsidR="00521F96" w:rsidRPr="00AE1B1D">
        <w:rPr>
          <w:lang w:val="en-US" w:eastAsia="en-US"/>
        </w:rPr>
        <w:t xml:space="preserve"> </w:t>
      </w:r>
      <w:proofErr w:type="spellStart"/>
      <w:r w:rsidR="00B17BEE" w:rsidRPr="00AE1B1D">
        <w:rPr>
          <w:lang w:val="en-US" w:eastAsia="en-US"/>
        </w:rPr>
        <w:t>into</w:t>
      </w:r>
      <w:proofErr w:type="spellEnd"/>
      <w:r w:rsidR="00521F96" w:rsidRPr="00AE1B1D">
        <w:rPr>
          <w:lang w:val="en-US" w:eastAsia="en-US"/>
        </w:rPr>
        <w:t xml:space="preserve"> </w:t>
      </w:r>
      <w:proofErr w:type="spellStart"/>
      <w:r w:rsidR="00521F96" w:rsidRPr="00AE1B1D">
        <w:rPr>
          <w:lang w:val="en-US" w:eastAsia="en-US"/>
        </w:rPr>
        <w:t>lyso</w:t>
      </w:r>
      <w:proofErr w:type="spellEnd"/>
      <w:r w:rsidR="00521F96" w:rsidRPr="00AE1B1D">
        <w:rPr>
          <w:lang w:val="en-US" w:eastAsia="en-US"/>
        </w:rPr>
        <w:t xml:space="preserve">/endosomal compartments was also confirmed by co-localization </w:t>
      </w:r>
      <w:r w:rsidR="00B17BEE" w:rsidRPr="00AE1B1D">
        <w:rPr>
          <w:lang w:val="en-US" w:eastAsia="en-US"/>
        </w:rPr>
        <w:t xml:space="preserve">studies </w:t>
      </w:r>
      <w:r w:rsidR="00521F96" w:rsidRPr="00AE1B1D">
        <w:rPr>
          <w:b/>
          <w:lang w:val="en-US" w:eastAsia="en-US"/>
        </w:rPr>
        <w:t>(Figure S</w:t>
      </w:r>
      <w:r w:rsidR="0019045E" w:rsidRPr="00AE1B1D">
        <w:rPr>
          <w:b/>
          <w:lang w:val="en-US" w:eastAsia="en-US"/>
        </w:rPr>
        <w:t xml:space="preserve">7C to </w:t>
      </w:r>
      <w:r w:rsidR="00D5755C" w:rsidRPr="00AE1B1D">
        <w:rPr>
          <w:b/>
          <w:lang w:val="en-US" w:eastAsia="en-US"/>
        </w:rPr>
        <w:t>E</w:t>
      </w:r>
      <w:r w:rsidR="00521F96" w:rsidRPr="00AE1B1D">
        <w:rPr>
          <w:b/>
          <w:lang w:val="en-US" w:eastAsia="en-US"/>
        </w:rPr>
        <w:t>)</w:t>
      </w:r>
      <w:r w:rsidR="00521F96" w:rsidRPr="00AE1B1D">
        <w:rPr>
          <w:lang w:val="en-US" w:eastAsia="en-US"/>
        </w:rPr>
        <w:t xml:space="preserve">. </w:t>
      </w:r>
      <w:r w:rsidRPr="00AE1B1D">
        <w:rPr>
          <w:lang w:val="en-US" w:eastAsia="en-US"/>
        </w:rPr>
        <w:t xml:space="preserve">Therefore, the obtained results show that the </w:t>
      </w:r>
      <w:r w:rsidR="00E36219" w:rsidRPr="00AE1B1D">
        <w:rPr>
          <w:lang w:val="en-US" w:eastAsia="en-US"/>
        </w:rPr>
        <w:t>formulated micellar carriers have potential to be internalized by</w:t>
      </w:r>
      <w:r w:rsidRPr="00AE1B1D">
        <w:rPr>
          <w:lang w:val="en-US" w:eastAsia="en-US"/>
        </w:rPr>
        <w:t xml:space="preserve"> these cells</w:t>
      </w:r>
      <w:r w:rsidR="00E36219" w:rsidRPr="00AE1B1D">
        <w:rPr>
          <w:lang w:val="en-US" w:eastAsia="en-US"/>
        </w:rPr>
        <w:t xml:space="preserve"> and can be used</w:t>
      </w:r>
      <w:r w:rsidRPr="00AE1B1D">
        <w:rPr>
          <w:lang w:val="en-US" w:eastAsia="en-US"/>
        </w:rPr>
        <w:t xml:space="preserve"> </w:t>
      </w:r>
      <w:r w:rsidR="00E36219" w:rsidRPr="00AE1B1D">
        <w:rPr>
          <w:lang w:val="en-US" w:eastAsia="en-US"/>
        </w:rPr>
        <w:t xml:space="preserve">for </w:t>
      </w:r>
      <w:r w:rsidRPr="00AE1B1D">
        <w:rPr>
          <w:lang w:val="en-US" w:eastAsia="en-US"/>
        </w:rPr>
        <w:t>stem cell-based therapies</w:t>
      </w:r>
      <w:r w:rsidR="007A40F4" w:rsidRPr="00AE1B1D">
        <w:rPr>
          <w:lang w:val="en-US" w:eastAsia="en-US"/>
        </w:rPr>
        <w:t>.</w:t>
      </w:r>
      <w:r w:rsidRPr="00AE1B1D">
        <w:rPr>
          <w:lang w:val="en-US" w:eastAsia="en-US"/>
        </w:rPr>
        <w:t xml:space="preserve"> Concerning this, micelles appear to localize to the perinuclear region but not adsorbed on cells surface</w:t>
      </w:r>
      <w:r w:rsidR="006E0982" w:rsidRPr="00AE1B1D">
        <w:rPr>
          <w:lang w:val="en-US" w:eastAsia="en-US"/>
        </w:rPr>
        <w:t xml:space="preserve">, which is consistent with intracellular trafficking studies </w:t>
      </w:r>
      <w:r w:rsidR="007705CC" w:rsidRPr="00AE1B1D">
        <w:rPr>
          <w:lang w:val="en-US" w:eastAsia="en-US"/>
        </w:rPr>
        <w:t xml:space="preserve">of nanocarriers </w:t>
      </w:r>
      <w:r w:rsidR="006E0982" w:rsidRPr="00AE1B1D">
        <w:rPr>
          <w:lang w:val="en-US" w:eastAsia="en-US"/>
        </w:rPr>
        <w:t xml:space="preserve">in the </w:t>
      </w:r>
      <w:proofErr w:type="gramStart"/>
      <w:r w:rsidR="006E0982" w:rsidRPr="00AE1B1D">
        <w:rPr>
          <w:lang w:val="en-US" w:eastAsia="en-US"/>
        </w:rPr>
        <w:t>literature</w:t>
      </w:r>
      <w:r w:rsidR="009D0F39" w:rsidRPr="00AE1B1D">
        <w:rPr>
          <w:lang w:val="en-US" w:eastAsia="en-US"/>
        </w:rPr>
        <w:t>.</w:t>
      </w:r>
      <w:r w:rsidR="00475980" w:rsidRPr="00AE1B1D">
        <w:rPr>
          <w:noProof/>
          <w:vertAlign w:val="superscript"/>
          <w:lang w:val="en-US" w:eastAsia="en-US"/>
        </w:rPr>
        <w:t>[</w:t>
      </w:r>
      <w:proofErr w:type="gramEnd"/>
      <w:r w:rsidR="00475980" w:rsidRPr="00AE1B1D">
        <w:rPr>
          <w:noProof/>
          <w:vertAlign w:val="superscript"/>
          <w:lang w:val="en-US" w:eastAsia="en-US"/>
        </w:rPr>
        <w:t>32</w:t>
      </w:r>
      <w:r w:rsidR="00025D04" w:rsidRPr="00AE1B1D">
        <w:rPr>
          <w:noProof/>
          <w:vertAlign w:val="superscript"/>
          <w:lang w:val="en-US" w:eastAsia="en-US"/>
        </w:rPr>
        <w:t>,35</w:t>
      </w:r>
      <w:r w:rsidR="00475980" w:rsidRPr="00AE1B1D">
        <w:rPr>
          <w:noProof/>
          <w:vertAlign w:val="superscript"/>
          <w:lang w:val="en-US" w:eastAsia="en-US"/>
        </w:rPr>
        <w:t>]</w:t>
      </w:r>
      <w:r w:rsidRPr="00AE1B1D">
        <w:rPr>
          <w:lang w:val="en-US" w:eastAsia="en-US"/>
        </w:rPr>
        <w:t xml:space="preserve"> </w:t>
      </w:r>
      <w:r w:rsidR="007A40F4" w:rsidRPr="00AE1B1D">
        <w:rPr>
          <w:lang w:val="en-US" w:eastAsia="en-US"/>
        </w:rPr>
        <w:t xml:space="preserve">Such nanocarriers </w:t>
      </w:r>
      <w:r w:rsidRPr="00AE1B1D">
        <w:rPr>
          <w:lang w:val="en-US" w:eastAsia="en-US"/>
        </w:rPr>
        <w:t>internalization is crucial for</w:t>
      </w:r>
      <w:r w:rsidR="007A40F4" w:rsidRPr="00AE1B1D">
        <w:rPr>
          <w:lang w:val="en-US" w:eastAsia="en-US"/>
        </w:rPr>
        <w:t xml:space="preserve"> assuring</w:t>
      </w:r>
      <w:r w:rsidRPr="00AE1B1D">
        <w:rPr>
          <w:lang w:val="en-US" w:eastAsia="en-US"/>
        </w:rPr>
        <w:t xml:space="preserve"> Naringin </w:t>
      </w:r>
      <w:r w:rsidR="007A40F4" w:rsidRPr="00AE1B1D">
        <w:rPr>
          <w:lang w:val="en-US" w:eastAsia="en-US"/>
        </w:rPr>
        <w:t>bioavailability in the intracellular compartment</w:t>
      </w:r>
      <w:r w:rsidRPr="00AE1B1D">
        <w:rPr>
          <w:lang w:val="en-US" w:eastAsia="en-US"/>
        </w:rPr>
        <w:t>.</w:t>
      </w:r>
    </w:p>
    <w:p w14:paraId="419269B5" w14:textId="14B9F529" w:rsidR="0046492A" w:rsidRPr="00AE1B1D" w:rsidRDefault="00BE1499" w:rsidP="0046492A">
      <w:pPr>
        <w:spacing w:after="240" w:line="480" w:lineRule="auto"/>
        <w:ind w:firstLine="284"/>
        <w:jc w:val="both"/>
        <w:rPr>
          <w:lang w:val="en-US" w:eastAsia="en-US"/>
        </w:rPr>
      </w:pPr>
      <w:r w:rsidRPr="00AE1B1D">
        <w:rPr>
          <w:lang w:val="en-US" w:eastAsia="en-US"/>
        </w:rPr>
        <w:t>In addition to CLSM data, the cellular uptake of Coum</w:t>
      </w:r>
      <w:r w:rsidR="007A40F4" w:rsidRPr="00AE1B1D">
        <w:rPr>
          <w:lang w:val="en-US" w:eastAsia="en-US"/>
        </w:rPr>
        <w:t>arin</w:t>
      </w:r>
      <w:r w:rsidRPr="00AE1B1D">
        <w:rPr>
          <w:lang w:val="en-US" w:eastAsia="en-US"/>
        </w:rPr>
        <w:t xml:space="preserve">-6 loaded micelles </w:t>
      </w:r>
      <w:r w:rsidR="00651586" w:rsidRPr="00AE1B1D">
        <w:rPr>
          <w:lang w:val="en-US" w:eastAsia="en-US"/>
        </w:rPr>
        <w:t xml:space="preserve">in </w:t>
      </w:r>
      <w:proofErr w:type="spellStart"/>
      <w:r w:rsidRPr="00AE1B1D">
        <w:rPr>
          <w:lang w:val="en-US" w:eastAsia="en-US"/>
        </w:rPr>
        <w:t>hASCs</w:t>
      </w:r>
      <w:proofErr w:type="spellEnd"/>
      <w:r w:rsidRPr="00AE1B1D">
        <w:rPr>
          <w:lang w:val="en-US" w:eastAsia="en-US"/>
        </w:rPr>
        <w:t xml:space="preserve"> was evaluated by flow cytometry (FCM)</w:t>
      </w:r>
      <w:r w:rsidR="0087098B" w:rsidRPr="00AE1B1D">
        <w:rPr>
          <w:lang w:val="en-US" w:eastAsia="en-US"/>
        </w:rPr>
        <w:t xml:space="preserve"> </w:t>
      </w:r>
      <w:r w:rsidR="0087098B" w:rsidRPr="00AE1B1D">
        <w:rPr>
          <w:b/>
          <w:lang w:val="en-US" w:eastAsia="en-US"/>
        </w:rPr>
        <w:t>(Figure</w:t>
      </w:r>
      <w:r w:rsidR="00684457" w:rsidRPr="00AE1B1D">
        <w:rPr>
          <w:b/>
          <w:lang w:val="en-US" w:eastAsia="en-US"/>
        </w:rPr>
        <w:t>s</w:t>
      </w:r>
      <w:r w:rsidR="0087098B" w:rsidRPr="00AE1B1D">
        <w:rPr>
          <w:b/>
          <w:lang w:val="en-US" w:eastAsia="en-US"/>
        </w:rPr>
        <w:t xml:space="preserve"> </w:t>
      </w:r>
      <w:r w:rsidR="00684457" w:rsidRPr="00AE1B1D">
        <w:rPr>
          <w:b/>
          <w:lang w:val="en-US" w:eastAsia="en-US"/>
        </w:rPr>
        <w:t xml:space="preserve">3J </w:t>
      </w:r>
      <w:r w:rsidR="00684457" w:rsidRPr="00AE1B1D">
        <w:rPr>
          <w:lang w:val="en-US" w:eastAsia="en-US"/>
        </w:rPr>
        <w:t xml:space="preserve">and </w:t>
      </w:r>
      <w:r w:rsidR="00527EE5" w:rsidRPr="00AE1B1D">
        <w:rPr>
          <w:b/>
          <w:lang w:val="en-US" w:eastAsia="en-US"/>
        </w:rPr>
        <w:t>3K</w:t>
      </w:r>
      <w:r w:rsidR="00684457" w:rsidRPr="00AE1B1D">
        <w:rPr>
          <w:b/>
          <w:lang w:val="en-US" w:eastAsia="en-US"/>
        </w:rPr>
        <w:t>)</w:t>
      </w:r>
      <w:r w:rsidRPr="00AE1B1D">
        <w:rPr>
          <w:lang w:val="en-US" w:eastAsia="en-US"/>
        </w:rPr>
        <w:t xml:space="preserve">. Different nanomicelles dosages (25, 50 and 100 </w:t>
      </w:r>
      <w:r w:rsidR="00FE6F1E" w:rsidRPr="00AE1B1D">
        <w:rPr>
          <w:rFonts w:ascii="Symbol" w:hAnsi="Symbol"/>
          <w:lang w:val="en-US" w:eastAsia="en-US"/>
        </w:rPr>
        <w:t></w:t>
      </w:r>
      <w:r w:rsidRPr="00AE1B1D">
        <w:rPr>
          <w:lang w:val="en-US" w:eastAsia="en-US"/>
        </w:rPr>
        <w:t xml:space="preserve">g) were incubated for 4 h prior to analysis. </w:t>
      </w:r>
      <w:r w:rsidR="0046492A" w:rsidRPr="00AE1B1D">
        <w:rPr>
          <w:lang w:val="en-US" w:eastAsia="en-US"/>
        </w:rPr>
        <w:t xml:space="preserve">FCM </w:t>
      </w:r>
      <w:r w:rsidR="0087098B" w:rsidRPr="00AE1B1D">
        <w:rPr>
          <w:lang w:val="en-US" w:eastAsia="en-US"/>
        </w:rPr>
        <w:t xml:space="preserve">data </w:t>
      </w:r>
      <w:r w:rsidR="0046492A" w:rsidRPr="00AE1B1D">
        <w:rPr>
          <w:lang w:val="en-US" w:eastAsia="en-US"/>
        </w:rPr>
        <w:t>revealed that micelles cellular uptake increased with nanomicelles dose in the tested range</w:t>
      </w:r>
      <w:r w:rsidR="003F033D" w:rsidRPr="00AE1B1D">
        <w:rPr>
          <w:lang w:val="en-US" w:eastAsia="en-US"/>
        </w:rPr>
        <w:t>,</w:t>
      </w:r>
      <w:r w:rsidR="00AF0F0A" w:rsidRPr="00AE1B1D">
        <w:rPr>
          <w:lang w:val="en-US" w:eastAsia="en-US"/>
        </w:rPr>
        <w:t xml:space="preserve"> exhibiting</w:t>
      </w:r>
      <w:r w:rsidR="0046492A" w:rsidRPr="00AE1B1D">
        <w:rPr>
          <w:lang w:val="en-US" w:eastAsia="en-US"/>
        </w:rPr>
        <w:t xml:space="preserve"> a 1.8- and 3.1-fold increase in</w:t>
      </w:r>
      <w:r w:rsidR="00CE5B3C" w:rsidRPr="00AE1B1D">
        <w:rPr>
          <w:lang w:val="en-US" w:eastAsia="en-US"/>
        </w:rPr>
        <w:t xml:space="preserve"> fluorescence intensity</w:t>
      </w:r>
      <w:r w:rsidR="0046492A" w:rsidRPr="00AE1B1D">
        <w:rPr>
          <w:lang w:val="en-US" w:eastAsia="en-US"/>
        </w:rPr>
        <w:t xml:space="preserve"> for 50 and 100 </w:t>
      </w:r>
      <w:r w:rsidR="00FE6F1E" w:rsidRPr="00AE1B1D">
        <w:rPr>
          <w:rFonts w:ascii="Symbol" w:hAnsi="Symbol"/>
          <w:lang w:val="en-US" w:eastAsia="en-US"/>
        </w:rPr>
        <w:t></w:t>
      </w:r>
      <w:r w:rsidR="0046492A" w:rsidRPr="00AE1B1D">
        <w:rPr>
          <w:lang w:val="en-US" w:eastAsia="en-US"/>
        </w:rPr>
        <w:t xml:space="preserve">g respectively compared to the lowest dose. </w:t>
      </w:r>
      <w:r w:rsidR="005E39AF" w:rsidRPr="00AE1B1D">
        <w:rPr>
          <w:lang w:val="en-US" w:eastAsia="en-US"/>
        </w:rPr>
        <w:t>Once again, t</w:t>
      </w:r>
      <w:r w:rsidR="0046492A" w:rsidRPr="00AE1B1D">
        <w:rPr>
          <w:lang w:val="en-US" w:eastAsia="en-US"/>
        </w:rPr>
        <w:t xml:space="preserve">hese findings highlight the </w:t>
      </w:r>
      <w:r w:rsidR="00F45BC5" w:rsidRPr="00AE1B1D">
        <w:rPr>
          <w:lang w:val="en-US" w:eastAsia="en-US"/>
        </w:rPr>
        <w:t>internalization</w:t>
      </w:r>
      <w:r w:rsidR="0046492A" w:rsidRPr="00AE1B1D">
        <w:rPr>
          <w:lang w:val="en-US" w:eastAsia="en-US"/>
        </w:rPr>
        <w:t xml:space="preserve"> capacity of the </w:t>
      </w:r>
      <w:r w:rsidR="005E39AF" w:rsidRPr="00AE1B1D">
        <w:rPr>
          <w:lang w:val="en-US" w:eastAsia="en-US"/>
        </w:rPr>
        <w:t>produced</w:t>
      </w:r>
      <w:r w:rsidR="0046492A" w:rsidRPr="00AE1B1D">
        <w:rPr>
          <w:lang w:val="en-US" w:eastAsia="en-US"/>
        </w:rPr>
        <w:t xml:space="preserve"> mPEG-MS-PLA micelles in these </w:t>
      </w:r>
      <w:r w:rsidR="00F45BC5" w:rsidRPr="00AE1B1D">
        <w:rPr>
          <w:lang w:val="en-US" w:eastAsia="en-US"/>
        </w:rPr>
        <w:t>cells</w:t>
      </w:r>
      <w:r w:rsidR="0046492A" w:rsidRPr="00AE1B1D">
        <w:rPr>
          <w:lang w:val="en-US" w:eastAsia="en-US"/>
        </w:rPr>
        <w:t>, thus showing promise for intracellular delivery of bioactive molecules with ability to guide their differentiation to specific lineages.</w:t>
      </w:r>
    </w:p>
    <w:p w14:paraId="28EE257D" w14:textId="77777777" w:rsidR="00CB573F" w:rsidRPr="00AE1B1D" w:rsidRDefault="00CB573F" w:rsidP="00CE1242">
      <w:pPr>
        <w:pStyle w:val="Head1"/>
      </w:pPr>
      <w:r w:rsidRPr="00AE1B1D">
        <w:t>2.</w:t>
      </w:r>
      <w:r w:rsidR="002B0B58" w:rsidRPr="00AE1B1D">
        <w:t>6</w:t>
      </w:r>
      <w:r w:rsidRPr="00AE1B1D">
        <w:t>. Cellular Viability and Proliferation Assays</w:t>
      </w:r>
    </w:p>
    <w:p w14:paraId="5320F2FE" w14:textId="036046A2" w:rsidR="00807ECF" w:rsidRPr="00AE1B1D" w:rsidRDefault="00CB573F" w:rsidP="003C6A96">
      <w:pPr>
        <w:spacing w:after="240" w:line="480" w:lineRule="auto"/>
        <w:ind w:firstLine="284"/>
        <w:jc w:val="both"/>
        <w:rPr>
          <w:lang w:val="en-US" w:eastAsia="en-US"/>
        </w:rPr>
      </w:pPr>
      <w:r w:rsidRPr="00AE1B1D">
        <w:rPr>
          <w:lang w:val="en-US" w:eastAsia="en-US"/>
        </w:rPr>
        <w:t xml:space="preserve">Although </w:t>
      </w:r>
      <w:r w:rsidR="00E66CDD" w:rsidRPr="00AE1B1D">
        <w:rPr>
          <w:lang w:val="en-US" w:eastAsia="en-US"/>
        </w:rPr>
        <w:t>m</w:t>
      </w:r>
      <w:r w:rsidRPr="00AE1B1D">
        <w:rPr>
          <w:lang w:val="en-US" w:eastAsia="en-US"/>
        </w:rPr>
        <w:t xml:space="preserve">PEG-PLA diblock copolymers are considered highly biocompatible, investigating a possible cytotoxic response due to drug dosage is </w:t>
      </w:r>
      <w:r w:rsidR="009D0F39" w:rsidRPr="00AE1B1D">
        <w:rPr>
          <w:lang w:val="en-US" w:eastAsia="en-US"/>
        </w:rPr>
        <w:t>a</w:t>
      </w:r>
      <w:r w:rsidR="00E66CDD" w:rsidRPr="00AE1B1D">
        <w:rPr>
          <w:lang w:val="en-US" w:eastAsia="en-US"/>
        </w:rPr>
        <w:t xml:space="preserve"> requirement</w:t>
      </w:r>
      <w:r w:rsidR="00600BCF" w:rsidRPr="00AE1B1D">
        <w:rPr>
          <w:lang w:val="en-US" w:eastAsia="en-US"/>
        </w:rPr>
        <w:t>.</w:t>
      </w:r>
      <w:r w:rsidR="00475980" w:rsidRPr="00AE1B1D">
        <w:rPr>
          <w:noProof/>
          <w:vertAlign w:val="superscript"/>
          <w:lang w:val="en-US" w:eastAsia="en-US"/>
        </w:rPr>
        <w:t>[22]</w:t>
      </w:r>
      <w:r w:rsidRPr="00AE1B1D">
        <w:rPr>
          <w:lang w:val="en-US" w:eastAsia="en-US"/>
        </w:rPr>
        <w:t xml:space="preserve"> Naringin flavanone has already been described as a relatively non-toxic compound in various cell lines (e.g</w:t>
      </w:r>
      <w:r w:rsidR="007E4DE4" w:rsidRPr="00AE1B1D">
        <w:rPr>
          <w:lang w:val="en-US" w:eastAsia="en-US"/>
        </w:rPr>
        <w:t>.</w:t>
      </w:r>
      <w:r w:rsidRPr="00AE1B1D">
        <w:rPr>
          <w:lang w:val="en-US" w:eastAsia="en-US"/>
        </w:rPr>
        <w:t xml:space="preserve"> MC3T3-E1, human osteoblast, UMR-106, bone marrow stromal cells)</w:t>
      </w:r>
      <w:r w:rsidR="003D4823" w:rsidRPr="00AE1B1D">
        <w:rPr>
          <w:lang w:val="en-US" w:eastAsia="en-US"/>
        </w:rPr>
        <w:t>,</w:t>
      </w:r>
      <w:r w:rsidRPr="00AE1B1D">
        <w:rPr>
          <w:lang w:val="en-US" w:eastAsia="en-US"/>
        </w:rPr>
        <w:t xml:space="preserve"> when administered </w:t>
      </w:r>
      <w:r w:rsidR="003F033D" w:rsidRPr="00AE1B1D">
        <w:rPr>
          <w:lang w:val="en-US" w:eastAsia="en-US"/>
        </w:rPr>
        <w:t xml:space="preserve">in </w:t>
      </w:r>
      <w:r w:rsidRPr="00AE1B1D">
        <w:rPr>
          <w:lang w:val="en-US" w:eastAsia="en-US"/>
        </w:rPr>
        <w:t xml:space="preserve">the range of 1 </w:t>
      </w:r>
      <w:r w:rsidR="00600BCF" w:rsidRPr="00AE1B1D">
        <w:rPr>
          <w:lang w:val="en-US" w:eastAsia="en-US"/>
        </w:rPr>
        <w:t>to</w:t>
      </w:r>
      <w:r w:rsidRPr="00AE1B1D">
        <w:rPr>
          <w:lang w:val="en-US" w:eastAsia="en-US"/>
        </w:rPr>
        <w:t xml:space="preserve"> 200 </w:t>
      </w:r>
      <w:r w:rsidR="00FE6F1E" w:rsidRPr="00AE1B1D">
        <w:rPr>
          <w:rFonts w:ascii="Symbol" w:hAnsi="Symbol"/>
          <w:lang w:val="en-US" w:eastAsia="en-US"/>
        </w:rPr>
        <w:t></w:t>
      </w:r>
      <w:r w:rsidRPr="00AE1B1D">
        <w:rPr>
          <w:lang w:val="en-US" w:eastAsia="en-US"/>
        </w:rPr>
        <w:t>g</w:t>
      </w:r>
      <w:r w:rsidR="003F033D" w:rsidRPr="00AE1B1D">
        <w:rPr>
          <w:lang w:val="en-US" w:eastAsia="en-US"/>
        </w:rPr>
        <w:t xml:space="preserve"> </w:t>
      </w:r>
      <w:r w:rsidRPr="00AE1B1D">
        <w:rPr>
          <w:lang w:val="en-US" w:eastAsia="en-US"/>
        </w:rPr>
        <w:t>mL</w:t>
      </w:r>
      <w:r w:rsidR="003F033D" w:rsidRPr="00AE1B1D">
        <w:rPr>
          <w:vertAlign w:val="superscript"/>
          <w:lang w:val="en-US" w:eastAsia="en-US"/>
        </w:rPr>
        <w:t>-1</w:t>
      </w:r>
      <w:r w:rsidR="00A37A76" w:rsidRPr="00AE1B1D">
        <w:rPr>
          <w:lang w:val="en-US" w:eastAsia="en-US"/>
        </w:rPr>
        <w:t>.</w:t>
      </w:r>
      <w:r w:rsidRPr="00AE1B1D">
        <w:rPr>
          <w:noProof/>
          <w:vertAlign w:val="superscript"/>
          <w:lang w:val="en-US" w:eastAsia="en-US"/>
        </w:rPr>
        <w:t>[6]</w:t>
      </w:r>
      <w:r w:rsidRPr="00AE1B1D">
        <w:rPr>
          <w:lang w:val="en-US" w:eastAsia="en-US"/>
        </w:rPr>
        <w:t xml:space="preserve"> However, it is important to emphasize that Naringin </w:t>
      </w:r>
      <w:r w:rsidR="000A6C88" w:rsidRPr="00AE1B1D">
        <w:rPr>
          <w:lang w:val="en-US" w:eastAsia="en-US"/>
        </w:rPr>
        <w:t xml:space="preserve">may </w:t>
      </w:r>
      <w:r w:rsidR="000A6C88" w:rsidRPr="00AE1B1D">
        <w:rPr>
          <w:lang w:val="en-US" w:eastAsia="en-US"/>
        </w:rPr>
        <w:lastRenderedPageBreak/>
        <w:t>have variable effects in different</w:t>
      </w:r>
      <w:r w:rsidRPr="00AE1B1D">
        <w:rPr>
          <w:lang w:val="en-US" w:eastAsia="en-US"/>
        </w:rPr>
        <w:t xml:space="preserve"> cell types</w:t>
      </w:r>
      <w:r w:rsidR="00A37A76" w:rsidRPr="00AE1B1D">
        <w:rPr>
          <w:lang w:val="en-US" w:eastAsia="en-US"/>
        </w:rPr>
        <w:t>.</w:t>
      </w:r>
      <w:r w:rsidRPr="00AE1B1D">
        <w:rPr>
          <w:noProof/>
          <w:vertAlign w:val="superscript"/>
          <w:lang w:val="en-US" w:eastAsia="en-US"/>
        </w:rPr>
        <w:t>[8,12]</w:t>
      </w:r>
      <w:r w:rsidRPr="00AE1B1D">
        <w:rPr>
          <w:lang w:val="en-US" w:eastAsia="en-US"/>
        </w:rPr>
        <w:t xml:space="preserve"> </w:t>
      </w:r>
      <w:r w:rsidR="00907140" w:rsidRPr="00AE1B1D">
        <w:rPr>
          <w:lang w:val="en-US" w:eastAsia="en-US"/>
        </w:rPr>
        <w:t>Therefore</w:t>
      </w:r>
      <w:r w:rsidR="0024628E" w:rsidRPr="00AE1B1D">
        <w:rPr>
          <w:lang w:val="en-US" w:eastAsia="en-US"/>
        </w:rPr>
        <w:t>,</w:t>
      </w:r>
      <w:r w:rsidR="00907140" w:rsidRPr="00AE1B1D">
        <w:rPr>
          <w:lang w:val="en-US" w:eastAsia="en-US"/>
        </w:rPr>
        <w:t xml:space="preserve"> evaluating Nari</w:t>
      </w:r>
      <w:r w:rsidR="0024628E" w:rsidRPr="00AE1B1D">
        <w:rPr>
          <w:lang w:val="en-US" w:eastAsia="en-US"/>
        </w:rPr>
        <w:t>n</w:t>
      </w:r>
      <w:r w:rsidR="00907140" w:rsidRPr="00AE1B1D">
        <w:rPr>
          <w:lang w:val="en-US" w:eastAsia="en-US"/>
        </w:rPr>
        <w:t>gin</w:t>
      </w:r>
      <w:r w:rsidR="000A6C88" w:rsidRPr="00AE1B1D">
        <w:rPr>
          <w:lang w:val="en-US" w:eastAsia="en-US"/>
        </w:rPr>
        <w:t xml:space="preserve"> effect</w:t>
      </w:r>
      <w:r w:rsidR="00907140" w:rsidRPr="00AE1B1D">
        <w:rPr>
          <w:lang w:val="en-US" w:eastAsia="en-US"/>
        </w:rPr>
        <w:t xml:space="preserve"> in</w:t>
      </w:r>
      <w:r w:rsidRPr="00AE1B1D">
        <w:rPr>
          <w:lang w:val="en-US" w:eastAsia="en-US"/>
        </w:rPr>
        <w:t xml:space="preserve"> </w:t>
      </w:r>
      <w:proofErr w:type="spellStart"/>
      <w:r w:rsidRPr="00AE1B1D">
        <w:rPr>
          <w:lang w:val="en-US" w:eastAsia="en-US"/>
        </w:rPr>
        <w:t>hASCs</w:t>
      </w:r>
      <w:proofErr w:type="spellEnd"/>
      <w:r w:rsidR="00907140" w:rsidRPr="00AE1B1D">
        <w:rPr>
          <w:lang w:val="en-US" w:eastAsia="en-US"/>
        </w:rPr>
        <w:t xml:space="preserve"> </w:t>
      </w:r>
      <w:r w:rsidR="000A6C88" w:rsidRPr="00AE1B1D">
        <w:rPr>
          <w:lang w:val="en-US" w:eastAsia="en-US"/>
        </w:rPr>
        <w:t xml:space="preserve">viability </w:t>
      </w:r>
      <w:r w:rsidRPr="00AE1B1D">
        <w:rPr>
          <w:lang w:val="en-US" w:eastAsia="en-US"/>
        </w:rPr>
        <w:t>is</w:t>
      </w:r>
      <w:r w:rsidR="00907140" w:rsidRPr="00AE1B1D">
        <w:rPr>
          <w:lang w:val="en-US" w:eastAsia="en-US"/>
        </w:rPr>
        <w:t xml:space="preserve"> important and</w:t>
      </w:r>
      <w:r w:rsidRPr="00AE1B1D">
        <w:rPr>
          <w:lang w:val="en-US" w:eastAsia="en-US"/>
        </w:rPr>
        <w:t xml:space="preserve"> a pre-requisite </w:t>
      </w:r>
      <w:r w:rsidR="00907140" w:rsidRPr="00AE1B1D">
        <w:rPr>
          <w:lang w:val="en-US" w:eastAsia="en-US"/>
        </w:rPr>
        <w:t>for</w:t>
      </w:r>
      <w:r w:rsidRPr="00AE1B1D">
        <w:rPr>
          <w:lang w:val="en-US" w:eastAsia="en-US"/>
        </w:rPr>
        <w:t xml:space="preserve"> osteogenesis induction studies. </w:t>
      </w:r>
      <w:r w:rsidR="00E66CDD" w:rsidRPr="00AE1B1D">
        <w:rPr>
          <w:lang w:val="en-US" w:eastAsia="en-US"/>
        </w:rPr>
        <w:t xml:space="preserve">The initial administration of free Naringin concentrations ranging from 5 </w:t>
      </w:r>
      <w:r w:rsidR="00600BCF" w:rsidRPr="00AE1B1D">
        <w:rPr>
          <w:lang w:val="en-US" w:eastAsia="en-US"/>
        </w:rPr>
        <w:t>to</w:t>
      </w:r>
      <w:r w:rsidR="00E66CDD" w:rsidRPr="00AE1B1D">
        <w:rPr>
          <w:lang w:val="en-US" w:eastAsia="en-US"/>
        </w:rPr>
        <w:t xml:space="preserve"> 50 </w:t>
      </w:r>
      <w:r w:rsidR="00E66CDD" w:rsidRPr="00AE1B1D">
        <w:rPr>
          <w:rFonts w:ascii="Symbol" w:hAnsi="Symbol" w:cs="Calibri"/>
          <w:lang w:val="en-US" w:eastAsia="en-US"/>
        </w:rPr>
        <w:t></w:t>
      </w:r>
      <w:r w:rsidR="00E66CDD" w:rsidRPr="00AE1B1D">
        <w:rPr>
          <w:lang w:val="en-US" w:eastAsia="en-US"/>
        </w:rPr>
        <w:t>g</w:t>
      </w:r>
      <w:r w:rsidR="00600BCF" w:rsidRPr="00AE1B1D">
        <w:rPr>
          <w:lang w:val="en-US" w:eastAsia="en-US"/>
        </w:rPr>
        <w:t xml:space="preserve"> mL</w:t>
      </w:r>
      <w:r w:rsidR="00600BCF" w:rsidRPr="00AE1B1D">
        <w:rPr>
          <w:vertAlign w:val="superscript"/>
          <w:lang w:val="en-US" w:eastAsia="en-US"/>
        </w:rPr>
        <w:t>-1</w:t>
      </w:r>
      <w:r w:rsidR="00600BCF" w:rsidRPr="00AE1B1D">
        <w:rPr>
          <w:lang w:val="en-US" w:eastAsia="en-US"/>
        </w:rPr>
        <w:t xml:space="preserve"> s</w:t>
      </w:r>
      <w:r w:rsidR="00E66CDD" w:rsidRPr="00AE1B1D">
        <w:rPr>
          <w:lang w:val="en-US" w:eastAsia="en-US"/>
        </w:rPr>
        <w:t>howed no significant changes in cell viability across all studied time points (</w:t>
      </w:r>
      <w:r w:rsidR="00E66CDD" w:rsidRPr="00AE1B1D">
        <w:rPr>
          <w:b/>
          <w:lang w:val="en-US" w:eastAsia="en-US"/>
        </w:rPr>
        <w:t>Figure S</w:t>
      </w:r>
      <w:r w:rsidR="003F4E9E" w:rsidRPr="00AE1B1D">
        <w:rPr>
          <w:b/>
          <w:lang w:val="en-US" w:eastAsia="en-US"/>
        </w:rPr>
        <w:t>8</w:t>
      </w:r>
      <w:r w:rsidR="00ED7D44" w:rsidRPr="00AE1B1D">
        <w:rPr>
          <w:b/>
          <w:lang w:val="en-US" w:eastAsia="en-US"/>
        </w:rPr>
        <w:t>A</w:t>
      </w:r>
      <w:r w:rsidR="00E66CDD" w:rsidRPr="00AE1B1D">
        <w:rPr>
          <w:lang w:val="en-US" w:eastAsia="en-US"/>
        </w:rPr>
        <w:t xml:space="preserve">), highlighting </w:t>
      </w:r>
      <w:r w:rsidR="00600BCF" w:rsidRPr="00AE1B1D">
        <w:rPr>
          <w:lang w:val="en-US" w:eastAsia="en-US"/>
        </w:rPr>
        <w:t>its</w:t>
      </w:r>
      <w:r w:rsidR="00E66CDD" w:rsidRPr="00AE1B1D">
        <w:rPr>
          <w:lang w:val="en-US" w:eastAsia="en-US"/>
        </w:rPr>
        <w:t xml:space="preserve"> non-toxic features. Moreover, the</w:t>
      </w:r>
      <w:r w:rsidR="00807ECF" w:rsidRPr="00AE1B1D">
        <w:rPr>
          <w:lang w:val="en-US" w:eastAsia="en-US"/>
        </w:rPr>
        <w:t xml:space="preserve"> </w:t>
      </w:r>
      <w:r w:rsidR="00E66CDD" w:rsidRPr="00AE1B1D">
        <w:rPr>
          <w:lang w:val="en-US" w:eastAsia="en-US"/>
        </w:rPr>
        <w:t xml:space="preserve">obtained results </w:t>
      </w:r>
      <w:r w:rsidR="00807ECF" w:rsidRPr="00AE1B1D">
        <w:rPr>
          <w:lang w:val="en-US" w:eastAsia="en-US"/>
        </w:rPr>
        <w:t>show that</w:t>
      </w:r>
      <w:r w:rsidR="00E66CDD" w:rsidRPr="00AE1B1D">
        <w:rPr>
          <w:lang w:val="en-US" w:eastAsia="en-US"/>
        </w:rPr>
        <w:t xml:space="preserve"> both blank and Naringin-loaded</w:t>
      </w:r>
      <w:r w:rsidR="00807ECF" w:rsidRPr="00AE1B1D">
        <w:rPr>
          <w:lang w:val="en-US" w:eastAsia="en-US"/>
        </w:rPr>
        <w:t xml:space="preserve"> </w:t>
      </w:r>
      <w:r w:rsidR="00E66CDD" w:rsidRPr="00AE1B1D">
        <w:rPr>
          <w:lang w:val="en-US" w:eastAsia="en-US"/>
        </w:rPr>
        <w:t>polymeric</w:t>
      </w:r>
      <w:r w:rsidR="00807ECF" w:rsidRPr="00AE1B1D">
        <w:rPr>
          <w:lang w:val="en-US" w:eastAsia="en-US"/>
        </w:rPr>
        <w:t xml:space="preserve"> nanocarriers maintained their biocompatible profile</w:t>
      </w:r>
      <w:r w:rsidR="00600BCF" w:rsidRPr="00AE1B1D">
        <w:rPr>
          <w:lang w:val="en-US" w:eastAsia="en-US"/>
        </w:rPr>
        <w:t xml:space="preserve"> </w:t>
      </w:r>
      <w:r w:rsidR="007705CC" w:rsidRPr="00AE1B1D">
        <w:rPr>
          <w:lang w:val="en-US" w:eastAsia="en-US"/>
        </w:rPr>
        <w:t>(</w:t>
      </w:r>
      <w:r w:rsidR="007705CC" w:rsidRPr="00AE1B1D">
        <w:rPr>
          <w:b/>
          <w:lang w:val="en-US" w:eastAsia="en-US"/>
        </w:rPr>
        <w:t xml:space="preserve">Figure </w:t>
      </w:r>
      <w:r w:rsidR="00416615" w:rsidRPr="00AE1B1D">
        <w:rPr>
          <w:b/>
          <w:lang w:val="en-US" w:eastAsia="en-US"/>
        </w:rPr>
        <w:t>S</w:t>
      </w:r>
      <w:r w:rsidR="003F4E9E" w:rsidRPr="00AE1B1D">
        <w:rPr>
          <w:b/>
          <w:lang w:val="en-US" w:eastAsia="en-US"/>
        </w:rPr>
        <w:t>8</w:t>
      </w:r>
      <w:r w:rsidR="00ED7D44" w:rsidRPr="00AE1B1D">
        <w:rPr>
          <w:b/>
          <w:lang w:val="en-US" w:eastAsia="en-US"/>
        </w:rPr>
        <w:t>B</w:t>
      </w:r>
      <w:r w:rsidR="00331CE0" w:rsidRPr="00AE1B1D">
        <w:rPr>
          <w:b/>
          <w:lang w:val="en-US" w:eastAsia="en-US"/>
        </w:rPr>
        <w:t xml:space="preserve"> </w:t>
      </w:r>
      <w:r w:rsidR="00331CE0" w:rsidRPr="00AE1B1D">
        <w:rPr>
          <w:lang w:val="en-US" w:eastAsia="en-US"/>
        </w:rPr>
        <w:t>and</w:t>
      </w:r>
      <w:r w:rsidR="00331CE0" w:rsidRPr="00AE1B1D">
        <w:rPr>
          <w:b/>
          <w:lang w:val="en-US" w:eastAsia="en-US"/>
        </w:rPr>
        <w:t xml:space="preserve"> S</w:t>
      </w:r>
      <w:r w:rsidR="003F4E9E" w:rsidRPr="00AE1B1D">
        <w:rPr>
          <w:b/>
          <w:lang w:val="en-US" w:eastAsia="en-US"/>
        </w:rPr>
        <w:t>8</w:t>
      </w:r>
      <w:r w:rsidR="00416615" w:rsidRPr="00AE1B1D">
        <w:rPr>
          <w:b/>
          <w:lang w:val="en-US" w:eastAsia="en-US"/>
        </w:rPr>
        <w:t>C</w:t>
      </w:r>
      <w:r w:rsidR="007705CC" w:rsidRPr="00AE1B1D">
        <w:rPr>
          <w:lang w:val="en-US" w:eastAsia="en-US"/>
        </w:rPr>
        <w:t>)</w:t>
      </w:r>
      <w:r w:rsidR="00807ECF" w:rsidRPr="00AE1B1D">
        <w:rPr>
          <w:lang w:val="en-US" w:eastAsia="en-US"/>
        </w:rPr>
        <w:t xml:space="preserve">. </w:t>
      </w:r>
    </w:p>
    <w:p w14:paraId="3216D829" w14:textId="196D742B" w:rsidR="00807ECF" w:rsidRPr="00AE1B1D" w:rsidRDefault="00807ECF" w:rsidP="005C193D">
      <w:pPr>
        <w:spacing w:after="240" w:line="480" w:lineRule="auto"/>
        <w:ind w:firstLine="284"/>
        <w:jc w:val="both"/>
        <w:rPr>
          <w:lang w:val="en-US" w:eastAsia="en-US"/>
        </w:rPr>
      </w:pPr>
      <w:r w:rsidRPr="00AE1B1D">
        <w:rPr>
          <w:lang w:val="en-US" w:eastAsia="en-US"/>
        </w:rPr>
        <w:t xml:space="preserve">Naringin has been described to significantly enhance cell proliferation of osteoprogenitor cells (e.g. MC3T3-E1 and human/rat </w:t>
      </w:r>
      <w:r w:rsidR="00600BCF" w:rsidRPr="00AE1B1D">
        <w:rPr>
          <w:lang w:val="en-US" w:eastAsia="en-US"/>
        </w:rPr>
        <w:t>BM</w:t>
      </w:r>
      <w:r w:rsidRPr="00AE1B1D">
        <w:rPr>
          <w:lang w:val="en-US" w:eastAsia="en-US"/>
        </w:rPr>
        <w:t>-MSCs) or with an osteoblastic phenotype (e.g. osteoblast-like UMR</w:t>
      </w:r>
      <w:r w:rsidR="003D4823" w:rsidRPr="00AE1B1D">
        <w:rPr>
          <w:lang w:val="en-US" w:eastAsia="en-US"/>
        </w:rPr>
        <w:t>-</w:t>
      </w:r>
      <w:r w:rsidRPr="00AE1B1D">
        <w:rPr>
          <w:lang w:val="en-US" w:eastAsia="en-US"/>
        </w:rPr>
        <w:t>106 and MG</w:t>
      </w:r>
      <w:r w:rsidR="003D4823" w:rsidRPr="00AE1B1D">
        <w:rPr>
          <w:lang w:val="en-US" w:eastAsia="en-US"/>
        </w:rPr>
        <w:t>-</w:t>
      </w:r>
      <w:r w:rsidRPr="00AE1B1D">
        <w:rPr>
          <w:lang w:val="en-US" w:eastAsia="en-US"/>
        </w:rPr>
        <w:t>63 cells or human osteoblasts</w:t>
      </w:r>
      <w:proofErr w:type="gramStart"/>
      <w:r w:rsidRPr="00AE1B1D">
        <w:rPr>
          <w:lang w:val="en-US" w:eastAsia="en-US"/>
        </w:rPr>
        <w:t>)</w:t>
      </w:r>
      <w:r w:rsidR="00600BCF" w:rsidRPr="00AE1B1D">
        <w:rPr>
          <w:lang w:val="en-US" w:eastAsia="en-US"/>
        </w:rPr>
        <w:t>.</w:t>
      </w:r>
      <w:r w:rsidR="00025D04" w:rsidRPr="00AE1B1D">
        <w:rPr>
          <w:noProof/>
          <w:vertAlign w:val="superscript"/>
          <w:lang w:val="en-US" w:eastAsia="en-US"/>
        </w:rPr>
        <w:t>[</w:t>
      </w:r>
      <w:proofErr w:type="gramEnd"/>
      <w:r w:rsidR="00025D04" w:rsidRPr="00AE1B1D">
        <w:rPr>
          <w:noProof/>
          <w:vertAlign w:val="superscript"/>
          <w:lang w:val="en-US" w:eastAsia="en-US"/>
        </w:rPr>
        <w:t>8,12,27,36–39</w:t>
      </w:r>
      <w:r w:rsidR="00475980" w:rsidRPr="00AE1B1D">
        <w:rPr>
          <w:noProof/>
          <w:vertAlign w:val="superscript"/>
          <w:lang w:val="en-US" w:eastAsia="en-US"/>
        </w:rPr>
        <w:t>]</w:t>
      </w:r>
      <w:r w:rsidRPr="00AE1B1D">
        <w:rPr>
          <w:lang w:val="en-US" w:eastAsia="en-US"/>
        </w:rPr>
        <w:t xml:space="preserve"> Overall, these studies investigated Naringin-induced cell proliferation by performing metabolic assays such as MTT and CCK-8. However, these assays may overestimate cell proliferation when compared to</w:t>
      </w:r>
      <w:r w:rsidR="001F7E45" w:rsidRPr="00AE1B1D">
        <w:rPr>
          <w:lang w:val="en-US" w:eastAsia="en-US"/>
        </w:rPr>
        <w:t xml:space="preserve"> those based on</w:t>
      </w:r>
      <w:r w:rsidRPr="00AE1B1D">
        <w:rPr>
          <w:lang w:val="en-US" w:eastAsia="en-US"/>
        </w:rPr>
        <w:t xml:space="preserve"> DNA-binding </w:t>
      </w:r>
      <w:proofErr w:type="gramStart"/>
      <w:r w:rsidRPr="00AE1B1D">
        <w:rPr>
          <w:lang w:val="en-US" w:eastAsia="en-US"/>
        </w:rPr>
        <w:t>fluorophores</w:t>
      </w:r>
      <w:r w:rsidR="00600BCF" w:rsidRPr="00AE1B1D">
        <w:rPr>
          <w:lang w:val="en-US" w:eastAsia="en-US"/>
        </w:rPr>
        <w:t>.</w:t>
      </w:r>
      <w:r w:rsidR="00025D04" w:rsidRPr="00AE1B1D">
        <w:rPr>
          <w:noProof/>
          <w:vertAlign w:val="superscript"/>
          <w:lang w:val="en-US" w:eastAsia="en-US"/>
        </w:rPr>
        <w:t>[</w:t>
      </w:r>
      <w:proofErr w:type="gramEnd"/>
      <w:r w:rsidR="00025D04" w:rsidRPr="00AE1B1D">
        <w:rPr>
          <w:noProof/>
          <w:vertAlign w:val="superscript"/>
          <w:lang w:val="en-US" w:eastAsia="en-US"/>
        </w:rPr>
        <w:t>40</w:t>
      </w:r>
      <w:r w:rsidR="00475980" w:rsidRPr="00AE1B1D">
        <w:rPr>
          <w:noProof/>
          <w:vertAlign w:val="superscript"/>
          <w:lang w:val="en-US" w:eastAsia="en-US"/>
        </w:rPr>
        <w:t>]</w:t>
      </w:r>
      <w:r w:rsidRPr="00AE1B1D">
        <w:rPr>
          <w:lang w:val="en-US" w:eastAsia="en-US"/>
        </w:rPr>
        <w:t xml:space="preserve"> Hence quantifying DNA content with specific fluorophores is an important complement to these metabolic assays. Moreover, flavonoids are reported to dose-dependently reduce tetrazolium salts such as MTT even in the absence of cells, which may significantly influence the obtained results in metabolic </w:t>
      </w:r>
      <w:proofErr w:type="gramStart"/>
      <w:r w:rsidRPr="00AE1B1D">
        <w:rPr>
          <w:lang w:val="en-US" w:eastAsia="en-US"/>
        </w:rPr>
        <w:t>assays</w:t>
      </w:r>
      <w:r w:rsidR="00600BCF" w:rsidRPr="00AE1B1D">
        <w:rPr>
          <w:lang w:val="en-US" w:eastAsia="en-US"/>
        </w:rPr>
        <w:t>.</w:t>
      </w:r>
      <w:r w:rsidR="00025D04" w:rsidRPr="00AE1B1D">
        <w:rPr>
          <w:noProof/>
          <w:vertAlign w:val="superscript"/>
          <w:lang w:val="en-US" w:eastAsia="en-US"/>
        </w:rPr>
        <w:t>[</w:t>
      </w:r>
      <w:proofErr w:type="gramEnd"/>
      <w:r w:rsidR="00025D04" w:rsidRPr="00AE1B1D">
        <w:rPr>
          <w:noProof/>
          <w:vertAlign w:val="superscript"/>
          <w:lang w:val="en-US" w:eastAsia="en-US"/>
        </w:rPr>
        <w:t>41</w:t>
      </w:r>
      <w:r w:rsidR="00475980" w:rsidRPr="00AE1B1D">
        <w:rPr>
          <w:noProof/>
          <w:vertAlign w:val="superscript"/>
          <w:lang w:val="en-US" w:eastAsia="en-US"/>
        </w:rPr>
        <w:t>]</w:t>
      </w:r>
      <w:r w:rsidRPr="00AE1B1D">
        <w:rPr>
          <w:lang w:val="en-US" w:eastAsia="en-US"/>
        </w:rPr>
        <w:t xml:space="preserve"> In fact, some flavonoids inhibit cell growth but show enhanced MTT reduction. As such, to confirm Naringin proliferative properties, the double-stranded DNA (dsDNA) content was quantified via </w:t>
      </w:r>
      <w:proofErr w:type="spellStart"/>
      <w:r w:rsidRPr="00AE1B1D">
        <w:rPr>
          <w:lang w:val="en-US" w:eastAsia="en-US"/>
        </w:rPr>
        <w:t>PicoGreen</w:t>
      </w:r>
      <w:proofErr w:type="spellEnd"/>
      <w:r w:rsidRPr="00AE1B1D">
        <w:rPr>
          <w:vertAlign w:val="superscript"/>
          <w:lang w:val="en-US" w:eastAsia="en-US"/>
        </w:rPr>
        <w:t>®</w:t>
      </w:r>
      <w:r w:rsidRPr="00AE1B1D">
        <w:rPr>
          <w:lang w:val="en-US" w:eastAsia="en-US"/>
        </w:rPr>
        <w:t xml:space="preserve"> in the same samples of </w:t>
      </w:r>
      <w:proofErr w:type="spellStart"/>
      <w:r w:rsidRPr="00AE1B1D">
        <w:rPr>
          <w:lang w:val="en-US" w:eastAsia="en-US"/>
        </w:rPr>
        <w:t>hASCs</w:t>
      </w:r>
      <w:proofErr w:type="spellEnd"/>
      <w:r w:rsidRPr="00AE1B1D">
        <w:rPr>
          <w:lang w:val="en-US" w:eastAsia="en-US"/>
        </w:rPr>
        <w:t xml:space="preserve"> used for cytotoxicity assays. By using this strategy, a correlation between metabolic activity and DNA content could be extrapolated. </w:t>
      </w:r>
      <w:r w:rsidR="006A0071" w:rsidRPr="00AE1B1D">
        <w:rPr>
          <w:lang w:val="en-US" w:eastAsia="en-US"/>
        </w:rPr>
        <w:t>As shown in</w:t>
      </w:r>
      <w:r w:rsidRPr="00AE1B1D">
        <w:rPr>
          <w:lang w:val="en-US" w:eastAsia="en-US"/>
        </w:rPr>
        <w:t xml:space="preserve"> </w:t>
      </w:r>
      <w:r w:rsidRPr="00AE1B1D">
        <w:rPr>
          <w:b/>
          <w:lang w:val="en-US" w:eastAsia="en-US"/>
        </w:rPr>
        <w:t xml:space="preserve">Figure </w:t>
      </w:r>
      <w:r w:rsidR="00416615" w:rsidRPr="00AE1B1D">
        <w:rPr>
          <w:b/>
          <w:lang w:val="en-US" w:eastAsia="en-US"/>
        </w:rPr>
        <w:t>S</w:t>
      </w:r>
      <w:r w:rsidR="003F4E9E" w:rsidRPr="00AE1B1D">
        <w:rPr>
          <w:b/>
          <w:lang w:val="en-US" w:eastAsia="en-US"/>
        </w:rPr>
        <w:t>9</w:t>
      </w:r>
      <w:r w:rsidRPr="00AE1B1D">
        <w:rPr>
          <w:lang w:val="en-US" w:eastAsia="en-US"/>
        </w:rPr>
        <w:t xml:space="preserve">, free Naringin increased the proliferation of </w:t>
      </w:r>
      <w:proofErr w:type="spellStart"/>
      <w:r w:rsidRPr="00AE1B1D">
        <w:rPr>
          <w:lang w:val="en-US" w:eastAsia="en-US"/>
        </w:rPr>
        <w:t>hASCs</w:t>
      </w:r>
      <w:proofErr w:type="spellEnd"/>
      <w:r w:rsidRPr="00AE1B1D">
        <w:rPr>
          <w:lang w:val="en-US" w:eastAsia="en-US"/>
        </w:rPr>
        <w:t xml:space="preserve"> relatively to control groups on all time points and across the studied concentrations. Interestingly, the obtained data seems to suggest that the effect of Naringin on the rate of proliferation increases over time.</w:t>
      </w:r>
    </w:p>
    <w:p w14:paraId="316F673A" w14:textId="77777777" w:rsidR="00807ECF" w:rsidRPr="00AE1B1D" w:rsidRDefault="006A61B0" w:rsidP="002163E1">
      <w:pPr>
        <w:spacing w:after="240" w:line="480" w:lineRule="auto"/>
        <w:ind w:firstLine="284"/>
        <w:jc w:val="both"/>
        <w:rPr>
          <w:noProof/>
          <w:lang w:val="en-US" w:eastAsia="en-US"/>
        </w:rPr>
      </w:pPr>
      <w:r w:rsidRPr="00AE1B1D">
        <w:rPr>
          <w:lang w:val="en-US" w:eastAsia="en-US"/>
        </w:rPr>
        <w:t xml:space="preserve">It should be emphasized </w:t>
      </w:r>
      <w:r w:rsidR="00CE5B3C" w:rsidRPr="00AE1B1D">
        <w:rPr>
          <w:lang w:val="en-US" w:eastAsia="en-US"/>
        </w:rPr>
        <w:t>that this</w:t>
      </w:r>
      <w:r w:rsidRPr="00AE1B1D">
        <w:rPr>
          <w:lang w:val="en-US" w:eastAsia="en-US"/>
        </w:rPr>
        <w:t xml:space="preserve"> study is one of the few exploring the osteogenic potential of Naringin in </w:t>
      </w:r>
      <w:proofErr w:type="spellStart"/>
      <w:r w:rsidRPr="00AE1B1D">
        <w:rPr>
          <w:lang w:val="en-US" w:eastAsia="en-US"/>
        </w:rPr>
        <w:t>hASCs</w:t>
      </w:r>
      <w:proofErr w:type="spellEnd"/>
      <w:r w:rsidRPr="00AE1B1D">
        <w:rPr>
          <w:lang w:val="en-US" w:eastAsia="en-US"/>
        </w:rPr>
        <w:t xml:space="preserve">. </w:t>
      </w:r>
      <w:r w:rsidR="00A92579" w:rsidRPr="00AE1B1D">
        <w:rPr>
          <w:noProof/>
          <w:lang w:val="en-US" w:eastAsia="en-US"/>
        </w:rPr>
        <w:t>M</w:t>
      </w:r>
      <w:r w:rsidR="00600BCF" w:rsidRPr="00AE1B1D">
        <w:rPr>
          <w:noProof/>
          <w:lang w:val="en-US" w:eastAsia="en-US"/>
        </w:rPr>
        <w:t xml:space="preserve">SCs </w:t>
      </w:r>
      <w:r w:rsidR="00807ECF" w:rsidRPr="00AE1B1D">
        <w:rPr>
          <w:noProof/>
          <w:lang w:val="en-US" w:eastAsia="en-US"/>
        </w:rPr>
        <w:t xml:space="preserve">extracted from human adipose tissue represent a valuable source of </w:t>
      </w:r>
      <w:r w:rsidR="00A92579" w:rsidRPr="00AE1B1D">
        <w:rPr>
          <w:noProof/>
          <w:lang w:val="en-US" w:eastAsia="en-US"/>
        </w:rPr>
        <w:t xml:space="preserve">cells for </w:t>
      </w:r>
      <w:r w:rsidR="00807ECF" w:rsidRPr="00AE1B1D">
        <w:rPr>
          <w:noProof/>
          <w:lang w:val="en-US" w:eastAsia="en-US"/>
        </w:rPr>
        <w:t xml:space="preserve">regenerative therapies. Besides their human origin, they can be easily harvested </w:t>
      </w:r>
      <w:r w:rsidR="00807ECF" w:rsidRPr="00AE1B1D">
        <w:rPr>
          <w:noProof/>
          <w:lang w:val="en-US" w:eastAsia="en-US"/>
        </w:rPr>
        <w:lastRenderedPageBreak/>
        <w:t>from adult adipose tissue, possess low antigenicity and comparatively to hBM-MSCs, exhibit faster proliferation rates and increased genetic stability in prolonged culture periods</w:t>
      </w:r>
      <w:r w:rsidR="00600BCF" w:rsidRPr="00AE1B1D">
        <w:rPr>
          <w:noProof/>
          <w:lang w:val="en-US" w:eastAsia="en-US"/>
        </w:rPr>
        <w:t>.</w:t>
      </w:r>
      <w:r w:rsidR="00475980" w:rsidRPr="00AE1B1D">
        <w:rPr>
          <w:noProof/>
          <w:vertAlign w:val="superscript"/>
          <w:lang w:val="en-US" w:eastAsia="en-US"/>
        </w:rPr>
        <w:t>[4</w:t>
      </w:r>
      <w:r w:rsidR="00025D04" w:rsidRPr="00AE1B1D">
        <w:rPr>
          <w:noProof/>
          <w:vertAlign w:val="superscript"/>
          <w:lang w:val="en-US" w:eastAsia="en-US"/>
        </w:rPr>
        <w:t>2</w:t>
      </w:r>
      <w:r w:rsidR="00475980" w:rsidRPr="00AE1B1D">
        <w:rPr>
          <w:noProof/>
          <w:vertAlign w:val="superscript"/>
          <w:lang w:val="en-US" w:eastAsia="en-US"/>
        </w:rPr>
        <w:t>,4</w:t>
      </w:r>
      <w:r w:rsidR="00025D04" w:rsidRPr="00AE1B1D">
        <w:rPr>
          <w:noProof/>
          <w:vertAlign w:val="superscript"/>
          <w:lang w:val="en-US" w:eastAsia="en-US"/>
        </w:rPr>
        <w:t>3</w:t>
      </w:r>
      <w:r w:rsidR="00475980" w:rsidRPr="00AE1B1D">
        <w:rPr>
          <w:noProof/>
          <w:vertAlign w:val="superscript"/>
          <w:lang w:val="en-US" w:eastAsia="en-US"/>
        </w:rPr>
        <w:t>]</w:t>
      </w:r>
    </w:p>
    <w:p w14:paraId="19D7D6BE" w14:textId="77777777" w:rsidR="00E279CD" w:rsidRPr="00AE1B1D" w:rsidRDefault="00E279CD" w:rsidP="00CE1242">
      <w:pPr>
        <w:pStyle w:val="Head1"/>
      </w:pPr>
      <w:r w:rsidRPr="00AE1B1D">
        <w:t>2.</w:t>
      </w:r>
      <w:r w:rsidR="0054566D" w:rsidRPr="00AE1B1D">
        <w:t>7</w:t>
      </w:r>
      <w:r w:rsidRPr="00AE1B1D">
        <w:t xml:space="preserve">. Naringin </w:t>
      </w:r>
      <w:r w:rsidR="00A92579" w:rsidRPr="00AE1B1D">
        <w:t xml:space="preserve">pro-osteogenic </w:t>
      </w:r>
      <w:r w:rsidR="00907140" w:rsidRPr="00AE1B1D">
        <w:t>activity</w:t>
      </w:r>
      <w:r w:rsidR="00CE5B3C" w:rsidRPr="00AE1B1D">
        <w:t xml:space="preserve"> in </w:t>
      </w:r>
      <w:proofErr w:type="spellStart"/>
      <w:r w:rsidRPr="00AE1B1D">
        <w:t>hASCs</w:t>
      </w:r>
      <w:proofErr w:type="spellEnd"/>
    </w:p>
    <w:p w14:paraId="0855F31F" w14:textId="77777777" w:rsidR="00E279CD" w:rsidRPr="00AE1B1D" w:rsidRDefault="00E279CD" w:rsidP="00277F92">
      <w:pPr>
        <w:pStyle w:val="Head2"/>
      </w:pPr>
      <w:r w:rsidRPr="00AE1B1D">
        <w:t>2.</w:t>
      </w:r>
      <w:r w:rsidR="0054566D" w:rsidRPr="00AE1B1D">
        <w:t>7</w:t>
      </w:r>
      <w:r w:rsidRPr="00AE1B1D">
        <w:t>.1. Naringin-induced Stimulation of ALP Activity</w:t>
      </w:r>
    </w:p>
    <w:p w14:paraId="645C934C" w14:textId="77777777" w:rsidR="00CE476A" w:rsidRPr="00AE1B1D" w:rsidRDefault="00CE476A" w:rsidP="00CE476A">
      <w:pPr>
        <w:spacing w:after="240" w:line="480" w:lineRule="auto"/>
        <w:ind w:firstLine="284"/>
        <w:jc w:val="both"/>
        <w:rPr>
          <w:noProof/>
          <w:lang w:val="en-US" w:eastAsia="en-US"/>
        </w:rPr>
      </w:pPr>
      <w:r w:rsidRPr="00AE1B1D">
        <w:rPr>
          <w:lang w:val="en-US" w:eastAsia="en-US"/>
        </w:rPr>
        <w:t xml:space="preserve">Regarding studies on the </w:t>
      </w:r>
      <w:r w:rsidR="00A92579" w:rsidRPr="00AE1B1D">
        <w:rPr>
          <w:lang w:val="en-US" w:eastAsia="en-US"/>
        </w:rPr>
        <w:t>pro-</w:t>
      </w:r>
      <w:r w:rsidRPr="00AE1B1D">
        <w:rPr>
          <w:lang w:val="en-US" w:eastAsia="en-US"/>
        </w:rPr>
        <w:t>osteogenic potential of free Naringin, different literature reports indicate different choices for the osteogenic inductive medium. Most of these reports vary between</w:t>
      </w:r>
      <w:r w:rsidR="00A92579" w:rsidRPr="00AE1B1D">
        <w:rPr>
          <w:lang w:val="en-US" w:eastAsia="en-US"/>
        </w:rPr>
        <w:t xml:space="preserve"> cells grown in</w:t>
      </w:r>
      <w:r w:rsidRPr="00AE1B1D">
        <w:rPr>
          <w:lang w:val="en-US" w:eastAsia="en-US"/>
        </w:rPr>
        <w:t xml:space="preserve"> </w:t>
      </w:r>
      <w:proofErr w:type="spellStart"/>
      <w:r w:rsidRPr="00AE1B1D">
        <w:rPr>
          <w:lang w:val="en-US" w:eastAsia="en-US"/>
        </w:rPr>
        <w:t>osteoinductive</w:t>
      </w:r>
      <w:proofErr w:type="spellEnd"/>
      <w:r w:rsidRPr="00AE1B1D">
        <w:rPr>
          <w:lang w:val="en-US" w:eastAsia="en-US"/>
        </w:rPr>
        <w:t xml:space="preserve"> (</w:t>
      </w:r>
      <w:proofErr w:type="spellStart"/>
      <w:r w:rsidR="00A92579" w:rsidRPr="00AE1B1D">
        <w:rPr>
          <w:lang w:val="en-US" w:eastAsia="en-US"/>
        </w:rPr>
        <w:t>i</w:t>
      </w:r>
      <w:proofErr w:type="spellEnd"/>
      <w:r w:rsidR="00A92579" w:rsidRPr="00AE1B1D">
        <w:rPr>
          <w:lang w:val="en-US" w:eastAsia="en-US"/>
        </w:rPr>
        <w:t xml:space="preserve">) </w:t>
      </w:r>
      <w:r w:rsidR="000D1408" w:rsidRPr="00AE1B1D">
        <w:rPr>
          <w:lang w:val="en-US" w:eastAsia="en-US"/>
        </w:rPr>
        <w:t>[</w:t>
      </w:r>
      <w:r w:rsidR="00A92579" w:rsidRPr="00AE1B1D">
        <w:rPr>
          <w:lang w:val="en-US" w:eastAsia="en-US"/>
        </w:rPr>
        <w:t>ascorbic acid</w:t>
      </w:r>
      <w:r w:rsidRPr="00AE1B1D">
        <w:rPr>
          <w:lang w:val="en-US" w:eastAsia="en-US"/>
        </w:rPr>
        <w:t xml:space="preserve"> + </w:t>
      </w:r>
      <w:r w:rsidR="0054566D" w:rsidRPr="00AE1B1D">
        <w:rPr>
          <w:rFonts w:ascii="Symbol" w:hAnsi="Symbol"/>
          <w:lang w:val="en-US" w:eastAsia="en-US"/>
        </w:rPr>
        <w:t></w:t>
      </w:r>
      <w:r w:rsidRPr="00AE1B1D">
        <w:rPr>
          <w:lang w:val="en-US" w:eastAsia="en-US"/>
        </w:rPr>
        <w:t>-</w:t>
      </w:r>
      <w:proofErr w:type="spellStart"/>
      <w:r w:rsidRPr="00AE1B1D">
        <w:rPr>
          <w:lang w:val="en-US" w:eastAsia="en-US"/>
        </w:rPr>
        <w:t>gly</w:t>
      </w:r>
      <w:r w:rsidR="00A92579" w:rsidRPr="00AE1B1D">
        <w:rPr>
          <w:lang w:val="en-US" w:eastAsia="en-US"/>
        </w:rPr>
        <w:t>cerophosphate</w:t>
      </w:r>
      <w:proofErr w:type="spellEnd"/>
      <w:r w:rsidR="000D1408" w:rsidRPr="00AE1B1D">
        <w:rPr>
          <w:lang w:val="en-US" w:eastAsia="en-US"/>
        </w:rPr>
        <w:t>]</w:t>
      </w:r>
      <w:r w:rsidR="00264FCF" w:rsidRPr="00AE1B1D">
        <w:rPr>
          <w:lang w:val="en-US" w:eastAsia="en-US"/>
        </w:rPr>
        <w:t xml:space="preserve"> – </w:t>
      </w:r>
      <w:proofErr w:type="spellStart"/>
      <w:r w:rsidR="00264FCF" w:rsidRPr="00AE1B1D">
        <w:rPr>
          <w:lang w:val="en-US" w:eastAsia="en-US"/>
        </w:rPr>
        <w:t>rOS</w:t>
      </w:r>
      <w:proofErr w:type="spellEnd"/>
      <w:r w:rsidR="00264FCF" w:rsidRPr="00AE1B1D">
        <w:rPr>
          <w:lang w:val="en-US" w:eastAsia="en-US"/>
        </w:rPr>
        <w:t>;</w:t>
      </w:r>
      <w:r w:rsidRPr="00AE1B1D">
        <w:rPr>
          <w:lang w:val="en-US" w:eastAsia="en-US"/>
        </w:rPr>
        <w:t xml:space="preserve"> or </w:t>
      </w:r>
      <w:r w:rsidR="00A92579" w:rsidRPr="00AE1B1D">
        <w:rPr>
          <w:lang w:val="en-US" w:eastAsia="en-US"/>
        </w:rPr>
        <w:t xml:space="preserve">(ii) [ascorbic acid </w:t>
      </w:r>
      <w:r w:rsidRPr="00AE1B1D">
        <w:rPr>
          <w:lang w:val="en-US" w:eastAsia="en-US"/>
        </w:rPr>
        <w:t xml:space="preserve">+ </w:t>
      </w:r>
      <w:r w:rsidR="00A92579" w:rsidRPr="00AE1B1D">
        <w:rPr>
          <w:rFonts w:ascii="Symbol" w:hAnsi="Symbol"/>
          <w:lang w:val="en-US" w:eastAsia="en-US"/>
        </w:rPr>
        <w:t></w:t>
      </w:r>
      <w:r w:rsidR="00A92579" w:rsidRPr="00AE1B1D">
        <w:rPr>
          <w:lang w:val="en-US" w:eastAsia="en-US"/>
        </w:rPr>
        <w:t>-</w:t>
      </w:r>
      <w:proofErr w:type="spellStart"/>
      <w:r w:rsidR="00A92579" w:rsidRPr="00AE1B1D">
        <w:rPr>
          <w:lang w:val="en-US" w:eastAsia="en-US"/>
        </w:rPr>
        <w:t>glycerophosphate</w:t>
      </w:r>
      <w:proofErr w:type="spellEnd"/>
      <w:r w:rsidR="00A92579" w:rsidRPr="00AE1B1D" w:rsidDel="00A92579">
        <w:rPr>
          <w:rFonts w:ascii="Symbol" w:hAnsi="Symbol"/>
          <w:lang w:val="en-US" w:eastAsia="en-US"/>
        </w:rPr>
        <w:t></w:t>
      </w:r>
      <w:r w:rsidRPr="00AE1B1D">
        <w:rPr>
          <w:lang w:val="en-US" w:eastAsia="en-US"/>
        </w:rPr>
        <w:t xml:space="preserve"> + </w:t>
      </w:r>
      <w:proofErr w:type="spellStart"/>
      <w:r w:rsidRPr="00AE1B1D">
        <w:rPr>
          <w:lang w:val="en-US" w:eastAsia="en-US"/>
        </w:rPr>
        <w:t>Dex</w:t>
      </w:r>
      <w:proofErr w:type="spellEnd"/>
      <w:r w:rsidR="00A92579" w:rsidRPr="00AE1B1D">
        <w:rPr>
          <w:lang w:val="en-US" w:eastAsia="en-US"/>
        </w:rPr>
        <w:t>] – OS-</w:t>
      </w:r>
      <w:proofErr w:type="spellStart"/>
      <w:r w:rsidR="00A92579" w:rsidRPr="00AE1B1D">
        <w:rPr>
          <w:lang w:val="en-US" w:eastAsia="en-US"/>
        </w:rPr>
        <w:t>Dex</w:t>
      </w:r>
      <w:proofErr w:type="spellEnd"/>
      <w:r w:rsidR="00264FCF" w:rsidRPr="00AE1B1D">
        <w:rPr>
          <w:lang w:val="en-US" w:eastAsia="en-US"/>
        </w:rPr>
        <w:t>;</w:t>
      </w:r>
      <w:r w:rsidRPr="00AE1B1D">
        <w:rPr>
          <w:lang w:val="en-US" w:eastAsia="en-US"/>
        </w:rPr>
        <w:t xml:space="preserve"> or </w:t>
      </w:r>
      <w:r w:rsidR="000D1408" w:rsidRPr="00AE1B1D">
        <w:rPr>
          <w:lang w:val="en-US" w:eastAsia="en-US"/>
        </w:rPr>
        <w:t xml:space="preserve">(iii) </w:t>
      </w:r>
      <w:r w:rsidR="0054566D" w:rsidRPr="00AE1B1D">
        <w:rPr>
          <w:lang w:val="en-US" w:eastAsia="en-US"/>
        </w:rPr>
        <w:t xml:space="preserve">basal </w:t>
      </w:r>
      <w:r w:rsidR="00A92579" w:rsidRPr="00AE1B1D">
        <w:rPr>
          <w:lang w:val="en-US" w:eastAsia="en-US"/>
        </w:rPr>
        <w:t xml:space="preserve">culture </w:t>
      </w:r>
      <w:r w:rsidR="0054566D" w:rsidRPr="00AE1B1D">
        <w:rPr>
          <w:lang w:val="en-US" w:eastAsia="en-US"/>
        </w:rPr>
        <w:t>medium</w:t>
      </w:r>
      <w:r w:rsidRPr="00AE1B1D">
        <w:rPr>
          <w:lang w:val="en-US" w:eastAsia="en-US"/>
        </w:rPr>
        <w:t xml:space="preserve"> </w:t>
      </w:r>
      <w:r w:rsidR="000D1408" w:rsidRPr="00AE1B1D">
        <w:rPr>
          <w:lang w:val="en-US" w:eastAsia="en-US"/>
        </w:rPr>
        <w:t xml:space="preserve">(BM) </w:t>
      </w:r>
      <w:r w:rsidRPr="00AE1B1D">
        <w:rPr>
          <w:lang w:val="en-US" w:eastAsia="en-US"/>
        </w:rPr>
        <w:t xml:space="preserve">conditions. As aforementioned, this can lead to different outcomes in the osteogenic differentiation potential of stem cells. Therefore, initially the osteogenic capacity of free Naringin in </w:t>
      </w:r>
      <w:proofErr w:type="spellStart"/>
      <w:r w:rsidRPr="00AE1B1D">
        <w:rPr>
          <w:lang w:val="en-US" w:eastAsia="en-US"/>
        </w:rPr>
        <w:t>hASCs</w:t>
      </w:r>
      <w:proofErr w:type="spellEnd"/>
      <w:r w:rsidRPr="00AE1B1D">
        <w:rPr>
          <w:lang w:val="en-US" w:eastAsia="en-US"/>
        </w:rPr>
        <w:t xml:space="preserve"> was evaluated under </w:t>
      </w:r>
      <w:r w:rsidR="00A92579" w:rsidRPr="00AE1B1D">
        <w:rPr>
          <w:lang w:val="en-US" w:eastAsia="en-US"/>
        </w:rPr>
        <w:t>in different culture medi</w:t>
      </w:r>
      <w:r w:rsidR="000D1408" w:rsidRPr="00AE1B1D">
        <w:rPr>
          <w:lang w:val="en-US" w:eastAsia="en-US"/>
        </w:rPr>
        <w:t>a</w:t>
      </w:r>
      <w:r w:rsidRPr="00AE1B1D">
        <w:rPr>
          <w:lang w:val="en-US" w:eastAsia="en-US"/>
        </w:rPr>
        <w:t xml:space="preserve"> (</w:t>
      </w:r>
      <w:r w:rsidR="00102233" w:rsidRPr="00AE1B1D">
        <w:rPr>
          <w:b/>
          <w:lang w:val="en-US" w:eastAsia="en-US"/>
        </w:rPr>
        <w:t>Table 1</w:t>
      </w:r>
      <w:r w:rsidR="00102233" w:rsidRPr="00AE1B1D">
        <w:rPr>
          <w:lang w:val="en-US" w:eastAsia="en-US"/>
        </w:rPr>
        <w:t>, Experimental Section, Cell Culture subsection</w:t>
      </w:r>
      <w:r w:rsidRPr="00AE1B1D">
        <w:rPr>
          <w:lang w:val="en-US" w:eastAsia="en-US"/>
        </w:rPr>
        <w:t>)</w:t>
      </w:r>
      <w:r w:rsidR="00A92579" w:rsidRPr="00AE1B1D">
        <w:rPr>
          <w:lang w:val="en-US" w:eastAsia="en-US"/>
        </w:rPr>
        <w:t xml:space="preserve">. </w:t>
      </w:r>
      <w:r w:rsidRPr="00AE1B1D">
        <w:rPr>
          <w:noProof/>
          <w:lang w:val="en-US" w:eastAsia="en-US"/>
        </w:rPr>
        <w:t>For the first experiment, hASCs were incubated</w:t>
      </w:r>
      <w:r w:rsidR="00A92579" w:rsidRPr="00AE1B1D">
        <w:rPr>
          <w:noProof/>
          <w:lang w:val="en-US" w:eastAsia="en-US"/>
        </w:rPr>
        <w:t xml:space="preserve"> once (t=0h)</w:t>
      </w:r>
      <w:r w:rsidRPr="00AE1B1D">
        <w:rPr>
          <w:noProof/>
          <w:lang w:val="en-US" w:eastAsia="en-US"/>
        </w:rPr>
        <w:t xml:space="preserve"> with different concentrations of free Naringin in OS-Dex medium over 21 days</w:t>
      </w:r>
      <w:r w:rsidR="00A92579" w:rsidRPr="00AE1B1D">
        <w:rPr>
          <w:noProof/>
          <w:lang w:val="en-US" w:eastAsia="en-US"/>
        </w:rPr>
        <w:t xml:space="preserve"> (</w:t>
      </w:r>
      <w:r w:rsidR="00A92579" w:rsidRPr="00AE1B1D">
        <w:rPr>
          <w:b/>
          <w:noProof/>
          <w:lang w:val="en-US" w:eastAsia="en-US"/>
        </w:rPr>
        <w:t>Figure 4A</w:t>
      </w:r>
      <w:r w:rsidR="000D1408" w:rsidRPr="00AE1B1D">
        <w:rPr>
          <w:noProof/>
          <w:lang w:val="en-US" w:eastAsia="en-US"/>
        </w:rPr>
        <w:t>,</w:t>
      </w:r>
      <w:r w:rsidR="00A92579" w:rsidRPr="00AE1B1D">
        <w:rPr>
          <w:noProof/>
          <w:lang w:val="en-US" w:eastAsia="en-US"/>
        </w:rPr>
        <w:t xml:space="preserve"> administration regime schematics)</w:t>
      </w:r>
      <w:r w:rsidRPr="00AE1B1D">
        <w:rPr>
          <w:noProof/>
          <w:lang w:val="en-US" w:eastAsia="en-US"/>
        </w:rPr>
        <w:t>. Throughout the assay, cell culture medium was</w:t>
      </w:r>
      <w:r w:rsidR="00A92579" w:rsidRPr="00AE1B1D">
        <w:rPr>
          <w:noProof/>
          <w:lang w:val="en-US" w:eastAsia="en-US"/>
        </w:rPr>
        <w:t xml:space="preserve"> then</w:t>
      </w:r>
      <w:r w:rsidRPr="00AE1B1D">
        <w:rPr>
          <w:noProof/>
          <w:lang w:val="en-US" w:eastAsia="en-US"/>
        </w:rPr>
        <w:t xml:space="preserve"> exchanged every 3</w:t>
      </w:r>
      <w:r w:rsidR="00D46322" w:rsidRPr="00AE1B1D">
        <w:rPr>
          <w:noProof/>
          <w:lang w:val="en-US" w:eastAsia="en-US"/>
        </w:rPr>
        <w:t xml:space="preserve"> to </w:t>
      </w:r>
      <w:r w:rsidRPr="00AE1B1D">
        <w:rPr>
          <w:noProof/>
          <w:lang w:val="en-US" w:eastAsia="en-US"/>
        </w:rPr>
        <w:t xml:space="preserve">4 days with fresh OS-Dex medium. The </w:t>
      </w:r>
      <w:r w:rsidR="008513FC" w:rsidRPr="00AE1B1D">
        <w:rPr>
          <w:noProof/>
          <w:lang w:val="en-US" w:eastAsia="en-US"/>
        </w:rPr>
        <w:t>alkaline phosphatase (A</w:t>
      </w:r>
      <w:r w:rsidRPr="00AE1B1D">
        <w:rPr>
          <w:noProof/>
          <w:lang w:val="en-US" w:eastAsia="en-US"/>
        </w:rPr>
        <w:t>LP</w:t>
      </w:r>
      <w:r w:rsidR="008513FC" w:rsidRPr="00AE1B1D">
        <w:rPr>
          <w:noProof/>
          <w:lang w:val="en-US" w:eastAsia="en-US"/>
        </w:rPr>
        <w:t>)</w:t>
      </w:r>
      <w:r w:rsidRPr="00AE1B1D">
        <w:rPr>
          <w:noProof/>
          <w:lang w:val="en-US" w:eastAsia="en-US"/>
        </w:rPr>
        <w:t xml:space="preserve"> activity was then quantified by p-nitrophenylphosphate hydrolysis and normalized to dsDNA content by using the PicoGreen</w:t>
      </w:r>
      <w:r w:rsidRPr="00AE1B1D">
        <w:rPr>
          <w:noProof/>
          <w:vertAlign w:val="superscript"/>
          <w:lang w:val="en-US" w:eastAsia="en-US"/>
        </w:rPr>
        <w:t>®</w:t>
      </w:r>
      <w:r w:rsidRPr="00AE1B1D">
        <w:rPr>
          <w:noProof/>
          <w:lang w:val="en-US" w:eastAsia="en-US"/>
        </w:rPr>
        <w:t xml:space="preserve"> assay.</w:t>
      </w:r>
    </w:p>
    <w:p w14:paraId="4E8BBCCD" w14:textId="77777777" w:rsidR="00CE476A" w:rsidRPr="00AE1B1D" w:rsidRDefault="00CE476A" w:rsidP="00CE476A">
      <w:pPr>
        <w:spacing w:after="240" w:line="480" w:lineRule="auto"/>
        <w:ind w:firstLine="284"/>
        <w:jc w:val="both"/>
        <w:rPr>
          <w:noProof/>
          <w:lang w:val="en-US" w:eastAsia="en-US"/>
        </w:rPr>
      </w:pPr>
      <w:r w:rsidRPr="00AE1B1D">
        <w:rPr>
          <w:noProof/>
          <w:lang w:val="en-US" w:eastAsia="en-US"/>
        </w:rPr>
        <w:t>The</w:t>
      </w:r>
      <w:r w:rsidR="00A92579" w:rsidRPr="00AE1B1D">
        <w:rPr>
          <w:noProof/>
          <w:lang w:val="en-US" w:eastAsia="en-US"/>
        </w:rPr>
        <w:t xml:space="preserve"> obtained</w:t>
      </w:r>
      <w:r w:rsidRPr="00AE1B1D">
        <w:rPr>
          <w:noProof/>
          <w:lang w:val="en-US" w:eastAsia="en-US"/>
        </w:rPr>
        <w:t xml:space="preserve"> results presented in </w:t>
      </w:r>
      <w:r w:rsidRPr="00AE1B1D">
        <w:rPr>
          <w:b/>
          <w:noProof/>
          <w:lang w:val="en-US" w:eastAsia="en-US"/>
        </w:rPr>
        <w:t xml:space="preserve">Figure </w:t>
      </w:r>
      <w:r w:rsidR="00B80BEC" w:rsidRPr="00AE1B1D">
        <w:rPr>
          <w:b/>
          <w:noProof/>
          <w:lang w:val="en-US" w:eastAsia="en-US"/>
        </w:rPr>
        <w:t>4B</w:t>
      </w:r>
      <w:r w:rsidR="00CE5B3C" w:rsidRPr="00AE1B1D">
        <w:rPr>
          <w:noProof/>
          <w:lang w:val="en-US" w:eastAsia="en-US"/>
        </w:rPr>
        <w:t xml:space="preserve"> </w:t>
      </w:r>
      <w:r w:rsidRPr="00AE1B1D">
        <w:rPr>
          <w:noProof/>
          <w:lang w:val="en-US" w:eastAsia="en-US"/>
        </w:rPr>
        <w:t xml:space="preserve">show </w:t>
      </w:r>
      <w:r w:rsidR="00A92579" w:rsidRPr="00AE1B1D">
        <w:rPr>
          <w:noProof/>
          <w:lang w:val="en-US" w:eastAsia="en-US"/>
        </w:rPr>
        <w:t xml:space="preserve">an </w:t>
      </w:r>
      <w:r w:rsidRPr="00AE1B1D">
        <w:rPr>
          <w:noProof/>
          <w:lang w:val="en-US" w:eastAsia="en-US"/>
        </w:rPr>
        <w:t xml:space="preserve">increase in ALP activity along time after incubation in OS-Dex control group and with different Naringin doses. The ALP activity is the highest at the final time point of the experiment, </w:t>
      </w:r>
      <w:r w:rsidRPr="00AE1B1D">
        <w:rPr>
          <w:i/>
          <w:noProof/>
          <w:lang w:val="en-US" w:eastAsia="en-US"/>
        </w:rPr>
        <w:t>i.e.,</w:t>
      </w:r>
      <w:r w:rsidRPr="00AE1B1D">
        <w:rPr>
          <w:noProof/>
          <w:lang w:val="en-US" w:eastAsia="en-US"/>
        </w:rPr>
        <w:t xml:space="preserve"> 21 days of incubation, which might suggest that continuously exchanging the osteogenic medium with a renewed Dex dose (100 nM) might lead to continous stimulation of hASCs populations. Alternatively, according to the obtained results</w:t>
      </w:r>
      <w:r w:rsidR="00B80BEC" w:rsidRPr="00AE1B1D">
        <w:rPr>
          <w:noProof/>
          <w:lang w:val="en-US" w:eastAsia="en-US"/>
        </w:rPr>
        <w:t>,</w:t>
      </w:r>
      <w:r w:rsidRPr="00AE1B1D">
        <w:rPr>
          <w:noProof/>
          <w:lang w:val="en-US" w:eastAsia="en-US"/>
        </w:rPr>
        <w:t xml:space="preserve"> the use of Naringin as an initial stimulation factor to promote osteogenesis </w:t>
      </w:r>
      <w:r w:rsidR="00B80BEC" w:rsidRPr="00AE1B1D">
        <w:rPr>
          <w:noProof/>
          <w:lang w:val="en-US" w:eastAsia="en-US"/>
        </w:rPr>
        <w:t>appears to be</w:t>
      </w:r>
      <w:r w:rsidRPr="00AE1B1D">
        <w:rPr>
          <w:noProof/>
          <w:lang w:val="en-US" w:eastAsia="en-US"/>
        </w:rPr>
        <w:t xml:space="preserve"> limited to the earlier time points, i.e., 3 and 7 days of incubation. Indeed, </w:t>
      </w:r>
      <w:r w:rsidR="00A92579" w:rsidRPr="00AE1B1D">
        <w:rPr>
          <w:noProof/>
          <w:lang w:val="en-US" w:eastAsia="en-US"/>
        </w:rPr>
        <w:t>as shown in</w:t>
      </w:r>
      <w:r w:rsidRPr="00AE1B1D">
        <w:rPr>
          <w:noProof/>
          <w:lang w:val="en-US" w:eastAsia="en-US"/>
        </w:rPr>
        <w:t xml:space="preserve"> </w:t>
      </w:r>
      <w:r w:rsidRPr="00AE1B1D">
        <w:rPr>
          <w:b/>
          <w:noProof/>
          <w:lang w:val="en-US" w:eastAsia="en-US"/>
        </w:rPr>
        <w:t xml:space="preserve">Figure </w:t>
      </w:r>
      <w:r w:rsidR="00B80BEC" w:rsidRPr="00AE1B1D">
        <w:rPr>
          <w:b/>
          <w:noProof/>
          <w:lang w:val="en-US" w:eastAsia="en-US"/>
        </w:rPr>
        <w:t>4</w:t>
      </w:r>
      <w:r w:rsidRPr="00AE1B1D">
        <w:rPr>
          <w:b/>
          <w:noProof/>
          <w:lang w:val="en-US" w:eastAsia="en-US"/>
        </w:rPr>
        <w:t>C</w:t>
      </w:r>
      <w:r w:rsidRPr="00AE1B1D">
        <w:rPr>
          <w:noProof/>
          <w:lang w:val="en-US" w:eastAsia="en-US"/>
        </w:rPr>
        <w:t xml:space="preserve">, at 14 and 21 days of incubation, no significant differences in ALP activity can </w:t>
      </w:r>
      <w:r w:rsidRPr="00AE1B1D">
        <w:rPr>
          <w:noProof/>
          <w:lang w:val="en-US" w:eastAsia="en-US"/>
        </w:rPr>
        <w:lastRenderedPageBreak/>
        <w:t xml:space="preserve">be observed among different Naringin doses and the respective OS-Dex control group. Likewise, these findings are supported by </w:t>
      </w:r>
      <w:r w:rsidRPr="00AE1B1D">
        <w:rPr>
          <w:b/>
          <w:noProof/>
          <w:lang w:val="en-US" w:eastAsia="en-US"/>
        </w:rPr>
        <w:t xml:space="preserve">Figure </w:t>
      </w:r>
      <w:r w:rsidR="00B80BEC" w:rsidRPr="00AE1B1D">
        <w:rPr>
          <w:b/>
          <w:noProof/>
          <w:lang w:val="en-US" w:eastAsia="en-US"/>
        </w:rPr>
        <w:t>4D</w:t>
      </w:r>
      <w:r w:rsidRPr="00AE1B1D">
        <w:rPr>
          <w:noProof/>
          <w:lang w:val="en-US" w:eastAsia="en-US"/>
        </w:rPr>
        <w:t xml:space="preserve">, which shows the ALP-dependent staining of hASCs at 14 days via BCIP/NBT substrate. </w:t>
      </w:r>
      <w:r w:rsidR="00A92579" w:rsidRPr="00AE1B1D">
        <w:rPr>
          <w:noProof/>
          <w:lang w:val="en-US" w:eastAsia="en-US"/>
        </w:rPr>
        <w:t>As can be observed</w:t>
      </w:r>
      <w:r w:rsidRPr="00AE1B1D">
        <w:rPr>
          <w:noProof/>
          <w:lang w:val="en-US" w:eastAsia="en-US"/>
        </w:rPr>
        <w:t xml:space="preserve"> the</w:t>
      </w:r>
      <w:r w:rsidR="00AC2073" w:rsidRPr="00AE1B1D">
        <w:rPr>
          <w:noProof/>
          <w:lang w:val="en-US" w:eastAsia="en-US"/>
        </w:rPr>
        <w:t>re are no significant differences between osteogenic medium</w:t>
      </w:r>
      <w:r w:rsidRPr="00AE1B1D">
        <w:rPr>
          <w:noProof/>
          <w:lang w:val="en-US" w:eastAsia="en-US"/>
        </w:rPr>
        <w:t xml:space="preserve"> ALP-stained cells and th</w:t>
      </w:r>
      <w:r w:rsidR="00AC2073" w:rsidRPr="00AE1B1D">
        <w:rPr>
          <w:noProof/>
          <w:lang w:val="en-US" w:eastAsia="en-US"/>
        </w:rPr>
        <w:t>ose incubated with</w:t>
      </w:r>
      <w:r w:rsidRPr="00AE1B1D">
        <w:rPr>
          <w:noProof/>
          <w:lang w:val="en-US" w:eastAsia="en-US"/>
        </w:rPr>
        <w:t xml:space="preserve"> various Naringin dos</w:t>
      </w:r>
      <w:r w:rsidR="00AC2073" w:rsidRPr="00AE1B1D">
        <w:rPr>
          <w:noProof/>
          <w:lang w:val="en-US" w:eastAsia="en-US"/>
        </w:rPr>
        <w:t>ag</w:t>
      </w:r>
      <w:r w:rsidRPr="00AE1B1D">
        <w:rPr>
          <w:noProof/>
          <w:lang w:val="en-US" w:eastAsia="en-US"/>
        </w:rPr>
        <w:t xml:space="preserve">es. </w:t>
      </w:r>
    </w:p>
    <w:p w14:paraId="61D6D76B" w14:textId="5D0A00E5" w:rsidR="00CE476A" w:rsidRPr="00AE1B1D" w:rsidRDefault="00CE476A" w:rsidP="008513FC">
      <w:pPr>
        <w:spacing w:after="240" w:line="480" w:lineRule="auto"/>
        <w:ind w:firstLine="284"/>
        <w:jc w:val="both"/>
        <w:rPr>
          <w:noProof/>
          <w:lang w:val="en-US" w:eastAsia="en-US"/>
        </w:rPr>
      </w:pPr>
      <w:r w:rsidRPr="00AE1B1D">
        <w:rPr>
          <w:noProof/>
          <w:lang w:val="en-US" w:eastAsia="en-US"/>
        </w:rPr>
        <w:t>However, for the earlier time points, i.e., 3 and 7 days of incubation, the</w:t>
      </w:r>
      <w:r w:rsidR="0093521B" w:rsidRPr="00AE1B1D">
        <w:rPr>
          <w:noProof/>
          <w:lang w:val="en-US" w:eastAsia="en-US"/>
        </w:rPr>
        <w:t>re is a significant</w:t>
      </w:r>
      <w:r w:rsidRPr="00AE1B1D">
        <w:rPr>
          <w:noProof/>
          <w:lang w:val="en-US" w:eastAsia="en-US"/>
        </w:rPr>
        <w:t xml:space="preserve"> osteogenic effect of Naringin over the OS-Dex control groups, as shown in </w:t>
      </w:r>
      <w:r w:rsidRPr="00AE1B1D">
        <w:rPr>
          <w:b/>
          <w:noProof/>
          <w:lang w:val="en-US" w:eastAsia="en-US"/>
        </w:rPr>
        <w:t xml:space="preserve">Figure </w:t>
      </w:r>
      <w:r w:rsidR="00B80BEC" w:rsidRPr="00AE1B1D">
        <w:rPr>
          <w:b/>
          <w:noProof/>
          <w:lang w:val="en-US" w:eastAsia="en-US"/>
        </w:rPr>
        <w:t>4E</w:t>
      </w:r>
      <w:r w:rsidRPr="00AE1B1D">
        <w:rPr>
          <w:noProof/>
          <w:lang w:val="en-US" w:eastAsia="en-US"/>
        </w:rPr>
        <w:t xml:space="preserve">. At 3 days, the highest </w:t>
      </w:r>
      <w:r w:rsidR="006C62C4" w:rsidRPr="00AE1B1D">
        <w:rPr>
          <w:noProof/>
          <w:lang w:val="en-US" w:eastAsia="en-US"/>
        </w:rPr>
        <w:t xml:space="preserve">Naringin </w:t>
      </w:r>
      <w:r w:rsidRPr="00AE1B1D">
        <w:rPr>
          <w:noProof/>
          <w:lang w:val="en-US" w:eastAsia="en-US"/>
        </w:rPr>
        <w:t xml:space="preserve">dose (50 </w:t>
      </w:r>
      <w:r w:rsidR="00FE6F1E" w:rsidRPr="00AE1B1D">
        <w:rPr>
          <w:rFonts w:ascii="Symbol" w:hAnsi="Symbol"/>
          <w:noProof/>
          <w:lang w:val="en-US" w:eastAsia="en-US"/>
        </w:rPr>
        <w:t></w:t>
      </w:r>
      <w:r w:rsidRPr="00AE1B1D">
        <w:rPr>
          <w:noProof/>
          <w:lang w:val="en-US" w:eastAsia="en-US"/>
        </w:rPr>
        <w:t>g</w:t>
      </w:r>
      <w:r w:rsidR="00CE5B3C" w:rsidRPr="00AE1B1D">
        <w:rPr>
          <w:noProof/>
          <w:lang w:val="en-US" w:eastAsia="en-US"/>
        </w:rPr>
        <w:t xml:space="preserve"> </w:t>
      </w:r>
      <w:r w:rsidRPr="00AE1B1D">
        <w:rPr>
          <w:noProof/>
          <w:lang w:val="en-US" w:eastAsia="en-US"/>
        </w:rPr>
        <w:t>m</w:t>
      </w:r>
      <w:r w:rsidR="008513FC" w:rsidRPr="00AE1B1D">
        <w:rPr>
          <w:noProof/>
          <w:lang w:val="en-US" w:eastAsia="en-US"/>
        </w:rPr>
        <w:t>L</w:t>
      </w:r>
      <w:r w:rsidR="00CE5B3C" w:rsidRPr="00AE1B1D">
        <w:rPr>
          <w:noProof/>
          <w:vertAlign w:val="superscript"/>
          <w:lang w:val="en-US" w:eastAsia="en-US"/>
        </w:rPr>
        <w:t>-1</w:t>
      </w:r>
      <w:r w:rsidR="006C62C4" w:rsidRPr="00AE1B1D">
        <w:rPr>
          <w:noProof/>
          <w:lang w:val="en-US" w:eastAsia="en-US"/>
        </w:rPr>
        <w:t>) achieved</w:t>
      </w:r>
      <w:r w:rsidRPr="00AE1B1D">
        <w:rPr>
          <w:noProof/>
          <w:lang w:val="en-US" w:eastAsia="en-US"/>
        </w:rPr>
        <w:t xml:space="preserve"> a 0.</w:t>
      </w:r>
      <w:r w:rsidR="00EC6B66" w:rsidRPr="00AE1B1D">
        <w:rPr>
          <w:noProof/>
          <w:lang w:val="en-US" w:eastAsia="en-US"/>
        </w:rPr>
        <w:t>5</w:t>
      </w:r>
      <w:r w:rsidRPr="00AE1B1D">
        <w:rPr>
          <w:noProof/>
          <w:lang w:val="en-US" w:eastAsia="en-US"/>
        </w:rPr>
        <w:t xml:space="preserve">-fold improved ALP activity over the OS-Dex control group and a 0.3-fold ALP increase across all studied doses, from 5 to 20 </w:t>
      </w:r>
      <w:r w:rsidR="00FE6F1E" w:rsidRPr="00AE1B1D">
        <w:rPr>
          <w:rFonts w:ascii="Symbol" w:hAnsi="Symbol"/>
          <w:noProof/>
          <w:lang w:val="en-US" w:eastAsia="en-US"/>
        </w:rPr>
        <w:t></w:t>
      </w:r>
      <w:r w:rsidRPr="00AE1B1D">
        <w:rPr>
          <w:noProof/>
          <w:lang w:val="en-US" w:eastAsia="en-US"/>
        </w:rPr>
        <w:t>g</w:t>
      </w:r>
      <w:r w:rsidR="008513FC" w:rsidRPr="00AE1B1D">
        <w:rPr>
          <w:noProof/>
          <w:lang w:val="en-US" w:eastAsia="en-US"/>
        </w:rPr>
        <w:t xml:space="preserve"> </w:t>
      </w:r>
      <w:r w:rsidRPr="00AE1B1D">
        <w:rPr>
          <w:noProof/>
          <w:lang w:val="en-US" w:eastAsia="en-US"/>
        </w:rPr>
        <w:t>mL</w:t>
      </w:r>
      <w:r w:rsidR="008513FC" w:rsidRPr="00AE1B1D">
        <w:rPr>
          <w:noProof/>
          <w:vertAlign w:val="superscript"/>
          <w:lang w:val="en-US" w:eastAsia="en-US"/>
        </w:rPr>
        <w:t>-1</w:t>
      </w:r>
      <w:r w:rsidRPr="00AE1B1D">
        <w:rPr>
          <w:noProof/>
          <w:lang w:val="en-US" w:eastAsia="en-US"/>
        </w:rPr>
        <w:t xml:space="preserve">. At 7 days, no significant difference across all Naringin doses could be observed indicating that lower doses are equally beneficial. </w:t>
      </w:r>
      <w:r w:rsidR="00072E5D" w:rsidRPr="00AE1B1D">
        <w:rPr>
          <w:noProof/>
          <w:lang w:val="en-US" w:eastAsia="en-US"/>
        </w:rPr>
        <w:t>Moreover, i</w:t>
      </w:r>
      <w:r w:rsidRPr="00AE1B1D">
        <w:rPr>
          <w:noProof/>
          <w:lang w:val="en-US" w:eastAsia="en-US"/>
        </w:rPr>
        <w:t>n comparison with OS-Dex control group, a</w:t>
      </w:r>
      <w:r w:rsidR="00EC6B66" w:rsidRPr="00AE1B1D">
        <w:rPr>
          <w:noProof/>
          <w:lang w:val="en-US" w:eastAsia="en-US"/>
        </w:rPr>
        <w:t>n</w:t>
      </w:r>
      <w:r w:rsidRPr="00AE1B1D">
        <w:rPr>
          <w:noProof/>
          <w:lang w:val="en-US" w:eastAsia="en-US"/>
        </w:rPr>
        <w:t xml:space="preserve"> increase in ALP activity</w:t>
      </w:r>
      <w:r w:rsidR="00EC6B66" w:rsidRPr="00AE1B1D">
        <w:rPr>
          <w:noProof/>
          <w:lang w:val="en-US" w:eastAsia="en-US"/>
        </w:rPr>
        <w:t xml:space="preserve"> (ca. 0.2-fold)</w:t>
      </w:r>
      <w:r w:rsidRPr="00AE1B1D">
        <w:rPr>
          <w:noProof/>
          <w:lang w:val="en-US" w:eastAsia="en-US"/>
        </w:rPr>
        <w:t xml:space="preserve"> could be observed across all Naringin doses</w:t>
      </w:r>
      <w:r w:rsidR="007371CD" w:rsidRPr="00AE1B1D">
        <w:rPr>
          <w:noProof/>
          <w:lang w:val="en-US" w:eastAsia="en-US"/>
        </w:rPr>
        <w:t xml:space="preserve"> </w:t>
      </w:r>
      <w:r w:rsidR="00072E5D" w:rsidRPr="00AE1B1D">
        <w:rPr>
          <w:noProof/>
          <w:lang w:val="en-US" w:eastAsia="en-US"/>
        </w:rPr>
        <w:t>at 7 days</w:t>
      </w:r>
      <w:r w:rsidR="0093521B" w:rsidRPr="00AE1B1D">
        <w:rPr>
          <w:noProof/>
          <w:lang w:val="en-US" w:eastAsia="en-US"/>
        </w:rPr>
        <w:t xml:space="preserve"> </w:t>
      </w:r>
      <w:r w:rsidR="007371CD" w:rsidRPr="00AE1B1D">
        <w:rPr>
          <w:noProof/>
          <w:lang w:val="en-US" w:eastAsia="en-US"/>
        </w:rPr>
        <w:t>(Figure 4</w:t>
      </w:r>
      <w:r w:rsidR="00072E5D" w:rsidRPr="00AE1B1D">
        <w:rPr>
          <w:noProof/>
          <w:lang w:val="en-US" w:eastAsia="en-US"/>
        </w:rPr>
        <w:t>E</w:t>
      </w:r>
      <w:r w:rsidR="007371CD" w:rsidRPr="00AE1B1D">
        <w:rPr>
          <w:noProof/>
          <w:lang w:val="en-US" w:eastAsia="en-US"/>
        </w:rPr>
        <w:t>)</w:t>
      </w:r>
      <w:r w:rsidRPr="00AE1B1D">
        <w:rPr>
          <w:noProof/>
          <w:lang w:val="en-US" w:eastAsia="en-US"/>
        </w:rPr>
        <w:t xml:space="preserve">. </w:t>
      </w:r>
    </w:p>
    <w:p w14:paraId="2F915A26" w14:textId="763C322D" w:rsidR="003D4823" w:rsidRPr="00AE1B1D" w:rsidRDefault="00CE476A" w:rsidP="003D4823">
      <w:pPr>
        <w:spacing w:after="240" w:line="480" w:lineRule="auto"/>
        <w:ind w:firstLine="284"/>
        <w:jc w:val="both"/>
        <w:rPr>
          <w:noProof/>
          <w:lang w:val="en-US" w:eastAsia="en-US"/>
        </w:rPr>
      </w:pPr>
      <w:r w:rsidRPr="00AE1B1D">
        <w:rPr>
          <w:noProof/>
          <w:lang w:val="en-US" w:eastAsia="en-US"/>
        </w:rPr>
        <w:t xml:space="preserve">In </w:t>
      </w:r>
      <w:r w:rsidR="00CE5B3C" w:rsidRPr="00AE1B1D">
        <w:rPr>
          <w:noProof/>
          <w:lang w:val="en-US" w:eastAsia="en-US"/>
        </w:rPr>
        <w:t>summary</w:t>
      </w:r>
      <w:r w:rsidRPr="00AE1B1D">
        <w:rPr>
          <w:noProof/>
          <w:lang w:val="en-US" w:eastAsia="en-US"/>
        </w:rPr>
        <w:t xml:space="preserve">, a significant pro-osteogenic effect between different Naringin doses was observed at 3 days, while the osteogenic effect between Naringin and OS-Dex control groups was observed at 3 and 7 days. These findings suggest that perhaps constant long-term stimulation of hASCs with Dex, with only an initial stimulatory dose of Naringin (Figure </w:t>
      </w:r>
      <w:r w:rsidR="00B80BEC" w:rsidRPr="00AE1B1D">
        <w:rPr>
          <w:noProof/>
          <w:lang w:val="en-US" w:eastAsia="en-US"/>
        </w:rPr>
        <w:t>4A</w:t>
      </w:r>
      <w:r w:rsidRPr="00AE1B1D">
        <w:rPr>
          <w:noProof/>
          <w:lang w:val="en-US" w:eastAsia="en-US"/>
        </w:rPr>
        <w:t>), might dillute this flavonoid effect on the promotion of ALP levels over the course of the experiment.</w:t>
      </w:r>
    </w:p>
    <w:p w14:paraId="160C1BC0" w14:textId="77777777" w:rsidR="005134DF" w:rsidRPr="00AE1B1D" w:rsidRDefault="005134DF" w:rsidP="00277F92">
      <w:pPr>
        <w:pStyle w:val="Head2"/>
      </w:pPr>
      <w:r w:rsidRPr="00AE1B1D">
        <w:t>2.</w:t>
      </w:r>
      <w:r w:rsidR="008C7A19" w:rsidRPr="00AE1B1D">
        <w:t>7</w:t>
      </w:r>
      <w:r w:rsidRPr="00AE1B1D">
        <w:t>.2. Naringin-induced BMP-2</w:t>
      </w:r>
      <w:r w:rsidR="00CE5B3C" w:rsidRPr="00AE1B1D">
        <w:t xml:space="preserve"> expression</w:t>
      </w:r>
    </w:p>
    <w:p w14:paraId="69914082" w14:textId="3EED2910" w:rsidR="005134DF" w:rsidRPr="00AE1B1D" w:rsidRDefault="007371CD" w:rsidP="008513FC">
      <w:pPr>
        <w:spacing w:after="240" w:line="480" w:lineRule="auto"/>
        <w:ind w:firstLine="284"/>
        <w:jc w:val="both"/>
        <w:rPr>
          <w:noProof/>
          <w:lang w:val="en-US" w:eastAsia="en-US"/>
        </w:rPr>
      </w:pPr>
      <w:r w:rsidRPr="00AE1B1D">
        <w:rPr>
          <w:noProof/>
          <w:lang w:val="en-US" w:eastAsia="en-US"/>
        </w:rPr>
        <w:t>In addition to the evaluation of</w:t>
      </w:r>
      <w:r w:rsidR="005134DF" w:rsidRPr="00AE1B1D">
        <w:rPr>
          <w:noProof/>
          <w:lang w:val="en-US" w:eastAsia="en-US"/>
        </w:rPr>
        <w:t xml:space="preserve"> long-term ALP-stimulatory activity mediated by Naringin, the expression levels of other osteogenesis-related markers were evaluated to further investiga</w:t>
      </w:r>
      <w:r w:rsidR="00BD352C" w:rsidRPr="00AE1B1D">
        <w:rPr>
          <w:noProof/>
          <w:lang w:val="en-US" w:eastAsia="en-US"/>
        </w:rPr>
        <w:t xml:space="preserve">te the contribution of Naringin </w:t>
      </w:r>
      <w:r w:rsidR="005134DF" w:rsidRPr="00AE1B1D">
        <w:rPr>
          <w:noProof/>
          <w:lang w:val="en-US" w:eastAsia="en-US"/>
        </w:rPr>
        <w:t xml:space="preserve">in differentiating these stem cells </w:t>
      </w:r>
      <w:r w:rsidRPr="00AE1B1D">
        <w:rPr>
          <w:noProof/>
          <w:lang w:val="en-US" w:eastAsia="en-US"/>
        </w:rPr>
        <w:t>in</w:t>
      </w:r>
      <w:r w:rsidR="005134DF" w:rsidRPr="00AE1B1D">
        <w:rPr>
          <w:noProof/>
          <w:lang w:val="en-US" w:eastAsia="en-US"/>
        </w:rPr>
        <w:t>to the osteoblastic lineage.</w:t>
      </w:r>
    </w:p>
    <w:p w14:paraId="04649811" w14:textId="2B208BC7" w:rsidR="005134DF" w:rsidRPr="00AE1B1D" w:rsidRDefault="005134DF" w:rsidP="008513FC">
      <w:pPr>
        <w:spacing w:after="240" w:line="480" w:lineRule="auto"/>
        <w:ind w:firstLine="284"/>
        <w:jc w:val="both"/>
        <w:rPr>
          <w:noProof/>
          <w:lang w:val="en-US" w:eastAsia="en-US"/>
        </w:rPr>
      </w:pPr>
      <w:r w:rsidRPr="00AE1B1D">
        <w:rPr>
          <w:noProof/>
          <w:lang w:val="en-US" w:eastAsia="en-US"/>
        </w:rPr>
        <w:lastRenderedPageBreak/>
        <w:t xml:space="preserve">Naringin has </w:t>
      </w:r>
      <w:r w:rsidR="007E4DE4" w:rsidRPr="00AE1B1D">
        <w:rPr>
          <w:noProof/>
          <w:lang w:val="en-US" w:eastAsia="en-US"/>
        </w:rPr>
        <w:t xml:space="preserve">been </w:t>
      </w:r>
      <w:r w:rsidRPr="00AE1B1D">
        <w:rPr>
          <w:noProof/>
          <w:lang w:val="en-US" w:eastAsia="en-US"/>
        </w:rPr>
        <w:t>previously</w:t>
      </w:r>
      <w:r w:rsidR="007E4DE4" w:rsidRPr="00AE1B1D">
        <w:rPr>
          <w:noProof/>
          <w:lang w:val="en-US" w:eastAsia="en-US"/>
        </w:rPr>
        <w:t xml:space="preserve"> </w:t>
      </w:r>
      <w:r w:rsidRPr="00AE1B1D">
        <w:rPr>
          <w:noProof/>
          <w:lang w:val="en-US" w:eastAsia="en-US"/>
        </w:rPr>
        <w:t xml:space="preserve">described to promote the secretion of BMPs </w:t>
      </w:r>
      <w:r w:rsidR="007371CD" w:rsidRPr="00AE1B1D">
        <w:rPr>
          <w:noProof/>
          <w:lang w:val="en-US" w:eastAsia="en-US"/>
        </w:rPr>
        <w:t xml:space="preserve">which </w:t>
      </w:r>
      <w:r w:rsidRPr="00AE1B1D">
        <w:rPr>
          <w:noProof/>
          <w:lang w:val="en-US" w:eastAsia="en-US"/>
        </w:rPr>
        <w:t>play a key role in modulating osteogenic differentiation pathways and coordinating bone formation</w:t>
      </w:r>
      <w:r w:rsidR="007E4DE4" w:rsidRPr="00AE1B1D">
        <w:rPr>
          <w:noProof/>
          <w:lang w:val="en-US" w:eastAsia="en-US"/>
        </w:rPr>
        <w:t>.</w:t>
      </w:r>
      <w:r w:rsidRPr="00AE1B1D">
        <w:rPr>
          <w:noProof/>
          <w:vertAlign w:val="superscript"/>
          <w:lang w:val="en-US" w:eastAsia="en-US"/>
        </w:rPr>
        <w:t>[12]</w:t>
      </w:r>
      <w:r w:rsidRPr="00AE1B1D">
        <w:rPr>
          <w:noProof/>
          <w:lang w:val="en-US" w:eastAsia="en-US"/>
        </w:rPr>
        <w:t xml:space="preserve"> The quantification of BMP-2 in the culture medium from the previous </w:t>
      </w:r>
      <w:r w:rsidRPr="00AE1B1D">
        <w:rPr>
          <w:i/>
          <w:noProof/>
          <w:lang w:val="en-US" w:eastAsia="en-US"/>
        </w:rPr>
        <w:t xml:space="preserve">in vitro </w:t>
      </w:r>
      <w:r w:rsidRPr="00AE1B1D">
        <w:rPr>
          <w:noProof/>
          <w:lang w:val="en-US" w:eastAsia="en-US"/>
        </w:rPr>
        <w:t>assays was performed via ELISA at 14 and 21 days of incubation.</w:t>
      </w:r>
      <w:r w:rsidR="00055BDB" w:rsidRPr="00AE1B1D">
        <w:rPr>
          <w:noProof/>
          <w:lang w:val="en-US" w:eastAsia="en-US"/>
        </w:rPr>
        <w:t xml:space="preserve"> </w:t>
      </w:r>
      <w:r w:rsidRPr="00AE1B1D">
        <w:rPr>
          <w:noProof/>
          <w:lang w:val="en-US" w:eastAsia="en-US"/>
        </w:rPr>
        <w:t xml:space="preserve">The results obtained in </w:t>
      </w:r>
      <w:r w:rsidRPr="00AE1B1D">
        <w:rPr>
          <w:b/>
          <w:noProof/>
          <w:lang w:val="en-US" w:eastAsia="en-US"/>
        </w:rPr>
        <w:t xml:space="preserve">Figure </w:t>
      </w:r>
      <w:r w:rsidR="00D5536F" w:rsidRPr="00AE1B1D">
        <w:rPr>
          <w:b/>
          <w:noProof/>
          <w:lang w:val="en-US" w:eastAsia="en-US"/>
        </w:rPr>
        <w:t>5</w:t>
      </w:r>
      <w:r w:rsidRPr="00AE1B1D">
        <w:rPr>
          <w:noProof/>
          <w:lang w:val="en-US" w:eastAsia="en-US"/>
        </w:rPr>
        <w:t xml:space="preserve"> highlight the contribution of Naringin over the OS-Dex group in improving the secretion of BMP-2. At 14 days, a dose-dependent stimulation of BMP-2 could be observed, with the highest Naringin dose of 50 </w:t>
      </w:r>
      <w:r w:rsidR="00FE6F1E" w:rsidRPr="00AE1B1D">
        <w:rPr>
          <w:rFonts w:ascii="Symbol" w:hAnsi="Symbol" w:cs="Calibri"/>
          <w:noProof/>
          <w:lang w:val="en-US" w:eastAsia="en-US"/>
        </w:rPr>
        <w:t></w:t>
      </w:r>
      <w:r w:rsidRPr="00AE1B1D">
        <w:rPr>
          <w:noProof/>
          <w:lang w:val="en-US" w:eastAsia="en-US"/>
        </w:rPr>
        <w:t>g</w:t>
      </w:r>
      <w:r w:rsidR="00CE1A49" w:rsidRPr="00AE1B1D">
        <w:rPr>
          <w:noProof/>
          <w:lang w:val="en-US" w:eastAsia="en-US"/>
        </w:rPr>
        <w:t xml:space="preserve"> </w:t>
      </w:r>
      <w:r w:rsidRPr="00AE1B1D">
        <w:rPr>
          <w:noProof/>
          <w:lang w:val="en-US" w:eastAsia="en-US"/>
        </w:rPr>
        <w:t>mL</w:t>
      </w:r>
      <w:r w:rsidR="00CE1A49" w:rsidRPr="00AE1B1D">
        <w:rPr>
          <w:noProof/>
          <w:vertAlign w:val="superscript"/>
          <w:lang w:val="en-US" w:eastAsia="en-US"/>
        </w:rPr>
        <w:t>-1</w:t>
      </w:r>
      <w:r w:rsidRPr="00AE1B1D">
        <w:rPr>
          <w:noProof/>
          <w:lang w:val="en-US" w:eastAsia="en-US"/>
        </w:rPr>
        <w:t xml:space="preserve"> significantly improving BMP-2 levels over OS-Dex and 20 </w:t>
      </w:r>
      <w:r w:rsidR="00FE6F1E" w:rsidRPr="00AE1B1D">
        <w:rPr>
          <w:rFonts w:ascii="Symbol" w:hAnsi="Symbol" w:cs="Calibri"/>
          <w:noProof/>
          <w:lang w:val="en-US" w:eastAsia="en-US"/>
        </w:rPr>
        <w:t></w:t>
      </w:r>
      <w:r w:rsidR="00CE1A49" w:rsidRPr="00AE1B1D">
        <w:rPr>
          <w:noProof/>
          <w:lang w:val="en-US" w:eastAsia="en-US"/>
        </w:rPr>
        <w:t>g mL</w:t>
      </w:r>
      <w:r w:rsidR="00CE1A49" w:rsidRPr="00AE1B1D">
        <w:rPr>
          <w:noProof/>
          <w:vertAlign w:val="superscript"/>
          <w:lang w:val="en-US" w:eastAsia="en-US"/>
        </w:rPr>
        <w:t>-1</w:t>
      </w:r>
      <w:r w:rsidR="00CE1A49" w:rsidRPr="00AE1B1D">
        <w:rPr>
          <w:noProof/>
          <w:lang w:val="en-US" w:eastAsia="en-US"/>
        </w:rPr>
        <w:t xml:space="preserve"> </w:t>
      </w:r>
      <w:r w:rsidRPr="00AE1B1D">
        <w:rPr>
          <w:noProof/>
          <w:lang w:val="en-US" w:eastAsia="en-US"/>
        </w:rPr>
        <w:t>dose groups</w:t>
      </w:r>
      <w:r w:rsidR="00CE1A49" w:rsidRPr="00AE1B1D">
        <w:rPr>
          <w:noProof/>
          <w:lang w:val="en-US" w:eastAsia="en-US"/>
        </w:rPr>
        <w:t xml:space="preserve">. </w:t>
      </w:r>
      <w:r w:rsidRPr="00AE1B1D">
        <w:rPr>
          <w:noProof/>
          <w:lang w:val="en-US" w:eastAsia="en-US"/>
        </w:rPr>
        <w:t>In addition, the cumulative BMP-2 levels at 21 days show a 0.4-fold improvement over</w:t>
      </w:r>
      <w:r w:rsidR="007371CD" w:rsidRPr="00AE1B1D">
        <w:rPr>
          <w:noProof/>
          <w:lang w:val="en-US" w:eastAsia="en-US"/>
        </w:rPr>
        <w:t xml:space="preserve"> thos</w:t>
      </w:r>
      <w:r w:rsidR="007E4DE4" w:rsidRPr="00AE1B1D">
        <w:rPr>
          <w:noProof/>
          <w:lang w:val="en-US" w:eastAsia="en-US"/>
        </w:rPr>
        <w:t>e</w:t>
      </w:r>
      <w:r w:rsidR="007371CD" w:rsidRPr="00AE1B1D">
        <w:rPr>
          <w:noProof/>
          <w:lang w:val="en-US" w:eastAsia="en-US"/>
        </w:rPr>
        <w:t xml:space="preserve"> obtained in</w:t>
      </w:r>
      <w:r w:rsidRPr="00AE1B1D">
        <w:rPr>
          <w:noProof/>
          <w:lang w:val="en-US" w:eastAsia="en-US"/>
        </w:rPr>
        <w:t xml:space="preserve"> OS-Dex control group. </w:t>
      </w:r>
      <w:r w:rsidR="00BD352C" w:rsidRPr="00AE1B1D">
        <w:rPr>
          <w:noProof/>
          <w:lang w:val="en-US" w:eastAsia="en-US"/>
        </w:rPr>
        <w:t xml:space="preserve">In parallel, </w:t>
      </w:r>
      <w:r w:rsidR="00A652CD" w:rsidRPr="00AE1B1D">
        <w:rPr>
          <w:noProof/>
          <w:lang w:val="en-US" w:eastAsia="en-US"/>
        </w:rPr>
        <w:t xml:space="preserve">cumulative </w:t>
      </w:r>
      <w:r w:rsidR="00BD352C" w:rsidRPr="00AE1B1D">
        <w:rPr>
          <w:noProof/>
          <w:lang w:val="en-US" w:eastAsia="en-US"/>
        </w:rPr>
        <w:t xml:space="preserve">BMP-2 expression </w:t>
      </w:r>
      <w:r w:rsidR="00A652CD" w:rsidRPr="00AE1B1D">
        <w:rPr>
          <w:noProof/>
          <w:lang w:val="en-US" w:eastAsia="en-US"/>
        </w:rPr>
        <w:t xml:space="preserve">at 21 days </w:t>
      </w:r>
      <w:r w:rsidR="00BD352C" w:rsidRPr="00AE1B1D">
        <w:rPr>
          <w:noProof/>
          <w:lang w:val="en-US" w:eastAsia="en-US"/>
        </w:rPr>
        <w:t xml:space="preserve">was also augmented </w:t>
      </w:r>
      <w:r w:rsidR="00A652CD" w:rsidRPr="00AE1B1D">
        <w:rPr>
          <w:noProof/>
          <w:lang w:val="en-US" w:eastAsia="en-US"/>
        </w:rPr>
        <w:t>upon</w:t>
      </w:r>
      <w:r w:rsidR="00BD352C" w:rsidRPr="00AE1B1D">
        <w:rPr>
          <w:noProof/>
          <w:lang w:val="en-US" w:eastAsia="en-US"/>
        </w:rPr>
        <w:t xml:space="preserve"> </w:t>
      </w:r>
      <w:r w:rsidR="00A652CD" w:rsidRPr="00AE1B1D">
        <w:rPr>
          <w:noProof/>
          <w:lang w:val="en-US" w:eastAsia="en-US"/>
        </w:rPr>
        <w:t>an</w:t>
      </w:r>
      <w:r w:rsidR="00BD352C" w:rsidRPr="00AE1B1D">
        <w:rPr>
          <w:noProof/>
          <w:lang w:val="en-US" w:eastAsia="en-US"/>
        </w:rPr>
        <w:t xml:space="preserve"> initial dose of Naringin-loaded nanomicelles</w:t>
      </w:r>
      <w:r w:rsidR="00A652CD" w:rsidRPr="00AE1B1D">
        <w:rPr>
          <w:noProof/>
          <w:lang w:val="en-US" w:eastAsia="en-US"/>
        </w:rPr>
        <w:t xml:space="preserve"> </w:t>
      </w:r>
      <w:r w:rsidR="00A652CD" w:rsidRPr="00AE1B1D">
        <w:rPr>
          <w:b/>
          <w:noProof/>
          <w:lang w:val="en-US" w:eastAsia="en-US"/>
        </w:rPr>
        <w:t>(Figure S</w:t>
      </w:r>
      <w:r w:rsidR="00370D7F" w:rsidRPr="00AE1B1D">
        <w:rPr>
          <w:b/>
          <w:noProof/>
          <w:lang w:val="en-US" w:eastAsia="en-US"/>
        </w:rPr>
        <w:t>11</w:t>
      </w:r>
      <w:r w:rsidR="00A652CD" w:rsidRPr="00AE1B1D">
        <w:rPr>
          <w:b/>
          <w:noProof/>
          <w:lang w:val="en-US" w:eastAsia="en-US"/>
        </w:rPr>
        <w:t>)</w:t>
      </w:r>
      <w:r w:rsidR="00A652CD" w:rsidRPr="00AE1B1D">
        <w:rPr>
          <w:noProof/>
          <w:lang w:val="en-US" w:eastAsia="en-US"/>
        </w:rPr>
        <w:t xml:space="preserve">. Here, the highest dose significantly improved BMP-2 levels over osteogenic control group and lower doses (5 and 10 </w:t>
      </w:r>
      <w:r w:rsidR="00A652CD" w:rsidRPr="00AE1B1D">
        <w:rPr>
          <w:rFonts w:ascii="Calibri" w:hAnsi="Calibri" w:cs="Calibri"/>
          <w:noProof/>
          <w:lang w:val="en-US" w:eastAsia="en-US"/>
        </w:rPr>
        <w:t>µ</w:t>
      </w:r>
      <w:r w:rsidR="00A652CD" w:rsidRPr="00AE1B1D">
        <w:rPr>
          <w:noProof/>
          <w:lang w:val="en-US" w:eastAsia="en-US"/>
        </w:rPr>
        <w:t xml:space="preserve">g/mL). </w:t>
      </w:r>
      <w:r w:rsidRPr="00AE1B1D">
        <w:rPr>
          <w:noProof/>
          <w:lang w:val="en-US" w:eastAsia="en-US"/>
        </w:rPr>
        <w:t xml:space="preserve">Overall, these results underline that a single initial dose of Naringin was sufficient to elicit an increased BMP-2 production over </w:t>
      </w:r>
      <w:r w:rsidR="00A652CD" w:rsidRPr="00AE1B1D">
        <w:rPr>
          <w:noProof/>
          <w:lang w:val="en-US" w:eastAsia="en-US"/>
        </w:rPr>
        <w:t xml:space="preserve">control-treated hASCs at </w:t>
      </w:r>
      <w:r w:rsidRPr="00AE1B1D">
        <w:rPr>
          <w:noProof/>
          <w:lang w:val="en-US" w:eastAsia="en-US"/>
        </w:rPr>
        <w:t>21 days. Furthermore, they showcase the importance of evaluating different osteogenic markers, other than ALP activity, because these can convey important findings regarding Naringin effect in hASC</w:t>
      </w:r>
      <w:r w:rsidR="00A652CD" w:rsidRPr="00AE1B1D">
        <w:rPr>
          <w:noProof/>
          <w:lang w:val="en-US" w:eastAsia="en-US"/>
        </w:rPr>
        <w:t>s</w:t>
      </w:r>
      <w:r w:rsidRPr="00AE1B1D">
        <w:rPr>
          <w:noProof/>
          <w:lang w:val="en-US" w:eastAsia="en-US"/>
        </w:rPr>
        <w:t>.</w:t>
      </w:r>
    </w:p>
    <w:p w14:paraId="222A79AD" w14:textId="77777777" w:rsidR="005134DF" w:rsidRPr="00AE1B1D" w:rsidRDefault="005134DF" w:rsidP="009D23D9">
      <w:pPr>
        <w:spacing w:after="240" w:line="480" w:lineRule="auto"/>
        <w:ind w:firstLine="284"/>
        <w:jc w:val="both"/>
        <w:rPr>
          <w:noProof/>
          <w:lang w:val="en-US" w:eastAsia="en-US"/>
        </w:rPr>
      </w:pPr>
      <w:r w:rsidRPr="00AE1B1D">
        <w:rPr>
          <w:noProof/>
          <w:lang w:val="en-US" w:eastAsia="en-US"/>
        </w:rPr>
        <w:t xml:space="preserve">It is worth noting that </w:t>
      </w:r>
      <w:r w:rsidRPr="00AE1B1D">
        <w:rPr>
          <w:lang w:val="en-US" w:eastAsia="en-US"/>
        </w:rPr>
        <w:t>this increased BMP-2 production did not lead to significant differences in ALP activity after 14 or 21 days of OS-</w:t>
      </w:r>
      <w:proofErr w:type="spellStart"/>
      <w:r w:rsidRPr="00AE1B1D">
        <w:rPr>
          <w:lang w:val="en-US" w:eastAsia="en-US"/>
        </w:rPr>
        <w:t>Dex</w:t>
      </w:r>
      <w:proofErr w:type="spellEnd"/>
      <w:r w:rsidRPr="00AE1B1D">
        <w:rPr>
          <w:lang w:val="en-US" w:eastAsia="en-US"/>
        </w:rPr>
        <w:t xml:space="preserve"> stimulation. These findings are in agreement with a previous study by Cruz and colleagues, where they found that exogenous administration of recombinant BMP-2 to </w:t>
      </w:r>
      <w:proofErr w:type="spellStart"/>
      <w:r w:rsidRPr="00AE1B1D">
        <w:rPr>
          <w:lang w:val="en-US" w:eastAsia="en-US"/>
        </w:rPr>
        <w:t>hASCs</w:t>
      </w:r>
      <w:proofErr w:type="spellEnd"/>
      <w:r w:rsidRPr="00AE1B1D">
        <w:rPr>
          <w:lang w:val="en-US" w:eastAsia="en-US"/>
        </w:rPr>
        <w:t xml:space="preserve"> did not increase ALP</w:t>
      </w:r>
      <w:r w:rsidR="007371CD" w:rsidRPr="00AE1B1D">
        <w:rPr>
          <w:lang w:val="en-US" w:eastAsia="en-US"/>
        </w:rPr>
        <w:t xml:space="preserve"> levels</w:t>
      </w:r>
      <w:r w:rsidR="007E4DE4" w:rsidRPr="00AE1B1D">
        <w:rPr>
          <w:lang w:val="en-US" w:eastAsia="en-US"/>
        </w:rPr>
        <w:t>.</w:t>
      </w:r>
      <w:r w:rsidR="00475980" w:rsidRPr="00AE1B1D">
        <w:rPr>
          <w:noProof/>
          <w:vertAlign w:val="superscript"/>
          <w:lang w:val="en-US" w:eastAsia="en-US"/>
        </w:rPr>
        <w:t>[4</w:t>
      </w:r>
      <w:r w:rsidR="00025D04" w:rsidRPr="00AE1B1D">
        <w:rPr>
          <w:noProof/>
          <w:vertAlign w:val="superscript"/>
          <w:lang w:val="en-US" w:eastAsia="en-US"/>
        </w:rPr>
        <w:t>4</w:t>
      </w:r>
      <w:r w:rsidR="00475980" w:rsidRPr="00AE1B1D">
        <w:rPr>
          <w:noProof/>
          <w:vertAlign w:val="superscript"/>
          <w:lang w:val="en-US" w:eastAsia="en-US"/>
        </w:rPr>
        <w:t>]</w:t>
      </w:r>
      <w:r w:rsidRPr="00AE1B1D">
        <w:rPr>
          <w:lang w:val="en-US" w:eastAsia="en-US"/>
        </w:rPr>
        <w:t xml:space="preserve"> </w:t>
      </w:r>
      <w:r w:rsidR="007371CD" w:rsidRPr="00AE1B1D">
        <w:rPr>
          <w:lang w:val="en-US" w:eastAsia="en-US"/>
        </w:rPr>
        <w:t>T</w:t>
      </w:r>
      <w:r w:rsidRPr="00AE1B1D">
        <w:rPr>
          <w:lang w:val="en-US" w:eastAsia="en-US"/>
        </w:rPr>
        <w:t>he e</w:t>
      </w:r>
      <w:r w:rsidRPr="00AE1B1D">
        <w:rPr>
          <w:noProof/>
          <w:lang w:val="en-US" w:eastAsia="en-US"/>
        </w:rPr>
        <w:t xml:space="preserve">nhanced secretion of BMP-2 by Naringin in hASCs is an important finding, in particular because this bone morphogenetic protein is capable of inducing </w:t>
      </w:r>
      <w:r w:rsidR="007371CD" w:rsidRPr="00AE1B1D">
        <w:rPr>
          <w:noProof/>
          <w:lang w:val="en-US" w:eastAsia="en-US"/>
        </w:rPr>
        <w:t xml:space="preserve">the </w:t>
      </w:r>
      <w:r w:rsidRPr="00AE1B1D">
        <w:rPr>
          <w:noProof/>
          <w:lang w:val="en-US" w:eastAsia="en-US"/>
        </w:rPr>
        <w:t>differentiation of multipotent stem cell lines into an osteoblastic-phenotype</w:t>
      </w:r>
      <w:r w:rsidR="007E4DE4" w:rsidRPr="00AE1B1D">
        <w:rPr>
          <w:noProof/>
          <w:lang w:val="en-US" w:eastAsia="en-US"/>
        </w:rPr>
        <w:t>.</w:t>
      </w:r>
      <w:r w:rsidR="00475980" w:rsidRPr="00AE1B1D">
        <w:rPr>
          <w:noProof/>
          <w:vertAlign w:val="superscript"/>
          <w:lang w:val="en-US" w:eastAsia="en-US"/>
        </w:rPr>
        <w:t>[4</w:t>
      </w:r>
      <w:r w:rsidR="00025D04" w:rsidRPr="00AE1B1D">
        <w:rPr>
          <w:noProof/>
          <w:vertAlign w:val="superscript"/>
          <w:lang w:val="en-US" w:eastAsia="en-US"/>
        </w:rPr>
        <w:t>5</w:t>
      </w:r>
      <w:r w:rsidR="00475980" w:rsidRPr="00AE1B1D">
        <w:rPr>
          <w:noProof/>
          <w:vertAlign w:val="superscript"/>
          <w:lang w:val="en-US" w:eastAsia="en-US"/>
        </w:rPr>
        <w:t>]</w:t>
      </w:r>
      <w:r w:rsidRPr="00AE1B1D">
        <w:rPr>
          <w:noProof/>
          <w:lang w:val="en-US" w:eastAsia="en-US"/>
        </w:rPr>
        <w:t xml:space="preserve"> Moreover, Naringin appears to have a synergistic effect with BMP-2 in the total osteogenic differentiation of MC3T3-E1 pre-osteoblasts</w:t>
      </w:r>
      <w:r w:rsidR="007E4DE4" w:rsidRPr="00AE1B1D">
        <w:rPr>
          <w:noProof/>
          <w:lang w:val="en-US" w:eastAsia="en-US"/>
        </w:rPr>
        <w:t>.</w:t>
      </w:r>
      <w:r w:rsidR="00A05659" w:rsidRPr="00AE1B1D">
        <w:rPr>
          <w:noProof/>
          <w:vertAlign w:val="superscript"/>
          <w:lang w:val="en-US" w:eastAsia="en-US"/>
        </w:rPr>
        <w:t>[13]</w:t>
      </w:r>
      <w:r w:rsidRPr="00AE1B1D">
        <w:rPr>
          <w:noProof/>
          <w:lang w:val="en-US" w:eastAsia="en-US"/>
        </w:rPr>
        <w:t xml:space="preserve"> So far, across the literature there </w:t>
      </w:r>
      <w:r w:rsidR="00D5536F" w:rsidRPr="00AE1B1D">
        <w:rPr>
          <w:noProof/>
          <w:lang w:val="en-US" w:eastAsia="en-US"/>
        </w:rPr>
        <w:t>are few studies</w:t>
      </w:r>
      <w:r w:rsidRPr="00AE1B1D">
        <w:rPr>
          <w:noProof/>
          <w:lang w:val="en-US" w:eastAsia="en-US"/>
        </w:rPr>
        <w:t xml:space="preserve"> describing Naringin-induced BMP-2 secretion</w:t>
      </w:r>
      <w:r w:rsidR="00D5536F" w:rsidRPr="00AE1B1D">
        <w:rPr>
          <w:noProof/>
          <w:lang w:val="en-US" w:eastAsia="en-US"/>
        </w:rPr>
        <w:t>. One</w:t>
      </w:r>
      <w:r w:rsidR="00347626" w:rsidRPr="00AE1B1D">
        <w:rPr>
          <w:noProof/>
          <w:lang w:val="en-US" w:eastAsia="en-US"/>
        </w:rPr>
        <w:t xml:space="preserve"> study </w:t>
      </w:r>
      <w:r w:rsidR="00347626" w:rsidRPr="00AE1B1D">
        <w:rPr>
          <w:noProof/>
          <w:lang w:val="en-US" w:eastAsia="en-US"/>
        </w:rPr>
        <w:lastRenderedPageBreak/>
        <w:t>reported th</w:t>
      </w:r>
      <w:r w:rsidRPr="00AE1B1D">
        <w:rPr>
          <w:noProof/>
          <w:lang w:val="en-US" w:eastAsia="en-US"/>
        </w:rPr>
        <w:t xml:space="preserve">is effect in </w:t>
      </w:r>
      <w:r w:rsidR="007E4DE4" w:rsidRPr="00AE1B1D">
        <w:rPr>
          <w:noProof/>
          <w:lang w:val="en-US" w:eastAsia="en-US"/>
        </w:rPr>
        <w:t>murine primary fetal osteoblasts</w:t>
      </w:r>
      <w:r w:rsidRPr="00AE1B1D">
        <w:rPr>
          <w:noProof/>
          <w:lang w:val="en-US" w:eastAsia="en-US"/>
        </w:rPr>
        <w:t>, i.e., differentiated cells with an already defined osteoblastic phenotype</w:t>
      </w:r>
      <w:r w:rsidR="007E4DE4" w:rsidRPr="00AE1B1D">
        <w:rPr>
          <w:noProof/>
          <w:lang w:val="en-US" w:eastAsia="en-US"/>
        </w:rPr>
        <w:t>.</w:t>
      </w:r>
      <w:r w:rsidRPr="00AE1B1D">
        <w:rPr>
          <w:noProof/>
          <w:vertAlign w:val="superscript"/>
          <w:lang w:val="en-US" w:eastAsia="en-US"/>
        </w:rPr>
        <w:t>[12]</w:t>
      </w:r>
      <w:r w:rsidRPr="00AE1B1D">
        <w:rPr>
          <w:noProof/>
          <w:lang w:val="en-US" w:eastAsia="en-US"/>
        </w:rPr>
        <w:t xml:space="preserve"> </w:t>
      </w:r>
      <w:r w:rsidR="009D23D9" w:rsidRPr="00AE1B1D">
        <w:rPr>
          <w:noProof/>
          <w:lang w:val="en-US" w:eastAsia="en-US"/>
        </w:rPr>
        <w:t>Alternatively</w:t>
      </w:r>
      <w:r w:rsidR="00347626" w:rsidRPr="00AE1B1D">
        <w:rPr>
          <w:noProof/>
          <w:lang w:val="en-US" w:eastAsia="en-US"/>
        </w:rPr>
        <w:t>, a second work studied</w:t>
      </w:r>
      <w:r w:rsidR="003E3070" w:rsidRPr="00AE1B1D">
        <w:rPr>
          <w:noProof/>
          <w:lang w:val="en-US" w:eastAsia="en-US"/>
        </w:rPr>
        <w:t xml:space="preserve"> this effect in human degenerative disc nucleous pulposus cells</w:t>
      </w:r>
      <w:r w:rsidR="007E4DE4" w:rsidRPr="00AE1B1D">
        <w:rPr>
          <w:noProof/>
          <w:lang w:val="en-US" w:eastAsia="en-US"/>
        </w:rPr>
        <w:t>.</w:t>
      </w:r>
      <w:r w:rsidR="00475980" w:rsidRPr="00AE1B1D">
        <w:rPr>
          <w:noProof/>
          <w:vertAlign w:val="superscript"/>
          <w:lang w:val="en-US" w:eastAsia="en-US"/>
        </w:rPr>
        <w:t>[4</w:t>
      </w:r>
      <w:r w:rsidR="00025D04" w:rsidRPr="00AE1B1D">
        <w:rPr>
          <w:noProof/>
          <w:vertAlign w:val="superscript"/>
          <w:lang w:val="en-US" w:eastAsia="en-US"/>
        </w:rPr>
        <w:t>6</w:t>
      </w:r>
      <w:r w:rsidR="00475980" w:rsidRPr="00AE1B1D">
        <w:rPr>
          <w:noProof/>
          <w:vertAlign w:val="superscript"/>
          <w:lang w:val="en-US" w:eastAsia="en-US"/>
        </w:rPr>
        <w:t>]</w:t>
      </w:r>
      <w:r w:rsidR="009D23D9" w:rsidRPr="00AE1B1D">
        <w:rPr>
          <w:noProof/>
          <w:lang w:val="en-US" w:eastAsia="en-US"/>
        </w:rPr>
        <w:t xml:space="preserve"> </w:t>
      </w:r>
      <w:r w:rsidRPr="00AE1B1D">
        <w:rPr>
          <w:noProof/>
          <w:lang w:val="en-US" w:eastAsia="en-US"/>
        </w:rPr>
        <w:t xml:space="preserve">Therefore, the above findings provide </w:t>
      </w:r>
      <w:r w:rsidR="003E0361" w:rsidRPr="00AE1B1D">
        <w:rPr>
          <w:noProof/>
          <w:lang w:val="en-US" w:eastAsia="en-US"/>
        </w:rPr>
        <w:t xml:space="preserve">evidence </w:t>
      </w:r>
      <w:r w:rsidRPr="00AE1B1D">
        <w:rPr>
          <w:noProof/>
          <w:lang w:val="en-US" w:eastAsia="en-US"/>
        </w:rPr>
        <w:t>of this effect for the first time in hASCs and its importance is supported by the role of BMP-2 in the osteogenic commitment of stem cells.</w:t>
      </w:r>
    </w:p>
    <w:p w14:paraId="528AAFD9" w14:textId="77777777" w:rsidR="00277F92" w:rsidRPr="00AE1B1D" w:rsidRDefault="00277F92" w:rsidP="00277F92">
      <w:pPr>
        <w:pStyle w:val="Head2"/>
      </w:pPr>
      <w:r w:rsidRPr="00AE1B1D">
        <w:t>2.</w:t>
      </w:r>
      <w:r w:rsidR="008C7A19" w:rsidRPr="00AE1B1D">
        <w:t>7</w:t>
      </w:r>
      <w:r w:rsidRPr="00AE1B1D">
        <w:t xml:space="preserve">.3. Naringin-induced </w:t>
      </w:r>
      <w:proofErr w:type="spellStart"/>
      <w:r w:rsidR="007705CC" w:rsidRPr="00AE1B1D">
        <w:t>O</w:t>
      </w:r>
      <w:r w:rsidR="00CE5B3C" w:rsidRPr="00AE1B1D">
        <w:t>steopontin</w:t>
      </w:r>
      <w:proofErr w:type="spellEnd"/>
      <w:r w:rsidR="00CE5B3C" w:rsidRPr="00AE1B1D">
        <w:t xml:space="preserve"> expression</w:t>
      </w:r>
    </w:p>
    <w:p w14:paraId="2D88F50B" w14:textId="77777777" w:rsidR="00BA4F00" w:rsidRPr="00AE1B1D" w:rsidRDefault="00275C7D" w:rsidP="007E385F">
      <w:pPr>
        <w:spacing w:after="240" w:line="480" w:lineRule="auto"/>
        <w:ind w:firstLine="284"/>
        <w:jc w:val="both"/>
        <w:rPr>
          <w:noProof/>
          <w:lang w:val="en-US" w:eastAsia="en-US"/>
        </w:rPr>
      </w:pPr>
      <w:r w:rsidRPr="00AE1B1D">
        <w:rPr>
          <w:noProof/>
          <w:lang w:val="en-US" w:eastAsia="en-US"/>
        </w:rPr>
        <w:t xml:space="preserve">Naringin has been previously described to increase </w:t>
      </w:r>
      <w:r w:rsidR="007705CC" w:rsidRPr="00AE1B1D">
        <w:rPr>
          <w:noProof/>
          <w:lang w:val="en-US" w:eastAsia="en-US"/>
        </w:rPr>
        <w:t>osteopontin (</w:t>
      </w:r>
      <w:r w:rsidRPr="00AE1B1D">
        <w:rPr>
          <w:noProof/>
          <w:lang w:val="en-US" w:eastAsia="en-US"/>
        </w:rPr>
        <w:t>OPN</w:t>
      </w:r>
      <w:r w:rsidR="007705CC" w:rsidRPr="00AE1B1D">
        <w:rPr>
          <w:noProof/>
          <w:lang w:val="en-US" w:eastAsia="en-US"/>
        </w:rPr>
        <w:t>)</w:t>
      </w:r>
      <w:r w:rsidRPr="00AE1B1D">
        <w:rPr>
          <w:noProof/>
          <w:lang w:val="en-US" w:eastAsia="en-US"/>
        </w:rPr>
        <w:t xml:space="preserve"> expression in both osteoprogenitor (e.g</w:t>
      </w:r>
      <w:r w:rsidRPr="00AE1B1D">
        <w:rPr>
          <w:i/>
          <w:noProof/>
          <w:lang w:val="en-US" w:eastAsia="en-US"/>
        </w:rPr>
        <w:t>.</w:t>
      </w:r>
      <w:r w:rsidRPr="00AE1B1D">
        <w:rPr>
          <w:noProof/>
          <w:lang w:val="en-US" w:eastAsia="en-US"/>
        </w:rPr>
        <w:t xml:space="preserve"> </w:t>
      </w:r>
      <w:r w:rsidR="00BA4F00" w:rsidRPr="00AE1B1D">
        <w:rPr>
          <w:noProof/>
          <w:lang w:val="en-US" w:eastAsia="en-US"/>
        </w:rPr>
        <w:t>h</w:t>
      </w:r>
      <w:r w:rsidRPr="00AE1B1D">
        <w:rPr>
          <w:noProof/>
          <w:lang w:val="en-US" w:eastAsia="en-US"/>
        </w:rPr>
        <w:t>BM-MSCs,</w:t>
      </w:r>
      <w:r w:rsidR="00BA4F00" w:rsidRPr="00AE1B1D">
        <w:rPr>
          <w:noProof/>
          <w:lang w:val="en-US" w:eastAsia="en-US"/>
        </w:rPr>
        <w:t xml:space="preserve"> </w:t>
      </w:r>
      <w:r w:rsidRPr="00AE1B1D">
        <w:rPr>
          <w:noProof/>
          <w:lang w:val="en-US" w:eastAsia="en-US"/>
        </w:rPr>
        <w:t>MC3T3-E1) and osteoblastic cell lines (e.g. h</w:t>
      </w:r>
      <w:r w:rsidR="007E4DE4" w:rsidRPr="00AE1B1D">
        <w:rPr>
          <w:noProof/>
          <w:lang w:val="en-US" w:eastAsia="en-US"/>
        </w:rPr>
        <w:t>uman and murine primary fetal osteoblasts)</w:t>
      </w:r>
      <w:r w:rsidRPr="00AE1B1D">
        <w:rPr>
          <w:noProof/>
          <w:lang w:val="en-US" w:eastAsia="en-US"/>
        </w:rPr>
        <w:t>, reflecting the osteogenic potential of this flavanone for bone tissue engineering applications due to the role of OPN in promoting biomechanical osteointegration</w:t>
      </w:r>
      <w:r w:rsidR="00BE5115" w:rsidRPr="00AE1B1D">
        <w:rPr>
          <w:noProof/>
          <w:lang w:val="en-US" w:eastAsia="en-US"/>
        </w:rPr>
        <w:t>.</w:t>
      </w:r>
      <w:r w:rsidR="00025D04" w:rsidRPr="00AE1B1D">
        <w:rPr>
          <w:noProof/>
          <w:vertAlign w:val="superscript"/>
          <w:lang w:val="en-US" w:eastAsia="en-US"/>
        </w:rPr>
        <w:t>[12,37</w:t>
      </w:r>
      <w:r w:rsidR="0060653E" w:rsidRPr="00AE1B1D">
        <w:rPr>
          <w:noProof/>
          <w:vertAlign w:val="superscript"/>
          <w:lang w:val="en-US" w:eastAsia="en-US"/>
        </w:rPr>
        <w:t>]</w:t>
      </w:r>
      <w:r w:rsidRPr="00AE1B1D">
        <w:rPr>
          <w:noProof/>
          <w:lang w:val="en-US" w:eastAsia="en-US"/>
        </w:rPr>
        <w:t xml:space="preserve"> </w:t>
      </w:r>
      <w:r w:rsidR="00BA4F00" w:rsidRPr="00AE1B1D">
        <w:rPr>
          <w:noProof/>
          <w:lang w:val="en-US" w:eastAsia="en-US"/>
        </w:rPr>
        <w:t>To evaluate this potential</w:t>
      </w:r>
      <w:r w:rsidRPr="00AE1B1D">
        <w:rPr>
          <w:noProof/>
          <w:lang w:val="en-US" w:eastAsia="en-US"/>
        </w:rPr>
        <w:t>, hASCs were</w:t>
      </w:r>
      <w:r w:rsidR="00BA4F00" w:rsidRPr="00AE1B1D">
        <w:rPr>
          <w:noProof/>
          <w:lang w:val="en-US" w:eastAsia="en-US"/>
        </w:rPr>
        <w:t xml:space="preserve"> initially</w:t>
      </w:r>
      <w:r w:rsidRPr="00AE1B1D">
        <w:rPr>
          <w:noProof/>
          <w:lang w:val="en-US" w:eastAsia="en-US"/>
        </w:rPr>
        <w:t xml:space="preserve"> incubated with different concentrations of free Naringin and also Naringin-loaded nanomicelles in OS-Dex containing medium over 14 days. Throughout the assay, cell culture medium was exchanged every 3 to 4 days with fresh OS-Dex medium (Figure </w:t>
      </w:r>
      <w:r w:rsidR="003F1128" w:rsidRPr="00AE1B1D">
        <w:rPr>
          <w:noProof/>
          <w:lang w:val="en-US" w:eastAsia="en-US"/>
        </w:rPr>
        <w:t>4</w:t>
      </w:r>
      <w:r w:rsidRPr="00AE1B1D">
        <w:rPr>
          <w:noProof/>
          <w:lang w:val="en-US" w:eastAsia="en-US"/>
        </w:rPr>
        <w:t>A</w:t>
      </w:r>
      <w:r w:rsidR="00BA4F00" w:rsidRPr="00AE1B1D">
        <w:rPr>
          <w:noProof/>
          <w:lang w:val="en-US" w:eastAsia="en-US"/>
        </w:rPr>
        <w:t>, dose regime schematics</w:t>
      </w:r>
      <w:r w:rsidRPr="00AE1B1D">
        <w:rPr>
          <w:noProof/>
          <w:lang w:val="en-US" w:eastAsia="en-US"/>
        </w:rPr>
        <w:t xml:space="preserve">). The expression of OPN was then </w:t>
      </w:r>
      <w:r w:rsidR="00BA4F00" w:rsidRPr="00AE1B1D">
        <w:rPr>
          <w:noProof/>
          <w:lang w:val="en-US" w:eastAsia="en-US"/>
        </w:rPr>
        <w:t xml:space="preserve">evaluated </w:t>
      </w:r>
      <w:r w:rsidRPr="00AE1B1D">
        <w:rPr>
          <w:noProof/>
          <w:lang w:val="en-US" w:eastAsia="en-US"/>
        </w:rPr>
        <w:t xml:space="preserve">by </w:t>
      </w:r>
      <w:r w:rsidR="00BA4F00" w:rsidRPr="00AE1B1D">
        <w:rPr>
          <w:noProof/>
          <w:lang w:val="en-US" w:eastAsia="en-US"/>
        </w:rPr>
        <w:t>immunocytochemistry.</w:t>
      </w:r>
    </w:p>
    <w:p w14:paraId="7A2D7F55" w14:textId="30181228" w:rsidR="00BA4F00" w:rsidRPr="00AE1B1D" w:rsidRDefault="00E472D3" w:rsidP="007E385F">
      <w:pPr>
        <w:spacing w:after="240" w:line="480" w:lineRule="auto"/>
        <w:ind w:firstLine="284"/>
        <w:jc w:val="both"/>
        <w:rPr>
          <w:noProof/>
          <w:lang w:val="en-US" w:eastAsia="en-US"/>
        </w:rPr>
      </w:pPr>
      <w:r w:rsidRPr="00AE1B1D">
        <w:rPr>
          <w:noProof/>
          <w:lang w:val="en-US" w:eastAsia="en-US"/>
        </w:rPr>
        <w:t>The obtained results show</w:t>
      </w:r>
      <w:r w:rsidR="00BA4F00" w:rsidRPr="00AE1B1D">
        <w:rPr>
          <w:noProof/>
          <w:lang w:val="en-US" w:eastAsia="en-US"/>
        </w:rPr>
        <w:t xml:space="preserve">n in </w:t>
      </w:r>
      <w:r w:rsidR="00BA4F00" w:rsidRPr="00AE1B1D">
        <w:rPr>
          <w:b/>
          <w:noProof/>
          <w:lang w:val="en-US" w:eastAsia="en-US"/>
        </w:rPr>
        <w:t>Figures 6A</w:t>
      </w:r>
      <w:r w:rsidR="00BA4F00" w:rsidRPr="00AE1B1D">
        <w:rPr>
          <w:noProof/>
          <w:lang w:val="en-US" w:eastAsia="en-US"/>
        </w:rPr>
        <w:t xml:space="preserve"> and </w:t>
      </w:r>
      <w:r w:rsidR="00BA4F00" w:rsidRPr="00AE1B1D">
        <w:rPr>
          <w:b/>
          <w:noProof/>
          <w:lang w:val="en-US" w:eastAsia="en-US"/>
        </w:rPr>
        <w:t>6B</w:t>
      </w:r>
      <w:r w:rsidR="00BA4F00" w:rsidRPr="00AE1B1D">
        <w:rPr>
          <w:noProof/>
          <w:lang w:val="en-US" w:eastAsia="en-US"/>
        </w:rPr>
        <w:t xml:space="preserve"> emphasize</w:t>
      </w:r>
      <w:r w:rsidRPr="00AE1B1D">
        <w:rPr>
          <w:noProof/>
          <w:lang w:val="en-US" w:eastAsia="en-US"/>
        </w:rPr>
        <w:t xml:space="preserve"> the remarkable capacity of Naringin to induce OPN expression in hASCs. In fact, a single stimulatory dose of Naringin was able to significantly enhance OPN expression after 14 days of culture</w:t>
      </w:r>
      <w:r w:rsidR="00DC307F" w:rsidRPr="00AE1B1D">
        <w:rPr>
          <w:noProof/>
          <w:lang w:val="en-US" w:eastAsia="en-US"/>
        </w:rPr>
        <w:t xml:space="preserve"> (Figure 6A)</w:t>
      </w:r>
      <w:r w:rsidRPr="00AE1B1D">
        <w:rPr>
          <w:noProof/>
          <w:lang w:val="en-US" w:eastAsia="en-US"/>
        </w:rPr>
        <w:t xml:space="preserve">. Regarding stimulation with free drug, all tested doses (5, 10, 20 </w:t>
      </w:r>
      <w:r w:rsidR="00FE6F1E" w:rsidRPr="00AE1B1D">
        <w:rPr>
          <w:rFonts w:ascii="Symbol" w:hAnsi="Symbol" w:cs="Calibri"/>
          <w:noProof/>
          <w:lang w:val="en-US" w:eastAsia="en-US"/>
        </w:rPr>
        <w:t></w:t>
      </w:r>
      <w:r w:rsidR="00CE1A49" w:rsidRPr="00AE1B1D">
        <w:rPr>
          <w:noProof/>
          <w:lang w:val="en-US" w:eastAsia="en-US"/>
        </w:rPr>
        <w:t>g mL</w:t>
      </w:r>
      <w:r w:rsidR="00CE1A49" w:rsidRPr="00AE1B1D">
        <w:rPr>
          <w:noProof/>
          <w:vertAlign w:val="superscript"/>
          <w:lang w:val="en-US" w:eastAsia="en-US"/>
        </w:rPr>
        <w:t>-1</w:t>
      </w:r>
      <w:r w:rsidRPr="00AE1B1D">
        <w:rPr>
          <w:noProof/>
          <w:lang w:val="en-US" w:eastAsia="en-US"/>
        </w:rPr>
        <w:t xml:space="preserve">) were able to significantly enhance OPN expression by aproximately </w:t>
      </w:r>
      <w:r w:rsidR="00536529" w:rsidRPr="00AE1B1D">
        <w:rPr>
          <w:noProof/>
          <w:lang w:val="en-US" w:eastAsia="en-US"/>
        </w:rPr>
        <w:t>1</w:t>
      </w:r>
      <w:r w:rsidRPr="00AE1B1D">
        <w:rPr>
          <w:noProof/>
          <w:lang w:val="en-US" w:eastAsia="en-US"/>
        </w:rPr>
        <w:t>-fold when compared to control groups.</w:t>
      </w:r>
      <w:r w:rsidR="00BA4F00" w:rsidRPr="00AE1B1D">
        <w:rPr>
          <w:noProof/>
          <w:lang w:val="en-US" w:eastAsia="en-US"/>
        </w:rPr>
        <w:t xml:space="preserve"> </w:t>
      </w:r>
      <w:r w:rsidR="00BE5115" w:rsidRPr="00AE1B1D">
        <w:rPr>
          <w:noProof/>
          <w:lang w:val="en-US" w:eastAsia="en-US"/>
        </w:rPr>
        <w:t>Notably, i</w:t>
      </w:r>
      <w:r w:rsidRPr="00AE1B1D">
        <w:rPr>
          <w:noProof/>
          <w:lang w:val="en-US" w:eastAsia="en-US"/>
        </w:rPr>
        <w:t xml:space="preserve">ncubation with Naringin-loaded nanomicelles elicited a </w:t>
      </w:r>
      <w:r w:rsidR="00536529" w:rsidRPr="00AE1B1D">
        <w:rPr>
          <w:noProof/>
          <w:lang w:val="en-US" w:eastAsia="en-US"/>
        </w:rPr>
        <w:t>2</w:t>
      </w:r>
      <w:r w:rsidRPr="00AE1B1D">
        <w:rPr>
          <w:noProof/>
          <w:lang w:val="en-US" w:eastAsia="en-US"/>
        </w:rPr>
        <w:t xml:space="preserve">-fold </w:t>
      </w:r>
      <w:r w:rsidR="00F47853" w:rsidRPr="00AE1B1D">
        <w:rPr>
          <w:noProof/>
          <w:lang w:val="en-US" w:eastAsia="en-US"/>
        </w:rPr>
        <w:t xml:space="preserve">increase </w:t>
      </w:r>
      <w:r w:rsidRPr="00AE1B1D">
        <w:rPr>
          <w:noProof/>
          <w:lang w:val="en-US" w:eastAsia="en-US"/>
        </w:rPr>
        <w:t xml:space="preserve">at 5 </w:t>
      </w:r>
      <w:r w:rsidR="00FE6F1E" w:rsidRPr="00AE1B1D">
        <w:rPr>
          <w:rFonts w:ascii="Symbol" w:hAnsi="Symbol" w:cs="Calibri"/>
          <w:noProof/>
          <w:lang w:val="en-US" w:eastAsia="en-US"/>
        </w:rPr>
        <w:t></w:t>
      </w:r>
      <w:r w:rsidR="00CE1A49" w:rsidRPr="00AE1B1D">
        <w:rPr>
          <w:noProof/>
          <w:lang w:val="en-US" w:eastAsia="en-US"/>
        </w:rPr>
        <w:t>g mL</w:t>
      </w:r>
      <w:r w:rsidR="00CE1A49" w:rsidRPr="00AE1B1D">
        <w:rPr>
          <w:noProof/>
          <w:vertAlign w:val="superscript"/>
          <w:lang w:val="en-US" w:eastAsia="en-US"/>
        </w:rPr>
        <w:t>-1</w:t>
      </w:r>
      <w:r w:rsidR="00CE1A49" w:rsidRPr="00AE1B1D">
        <w:rPr>
          <w:noProof/>
          <w:lang w:val="en-US" w:eastAsia="en-US"/>
        </w:rPr>
        <w:t xml:space="preserve"> </w:t>
      </w:r>
      <w:r w:rsidRPr="00AE1B1D">
        <w:rPr>
          <w:noProof/>
          <w:lang w:val="en-US" w:eastAsia="en-US"/>
        </w:rPr>
        <w:t xml:space="preserve">and a </w:t>
      </w:r>
      <w:r w:rsidR="00536529" w:rsidRPr="00AE1B1D">
        <w:rPr>
          <w:noProof/>
          <w:lang w:val="en-US" w:eastAsia="en-US"/>
        </w:rPr>
        <w:t>5</w:t>
      </w:r>
      <w:r w:rsidRPr="00AE1B1D">
        <w:rPr>
          <w:noProof/>
          <w:lang w:val="en-US" w:eastAsia="en-US"/>
        </w:rPr>
        <w:t xml:space="preserve">-fold increase in OPN expression at the higher doses, accordingly 10 and 20 </w:t>
      </w:r>
      <w:r w:rsidR="00FE6F1E" w:rsidRPr="00AE1B1D">
        <w:rPr>
          <w:rFonts w:ascii="Symbol" w:hAnsi="Symbol" w:cs="Calibri"/>
          <w:noProof/>
          <w:lang w:val="en-US" w:eastAsia="en-US"/>
        </w:rPr>
        <w:t></w:t>
      </w:r>
      <w:r w:rsidR="00CE1A49" w:rsidRPr="00AE1B1D">
        <w:rPr>
          <w:noProof/>
          <w:lang w:val="en-US" w:eastAsia="en-US"/>
        </w:rPr>
        <w:t>g mL</w:t>
      </w:r>
      <w:r w:rsidR="00CE1A49" w:rsidRPr="00AE1B1D">
        <w:rPr>
          <w:noProof/>
          <w:vertAlign w:val="superscript"/>
          <w:lang w:val="en-US" w:eastAsia="en-US"/>
        </w:rPr>
        <w:t>-1</w:t>
      </w:r>
      <w:r w:rsidR="00CE1A49" w:rsidRPr="00AE1B1D">
        <w:rPr>
          <w:noProof/>
          <w:lang w:val="en-US" w:eastAsia="en-US"/>
        </w:rPr>
        <w:t xml:space="preserve"> </w:t>
      </w:r>
      <w:r w:rsidRPr="00AE1B1D">
        <w:rPr>
          <w:noProof/>
          <w:lang w:val="en-US" w:eastAsia="en-US"/>
        </w:rPr>
        <w:t>versus</w:t>
      </w:r>
      <w:r w:rsidR="00BA4F00" w:rsidRPr="00AE1B1D">
        <w:rPr>
          <w:noProof/>
          <w:lang w:val="en-US" w:eastAsia="en-US"/>
        </w:rPr>
        <w:t xml:space="preserve"> </w:t>
      </w:r>
      <w:r w:rsidRPr="00AE1B1D">
        <w:rPr>
          <w:noProof/>
          <w:lang w:val="en-US" w:eastAsia="en-US"/>
        </w:rPr>
        <w:t>control groups. Moreover, the dose-dependent effect of Naringin</w:t>
      </w:r>
      <w:r w:rsidR="00BA4F00" w:rsidRPr="00AE1B1D">
        <w:rPr>
          <w:noProof/>
          <w:lang w:val="en-US" w:eastAsia="en-US"/>
        </w:rPr>
        <w:t>-loaded micelles</w:t>
      </w:r>
      <w:r w:rsidRPr="00AE1B1D">
        <w:rPr>
          <w:noProof/>
          <w:lang w:val="en-US" w:eastAsia="en-US"/>
        </w:rPr>
        <w:t xml:space="preserve"> was evidenced since the highest doses (10 and 20 </w:t>
      </w:r>
      <w:r w:rsidR="00FE6F1E" w:rsidRPr="00AE1B1D">
        <w:rPr>
          <w:rFonts w:ascii="Symbol" w:hAnsi="Symbol" w:cs="Calibri"/>
          <w:noProof/>
          <w:lang w:val="en-US" w:eastAsia="en-US"/>
        </w:rPr>
        <w:t></w:t>
      </w:r>
      <w:r w:rsidR="00CE1A49" w:rsidRPr="00AE1B1D">
        <w:rPr>
          <w:noProof/>
          <w:lang w:val="en-US" w:eastAsia="en-US"/>
        </w:rPr>
        <w:t>g mL</w:t>
      </w:r>
      <w:r w:rsidR="00CE1A49" w:rsidRPr="00AE1B1D">
        <w:rPr>
          <w:noProof/>
          <w:vertAlign w:val="superscript"/>
          <w:lang w:val="en-US" w:eastAsia="en-US"/>
        </w:rPr>
        <w:t>-1</w:t>
      </w:r>
      <w:r w:rsidRPr="00AE1B1D">
        <w:rPr>
          <w:noProof/>
          <w:lang w:val="en-US" w:eastAsia="en-US"/>
        </w:rPr>
        <w:t xml:space="preserve">) improved OPN expression by </w:t>
      </w:r>
      <w:r w:rsidR="00D24A48" w:rsidRPr="00AE1B1D">
        <w:rPr>
          <w:noProof/>
          <w:lang w:val="en-US" w:eastAsia="en-US"/>
        </w:rPr>
        <w:t>1</w:t>
      </w:r>
      <w:r w:rsidRPr="00AE1B1D">
        <w:rPr>
          <w:noProof/>
          <w:lang w:val="en-US" w:eastAsia="en-US"/>
        </w:rPr>
        <w:t>.</w:t>
      </w:r>
      <w:r w:rsidR="00D24A48" w:rsidRPr="00AE1B1D">
        <w:rPr>
          <w:noProof/>
          <w:lang w:val="en-US" w:eastAsia="en-US"/>
        </w:rPr>
        <w:t>7</w:t>
      </w:r>
      <w:r w:rsidRPr="00AE1B1D">
        <w:rPr>
          <w:noProof/>
          <w:lang w:val="en-US" w:eastAsia="en-US"/>
        </w:rPr>
        <w:t xml:space="preserve">-fold in comparison to that obtained at 5 </w:t>
      </w:r>
      <w:r w:rsidR="00FE6F1E" w:rsidRPr="00AE1B1D">
        <w:rPr>
          <w:rFonts w:ascii="Symbol" w:hAnsi="Symbol" w:cs="Calibri"/>
          <w:noProof/>
          <w:lang w:val="en-US" w:eastAsia="en-US"/>
        </w:rPr>
        <w:t></w:t>
      </w:r>
      <w:r w:rsidR="00CE1A49" w:rsidRPr="00AE1B1D">
        <w:rPr>
          <w:noProof/>
          <w:lang w:val="en-US" w:eastAsia="en-US"/>
        </w:rPr>
        <w:t>g mL</w:t>
      </w:r>
      <w:r w:rsidR="00CE1A49" w:rsidRPr="00AE1B1D">
        <w:rPr>
          <w:noProof/>
          <w:vertAlign w:val="superscript"/>
          <w:lang w:val="en-US" w:eastAsia="en-US"/>
        </w:rPr>
        <w:t>-1</w:t>
      </w:r>
      <w:r w:rsidR="00CE1A49" w:rsidRPr="00AE1B1D">
        <w:rPr>
          <w:noProof/>
          <w:lang w:val="en-US" w:eastAsia="en-US"/>
        </w:rPr>
        <w:t xml:space="preserve"> </w:t>
      </w:r>
      <w:r w:rsidRPr="00AE1B1D">
        <w:rPr>
          <w:noProof/>
          <w:lang w:val="en-US" w:eastAsia="en-US"/>
        </w:rPr>
        <w:t xml:space="preserve">dosage. In addition, it is important to highlight </w:t>
      </w:r>
      <w:r w:rsidRPr="00AE1B1D">
        <w:rPr>
          <w:noProof/>
          <w:lang w:val="en-US" w:eastAsia="en-US"/>
        </w:rPr>
        <w:lastRenderedPageBreak/>
        <w:t xml:space="preserve">that the controlled delivery of Naringin via nanomicelles led to a higher OPN secretion when compared to free drug at the same doses. </w:t>
      </w:r>
    </w:p>
    <w:p w14:paraId="3E7AE600" w14:textId="77777777" w:rsidR="00BA4F00" w:rsidRPr="00AE1B1D" w:rsidRDefault="00BA4F00" w:rsidP="007E385F">
      <w:pPr>
        <w:spacing w:after="240" w:line="480" w:lineRule="auto"/>
        <w:ind w:firstLine="284"/>
        <w:jc w:val="both"/>
        <w:rPr>
          <w:noProof/>
          <w:lang w:val="en-US" w:eastAsia="en-US"/>
        </w:rPr>
      </w:pPr>
      <w:r w:rsidRPr="00AE1B1D">
        <w:rPr>
          <w:noProof/>
          <w:lang w:val="en-US" w:eastAsia="en-US"/>
        </w:rPr>
        <w:t>These findings</w:t>
      </w:r>
      <w:r w:rsidR="00E472D3" w:rsidRPr="00AE1B1D">
        <w:rPr>
          <w:noProof/>
          <w:lang w:val="en-US" w:eastAsia="en-US"/>
        </w:rPr>
        <w:t xml:space="preserve"> are in agreement with various literature reports investigating the effect of Naringin in OPN expression</w:t>
      </w:r>
      <w:r w:rsidRPr="00AE1B1D">
        <w:rPr>
          <w:noProof/>
          <w:lang w:val="en-US" w:eastAsia="en-US"/>
        </w:rPr>
        <w:t xml:space="preserve"> on other cell lines</w:t>
      </w:r>
      <w:r w:rsidR="00E472D3" w:rsidRPr="00AE1B1D">
        <w:rPr>
          <w:noProof/>
          <w:lang w:val="en-US" w:eastAsia="en-US"/>
        </w:rPr>
        <w:t xml:space="preserve">. For instance, Wu and colleagues investigated the </w:t>
      </w:r>
      <w:r w:rsidR="00E472D3" w:rsidRPr="00AE1B1D">
        <w:rPr>
          <w:i/>
          <w:noProof/>
          <w:lang w:val="en-US" w:eastAsia="en-US"/>
        </w:rPr>
        <w:t>in vitro</w:t>
      </w:r>
      <w:r w:rsidR="00E472D3" w:rsidRPr="00AE1B1D">
        <w:rPr>
          <w:noProof/>
          <w:lang w:val="en-US" w:eastAsia="en-US"/>
        </w:rPr>
        <w:t xml:space="preserve"> potential of Naringin in promoting OPN secretion over three different cell lines: MC3T3-E1, h</w:t>
      </w:r>
      <w:r w:rsidR="007E4DE4" w:rsidRPr="00AE1B1D">
        <w:rPr>
          <w:noProof/>
          <w:lang w:val="en-US" w:eastAsia="en-US"/>
        </w:rPr>
        <w:t>uman and murine primary fetal osteoblasts.</w:t>
      </w:r>
      <w:r w:rsidR="00E472D3" w:rsidRPr="00AE1B1D">
        <w:rPr>
          <w:noProof/>
          <w:vertAlign w:val="superscript"/>
          <w:lang w:val="en-US" w:eastAsia="en-US"/>
        </w:rPr>
        <w:t>[12]</w:t>
      </w:r>
      <w:r w:rsidR="00E472D3" w:rsidRPr="00AE1B1D">
        <w:rPr>
          <w:noProof/>
          <w:lang w:val="en-US" w:eastAsia="en-US"/>
        </w:rPr>
        <w:t xml:space="preserve"> The</w:t>
      </w:r>
      <w:r w:rsidRPr="00AE1B1D">
        <w:rPr>
          <w:noProof/>
          <w:lang w:val="en-US" w:eastAsia="en-US"/>
        </w:rPr>
        <w:t>se</w:t>
      </w:r>
      <w:r w:rsidR="00E472D3" w:rsidRPr="00AE1B1D">
        <w:rPr>
          <w:noProof/>
          <w:lang w:val="en-US" w:eastAsia="en-US"/>
        </w:rPr>
        <w:t xml:space="preserve"> </w:t>
      </w:r>
      <w:r w:rsidRPr="00AE1B1D">
        <w:rPr>
          <w:noProof/>
          <w:lang w:val="en-US" w:eastAsia="en-US"/>
        </w:rPr>
        <w:t xml:space="preserve">researchers </w:t>
      </w:r>
      <w:r w:rsidR="00E472D3" w:rsidRPr="00AE1B1D">
        <w:rPr>
          <w:noProof/>
          <w:lang w:val="en-US" w:eastAsia="en-US"/>
        </w:rPr>
        <w:t>observed</w:t>
      </w:r>
      <w:r w:rsidRPr="00AE1B1D">
        <w:rPr>
          <w:noProof/>
          <w:lang w:val="en-US" w:eastAsia="en-US"/>
        </w:rPr>
        <w:t xml:space="preserve"> via ELISA assays</w:t>
      </w:r>
      <w:r w:rsidR="00E472D3" w:rsidRPr="00AE1B1D">
        <w:rPr>
          <w:noProof/>
          <w:lang w:val="en-US" w:eastAsia="en-US"/>
        </w:rPr>
        <w:t xml:space="preserve"> that a</w:t>
      </w:r>
      <w:r w:rsidRPr="00AE1B1D">
        <w:rPr>
          <w:noProof/>
          <w:lang w:val="en-US" w:eastAsia="en-US"/>
        </w:rPr>
        <w:t>fter a</w:t>
      </w:r>
      <w:r w:rsidR="00E472D3" w:rsidRPr="00AE1B1D">
        <w:rPr>
          <w:noProof/>
          <w:lang w:val="en-US" w:eastAsia="en-US"/>
        </w:rPr>
        <w:t xml:space="preserve"> 3-day incubation period with 3 </w:t>
      </w:r>
      <w:r w:rsidR="00FE6F1E" w:rsidRPr="00AE1B1D">
        <w:rPr>
          <w:rFonts w:ascii="Symbol" w:hAnsi="Symbol"/>
          <w:noProof/>
          <w:lang w:val="en-US" w:eastAsia="en-US"/>
        </w:rPr>
        <w:t></w:t>
      </w:r>
      <w:r w:rsidR="00E472D3" w:rsidRPr="00AE1B1D">
        <w:rPr>
          <w:noProof/>
          <w:lang w:val="en-US" w:eastAsia="en-US"/>
        </w:rPr>
        <w:t>M of Naringin (</w:t>
      </w:r>
      <w:r w:rsidRPr="00AE1B1D">
        <w:rPr>
          <w:noProof/>
          <w:lang w:val="en-US" w:eastAsia="en-US"/>
        </w:rPr>
        <w:t xml:space="preserve">i.e., </w:t>
      </w:r>
      <w:r w:rsidR="00E472D3" w:rsidRPr="00AE1B1D">
        <w:rPr>
          <w:noProof/>
          <w:lang w:val="en-US" w:eastAsia="en-US"/>
        </w:rPr>
        <w:t xml:space="preserve">1.74 </w:t>
      </w:r>
      <w:r w:rsidR="00FE6F1E" w:rsidRPr="00AE1B1D">
        <w:rPr>
          <w:rFonts w:ascii="Symbol" w:hAnsi="Symbol" w:cs="Calibri"/>
          <w:noProof/>
          <w:lang w:val="en-US" w:eastAsia="en-US"/>
        </w:rPr>
        <w:t></w:t>
      </w:r>
      <w:r w:rsidR="00CF4141" w:rsidRPr="00AE1B1D">
        <w:rPr>
          <w:noProof/>
          <w:lang w:val="en-US" w:eastAsia="en-US"/>
        </w:rPr>
        <w:t>g mL</w:t>
      </w:r>
      <w:r w:rsidR="00CF4141" w:rsidRPr="00AE1B1D">
        <w:rPr>
          <w:noProof/>
          <w:vertAlign w:val="superscript"/>
          <w:lang w:val="en-US" w:eastAsia="en-US"/>
        </w:rPr>
        <w:t>-1</w:t>
      </w:r>
      <w:r w:rsidR="00E472D3" w:rsidRPr="00AE1B1D">
        <w:rPr>
          <w:noProof/>
          <w:lang w:val="en-US" w:eastAsia="en-US"/>
        </w:rPr>
        <w:t>)</w:t>
      </w:r>
      <w:r w:rsidR="00E4285D" w:rsidRPr="00AE1B1D">
        <w:rPr>
          <w:noProof/>
          <w:lang w:val="en-US" w:eastAsia="en-US"/>
        </w:rPr>
        <w:t>,</w:t>
      </w:r>
      <w:r w:rsidR="00E472D3" w:rsidRPr="00AE1B1D">
        <w:rPr>
          <w:noProof/>
          <w:lang w:val="en-US" w:eastAsia="en-US"/>
        </w:rPr>
        <w:t xml:space="preserve"> a 3-fold increase in extracellular OPN expression over control across all cells</w:t>
      </w:r>
      <w:r w:rsidRPr="00AE1B1D">
        <w:rPr>
          <w:noProof/>
          <w:lang w:val="en-US" w:eastAsia="en-US"/>
        </w:rPr>
        <w:t xml:space="preserve"> was obtained</w:t>
      </w:r>
      <w:r w:rsidR="00E472D3" w:rsidRPr="00AE1B1D">
        <w:rPr>
          <w:noProof/>
          <w:lang w:val="en-US" w:eastAsia="en-US"/>
        </w:rPr>
        <w:t>. Alternatively, Yin and his team</w:t>
      </w:r>
      <w:r w:rsidRPr="00AE1B1D">
        <w:rPr>
          <w:noProof/>
          <w:lang w:val="en-US" w:eastAsia="en-US"/>
        </w:rPr>
        <w:t>,</w:t>
      </w:r>
      <w:r w:rsidR="00E472D3" w:rsidRPr="00AE1B1D">
        <w:rPr>
          <w:noProof/>
          <w:lang w:val="en-US" w:eastAsia="en-US"/>
        </w:rPr>
        <w:t xml:space="preserve"> evaluated the Naringin-induced pro-osteogenic effect in human periodontal dental ligament stem cells</w:t>
      </w:r>
      <w:r w:rsidR="00BE5115" w:rsidRPr="00AE1B1D">
        <w:rPr>
          <w:noProof/>
          <w:lang w:val="en-US" w:eastAsia="en-US"/>
        </w:rPr>
        <w:t>.</w:t>
      </w:r>
      <w:r w:rsidR="00025D04" w:rsidRPr="00AE1B1D">
        <w:rPr>
          <w:noProof/>
          <w:vertAlign w:val="superscript"/>
          <w:lang w:val="en-US" w:eastAsia="en-US"/>
        </w:rPr>
        <w:t>[47</w:t>
      </w:r>
      <w:r w:rsidR="0060653E" w:rsidRPr="00AE1B1D">
        <w:rPr>
          <w:noProof/>
          <w:vertAlign w:val="superscript"/>
          <w:lang w:val="en-US" w:eastAsia="en-US"/>
        </w:rPr>
        <w:t>]</w:t>
      </w:r>
      <w:r w:rsidR="00E472D3" w:rsidRPr="00AE1B1D">
        <w:rPr>
          <w:noProof/>
          <w:lang w:val="en-US" w:eastAsia="en-US"/>
        </w:rPr>
        <w:t xml:space="preserve"> </w:t>
      </w:r>
      <w:r w:rsidR="00B32C51" w:rsidRPr="00AE1B1D">
        <w:rPr>
          <w:noProof/>
          <w:lang w:val="en-US" w:eastAsia="en-US"/>
        </w:rPr>
        <w:t>The obtained resul</w:t>
      </w:r>
      <w:r w:rsidR="00BE5115" w:rsidRPr="00AE1B1D">
        <w:rPr>
          <w:noProof/>
          <w:lang w:val="en-US" w:eastAsia="en-US"/>
        </w:rPr>
        <w:t>t</w:t>
      </w:r>
      <w:r w:rsidR="00B32C51" w:rsidRPr="00AE1B1D">
        <w:rPr>
          <w:noProof/>
          <w:lang w:val="en-US" w:eastAsia="en-US"/>
        </w:rPr>
        <w:t xml:space="preserve">s in this study </w:t>
      </w:r>
      <w:r w:rsidR="00E472D3" w:rsidRPr="00AE1B1D">
        <w:rPr>
          <w:noProof/>
          <w:lang w:val="en-US" w:eastAsia="en-US"/>
        </w:rPr>
        <w:t>showed a</w:t>
      </w:r>
      <w:r w:rsidR="00B32C51" w:rsidRPr="00AE1B1D">
        <w:rPr>
          <w:noProof/>
          <w:lang w:val="en-US" w:eastAsia="en-US"/>
        </w:rPr>
        <w:t xml:space="preserve"> Naringin-mediated</w:t>
      </w:r>
      <w:r w:rsidR="00E472D3" w:rsidRPr="00AE1B1D">
        <w:rPr>
          <w:noProof/>
          <w:lang w:val="en-US" w:eastAsia="en-US"/>
        </w:rPr>
        <w:t xml:space="preserve"> 0.4 to 0.7-fold OPN</w:t>
      </w:r>
      <w:r w:rsidR="00B32C51" w:rsidRPr="00AE1B1D">
        <w:rPr>
          <w:noProof/>
          <w:lang w:val="en-US" w:eastAsia="en-US"/>
        </w:rPr>
        <w:t xml:space="preserve"> expression</w:t>
      </w:r>
      <w:r w:rsidR="00E472D3" w:rsidRPr="00AE1B1D">
        <w:rPr>
          <w:noProof/>
          <w:lang w:val="en-US" w:eastAsia="en-US"/>
        </w:rPr>
        <w:t xml:space="preserve"> induction </w:t>
      </w:r>
      <w:r w:rsidR="00B32C51" w:rsidRPr="00AE1B1D">
        <w:rPr>
          <w:noProof/>
          <w:lang w:val="en-US" w:eastAsia="en-US"/>
        </w:rPr>
        <w:t>in comparison to</w:t>
      </w:r>
      <w:r w:rsidR="00E472D3" w:rsidRPr="00AE1B1D">
        <w:rPr>
          <w:noProof/>
          <w:lang w:val="en-US" w:eastAsia="en-US"/>
        </w:rPr>
        <w:t xml:space="preserve"> </w:t>
      </w:r>
      <w:r w:rsidRPr="00AE1B1D">
        <w:rPr>
          <w:noProof/>
          <w:lang w:val="en-US" w:eastAsia="en-US"/>
        </w:rPr>
        <w:t xml:space="preserve">basal medium </w:t>
      </w:r>
      <w:r w:rsidR="00E472D3" w:rsidRPr="00AE1B1D">
        <w:rPr>
          <w:noProof/>
          <w:lang w:val="en-US" w:eastAsia="en-US"/>
        </w:rPr>
        <w:t>control</w:t>
      </w:r>
      <w:r w:rsidR="00B32C51" w:rsidRPr="00AE1B1D">
        <w:rPr>
          <w:noProof/>
          <w:lang w:val="en-US" w:eastAsia="en-US"/>
        </w:rPr>
        <w:t>, and</w:t>
      </w:r>
      <w:r w:rsidR="00E472D3" w:rsidRPr="00AE1B1D">
        <w:rPr>
          <w:noProof/>
          <w:lang w:val="en-US" w:eastAsia="en-US"/>
        </w:rPr>
        <w:t xml:space="preserve"> in a dose-dependent manner. </w:t>
      </w:r>
    </w:p>
    <w:p w14:paraId="0BD66D3D" w14:textId="314EA564" w:rsidR="00E472D3" w:rsidRPr="00AE1B1D" w:rsidRDefault="00E472D3" w:rsidP="007E385F">
      <w:pPr>
        <w:spacing w:after="240" w:line="480" w:lineRule="auto"/>
        <w:ind w:firstLine="284"/>
        <w:jc w:val="both"/>
        <w:rPr>
          <w:noProof/>
          <w:lang w:val="en-US" w:eastAsia="en-US"/>
        </w:rPr>
      </w:pPr>
      <w:r w:rsidRPr="00AE1B1D">
        <w:rPr>
          <w:noProof/>
          <w:lang w:val="en-US" w:eastAsia="en-US"/>
        </w:rPr>
        <w:t xml:space="preserve">Another important </w:t>
      </w:r>
      <w:r w:rsidR="00BA4F00" w:rsidRPr="00AE1B1D">
        <w:rPr>
          <w:noProof/>
          <w:lang w:val="en-US" w:eastAsia="en-US"/>
        </w:rPr>
        <w:t xml:space="preserve">aspect </w:t>
      </w:r>
      <w:r w:rsidRPr="00AE1B1D">
        <w:rPr>
          <w:noProof/>
          <w:lang w:val="en-US" w:eastAsia="en-US"/>
        </w:rPr>
        <w:t xml:space="preserve">that should be mentioned in the context of hASCs lineage differentiation, is the relation between OPN secretion and adipogenesis. Concerning this, Chen and colleagues investigated the key role of the interaction between OPN and integrin </w:t>
      </w:r>
      <w:r w:rsidR="0044418D" w:rsidRPr="00AE1B1D">
        <w:rPr>
          <w:rFonts w:ascii="Symbol" w:hAnsi="Symbol"/>
          <w:noProof/>
          <w:lang w:val="en-US" w:eastAsia="en-US"/>
        </w:rPr>
        <w:t></w:t>
      </w:r>
      <w:r w:rsidRPr="00AE1B1D">
        <w:rPr>
          <w:noProof/>
          <w:lang w:val="en-US" w:eastAsia="en-US"/>
        </w:rPr>
        <w:t>V/</w:t>
      </w:r>
      <w:r w:rsidR="00FE6F1E" w:rsidRPr="00AE1B1D">
        <w:rPr>
          <w:rFonts w:ascii="Symbol" w:hAnsi="Symbol"/>
          <w:noProof/>
          <w:lang w:val="en-US" w:eastAsia="en-US"/>
        </w:rPr>
        <w:t></w:t>
      </w:r>
      <w:r w:rsidRPr="00AE1B1D">
        <w:rPr>
          <w:noProof/>
          <w:lang w:val="en-US" w:eastAsia="en-US"/>
        </w:rPr>
        <w:t>1 in defining MSCs differentiation</w:t>
      </w:r>
      <w:r w:rsidR="00BE5115" w:rsidRPr="00AE1B1D">
        <w:rPr>
          <w:noProof/>
          <w:lang w:val="en-US" w:eastAsia="en-US"/>
        </w:rPr>
        <w:t>.</w:t>
      </w:r>
      <w:r w:rsidR="0060653E" w:rsidRPr="00AE1B1D">
        <w:rPr>
          <w:noProof/>
          <w:vertAlign w:val="superscript"/>
          <w:lang w:val="en-US" w:eastAsia="en-US"/>
        </w:rPr>
        <w:t>[4</w:t>
      </w:r>
      <w:r w:rsidR="00025D04" w:rsidRPr="00AE1B1D">
        <w:rPr>
          <w:noProof/>
          <w:vertAlign w:val="superscript"/>
          <w:lang w:val="en-US" w:eastAsia="en-US"/>
        </w:rPr>
        <w:t>8</w:t>
      </w:r>
      <w:r w:rsidR="0060653E" w:rsidRPr="00AE1B1D">
        <w:rPr>
          <w:noProof/>
          <w:vertAlign w:val="superscript"/>
          <w:lang w:val="en-US" w:eastAsia="en-US"/>
        </w:rPr>
        <w:t>]</w:t>
      </w:r>
      <w:r w:rsidRPr="00AE1B1D">
        <w:rPr>
          <w:noProof/>
          <w:lang w:val="en-US" w:eastAsia="en-US"/>
        </w:rPr>
        <w:t xml:space="preserve"> The</w:t>
      </w:r>
      <w:r w:rsidR="00661960" w:rsidRPr="00AE1B1D">
        <w:rPr>
          <w:noProof/>
          <w:lang w:val="en-US" w:eastAsia="en-US"/>
        </w:rPr>
        <w:t>se</w:t>
      </w:r>
      <w:r w:rsidRPr="00AE1B1D">
        <w:rPr>
          <w:noProof/>
          <w:lang w:val="en-US" w:eastAsia="en-US"/>
        </w:rPr>
        <w:t xml:space="preserve"> authors compared the adipogenic and osteogenic differentiation potential of mouse BM-MSCs derived from wild-type and OPN</w:t>
      </w:r>
      <w:r w:rsidRPr="00AE1B1D">
        <w:rPr>
          <w:noProof/>
          <w:vertAlign w:val="superscript"/>
          <w:lang w:val="en-US" w:eastAsia="en-US"/>
        </w:rPr>
        <w:t>-</w:t>
      </w:r>
      <w:r w:rsidRPr="00AE1B1D">
        <w:rPr>
          <w:noProof/>
          <w:lang w:val="en-US" w:eastAsia="en-US"/>
        </w:rPr>
        <w:t>/</w:t>
      </w:r>
      <w:r w:rsidRPr="00AE1B1D">
        <w:rPr>
          <w:noProof/>
          <w:vertAlign w:val="superscript"/>
          <w:lang w:val="en-US" w:eastAsia="en-US"/>
        </w:rPr>
        <w:t>-</w:t>
      </w:r>
      <w:r w:rsidRPr="00AE1B1D">
        <w:rPr>
          <w:noProof/>
          <w:lang w:val="en-US" w:eastAsia="en-US"/>
        </w:rPr>
        <w:t xml:space="preserve"> mice. </w:t>
      </w:r>
      <w:r w:rsidR="00B32C51" w:rsidRPr="00AE1B1D">
        <w:rPr>
          <w:noProof/>
          <w:lang w:val="en-US" w:eastAsia="en-US"/>
        </w:rPr>
        <w:t xml:space="preserve">The </w:t>
      </w:r>
      <w:r w:rsidRPr="00AE1B1D">
        <w:rPr>
          <w:noProof/>
          <w:lang w:val="en-US" w:eastAsia="en-US"/>
        </w:rPr>
        <w:t xml:space="preserve">OPN blockade skewed mouse BM-MSC differentiation towards the adipocyte lineage </w:t>
      </w:r>
      <w:r w:rsidRPr="00AE1B1D">
        <w:rPr>
          <w:i/>
          <w:noProof/>
          <w:lang w:val="en-US" w:eastAsia="en-US"/>
        </w:rPr>
        <w:t>in vitro</w:t>
      </w:r>
      <w:r w:rsidRPr="00AE1B1D">
        <w:rPr>
          <w:noProof/>
          <w:lang w:val="en-US" w:eastAsia="en-US"/>
        </w:rPr>
        <w:t>. Therefore, this study suggests that increased OPN expression might be valuable for pursuing osteogenic commitment of MSCs. Besides significantly increasing OPN expression, Naringin</w:t>
      </w:r>
      <w:r w:rsidR="00B32C51" w:rsidRPr="00AE1B1D">
        <w:rPr>
          <w:noProof/>
          <w:lang w:val="en-US" w:eastAsia="en-US"/>
        </w:rPr>
        <w:t xml:space="preserve"> also</w:t>
      </w:r>
      <w:r w:rsidRPr="00AE1B1D">
        <w:rPr>
          <w:noProof/>
          <w:lang w:val="en-US" w:eastAsia="en-US"/>
        </w:rPr>
        <w:t xml:space="preserve"> modulates other pathways (e.g. inhibition of PPAR</w:t>
      </w:r>
      <w:r w:rsidR="0044418D" w:rsidRPr="00AE1B1D">
        <w:rPr>
          <w:rFonts w:ascii="Symbol" w:hAnsi="Symbol"/>
          <w:noProof/>
          <w:lang w:val="en-US" w:eastAsia="en-US"/>
        </w:rPr>
        <w:t></w:t>
      </w:r>
      <w:r w:rsidRPr="00AE1B1D">
        <w:rPr>
          <w:noProof/>
          <w:lang w:val="en-US" w:eastAsia="en-US"/>
        </w:rPr>
        <w:t xml:space="preserve"> and activation of Notch signaling) that all play a role in promoting osteogenesis over adipogenesis</w:t>
      </w:r>
      <w:r w:rsidR="001144E6" w:rsidRPr="00AE1B1D">
        <w:rPr>
          <w:noProof/>
          <w:lang w:val="en-US" w:eastAsia="en-US"/>
        </w:rPr>
        <w:t>.</w:t>
      </w:r>
      <w:r w:rsidRPr="00AE1B1D">
        <w:rPr>
          <w:noProof/>
          <w:vertAlign w:val="superscript"/>
          <w:lang w:val="en-US" w:eastAsia="en-US"/>
        </w:rPr>
        <w:t>[7,8]</w:t>
      </w:r>
    </w:p>
    <w:p w14:paraId="3C296B77" w14:textId="77777777" w:rsidR="005134DF" w:rsidRPr="00AE1B1D" w:rsidRDefault="00925382" w:rsidP="00925382">
      <w:pPr>
        <w:pStyle w:val="Head2"/>
      </w:pPr>
      <w:r w:rsidRPr="00AE1B1D">
        <w:t>2.</w:t>
      </w:r>
      <w:r w:rsidR="008C7A19" w:rsidRPr="00AE1B1D">
        <w:t>7</w:t>
      </w:r>
      <w:r w:rsidRPr="00AE1B1D">
        <w:t>.</w:t>
      </w:r>
      <w:r w:rsidR="008C7A19" w:rsidRPr="00AE1B1D">
        <w:t>4</w:t>
      </w:r>
      <w:r w:rsidRPr="00AE1B1D">
        <w:t>.</w:t>
      </w:r>
      <w:r w:rsidR="008F690D" w:rsidRPr="00AE1B1D">
        <w:t xml:space="preserve"> </w:t>
      </w:r>
      <w:r w:rsidRPr="00AE1B1D">
        <w:t>Naringin-induced Mineralization</w:t>
      </w:r>
    </w:p>
    <w:p w14:paraId="1C0C97D0" w14:textId="77777777" w:rsidR="00925382" w:rsidRPr="00AE1B1D" w:rsidRDefault="00925382" w:rsidP="00925382">
      <w:pPr>
        <w:spacing w:after="240" w:line="480" w:lineRule="auto"/>
        <w:ind w:firstLine="284"/>
        <w:jc w:val="both"/>
        <w:rPr>
          <w:noProof/>
          <w:lang w:val="en-US" w:eastAsia="en-US"/>
        </w:rPr>
      </w:pPr>
      <w:r w:rsidRPr="00AE1B1D">
        <w:rPr>
          <w:noProof/>
          <w:lang w:val="en-US" w:eastAsia="en-US"/>
        </w:rPr>
        <w:lastRenderedPageBreak/>
        <w:t>In the literature, Naringin has been described to promote mineralization of osteoprogenitor cells in a dose-dependent manner, which is ultimately the goal of bone tissue engineering applications</w:t>
      </w:r>
      <w:r w:rsidR="00CF2144" w:rsidRPr="00AE1B1D">
        <w:rPr>
          <w:noProof/>
          <w:lang w:val="en-US" w:eastAsia="en-US"/>
        </w:rPr>
        <w:t>.</w:t>
      </w:r>
      <w:r w:rsidR="00475980" w:rsidRPr="00AE1B1D">
        <w:rPr>
          <w:noProof/>
          <w:vertAlign w:val="superscript"/>
          <w:lang w:val="en-US" w:eastAsia="en-US"/>
        </w:rPr>
        <w:t>[8,28]</w:t>
      </w:r>
    </w:p>
    <w:p w14:paraId="2A28C966" w14:textId="7ADB09A6" w:rsidR="00021C97" w:rsidRPr="00AE1B1D" w:rsidRDefault="00925382" w:rsidP="008F690D">
      <w:pPr>
        <w:spacing w:after="240" w:line="480" w:lineRule="auto"/>
        <w:ind w:firstLine="284"/>
        <w:jc w:val="both"/>
        <w:rPr>
          <w:noProof/>
          <w:lang w:val="en-US" w:eastAsia="en-US"/>
        </w:rPr>
      </w:pPr>
      <w:r w:rsidRPr="00AE1B1D">
        <w:rPr>
          <w:noProof/>
          <w:lang w:val="en-US" w:eastAsia="en-US"/>
        </w:rPr>
        <w:t>To evaluate this effect in hASCs, the cells were incubated with different concentrations of free Naringin and also Naringin-loaded nanomicelles in OS-Dex containing medium over 21 days</w:t>
      </w:r>
      <w:r w:rsidR="00661960" w:rsidRPr="00AE1B1D">
        <w:rPr>
          <w:noProof/>
          <w:lang w:val="en-US" w:eastAsia="en-US"/>
        </w:rPr>
        <w:t>,</w:t>
      </w:r>
      <w:r w:rsidR="00021C97" w:rsidRPr="00AE1B1D">
        <w:rPr>
          <w:noProof/>
          <w:lang w:val="en-US" w:eastAsia="en-US"/>
        </w:rPr>
        <w:t xml:space="preserve"> similarly to previous assays</w:t>
      </w:r>
      <w:r w:rsidRPr="00AE1B1D">
        <w:rPr>
          <w:noProof/>
          <w:lang w:val="en-US" w:eastAsia="en-US"/>
        </w:rPr>
        <w:t xml:space="preserve">. The </w:t>
      </w:r>
      <w:r w:rsidR="002C0F7B" w:rsidRPr="00AE1B1D">
        <w:rPr>
          <w:noProof/>
          <w:lang w:val="en-US" w:eastAsia="en-US"/>
        </w:rPr>
        <w:t>deposition</w:t>
      </w:r>
      <w:r w:rsidRPr="00AE1B1D">
        <w:rPr>
          <w:noProof/>
          <w:lang w:val="en-US" w:eastAsia="en-US"/>
        </w:rPr>
        <w:t xml:space="preserve"> of calcium nodes in the mineralized cell monolayer was visualized by Alizarin Red S staining. </w:t>
      </w:r>
    </w:p>
    <w:p w14:paraId="79C328CA" w14:textId="77777777" w:rsidR="008F690D" w:rsidRPr="00AE1B1D" w:rsidRDefault="008F690D" w:rsidP="008F690D">
      <w:pPr>
        <w:spacing w:after="240" w:line="480" w:lineRule="auto"/>
        <w:ind w:firstLine="284"/>
        <w:jc w:val="both"/>
        <w:rPr>
          <w:noProof/>
          <w:lang w:val="en-US" w:eastAsia="en-US"/>
        </w:rPr>
      </w:pPr>
      <w:r w:rsidRPr="00AE1B1D">
        <w:rPr>
          <w:noProof/>
          <w:lang w:val="en-US" w:eastAsia="en-US"/>
        </w:rPr>
        <w:t xml:space="preserve">The obtained results </w:t>
      </w:r>
      <w:r w:rsidR="00021C97" w:rsidRPr="00AE1B1D">
        <w:rPr>
          <w:noProof/>
          <w:lang w:val="en-US" w:eastAsia="en-US"/>
        </w:rPr>
        <w:t xml:space="preserve">shown in </w:t>
      </w:r>
      <w:r w:rsidRPr="00AE1B1D">
        <w:rPr>
          <w:b/>
          <w:noProof/>
          <w:lang w:val="en-US" w:eastAsia="en-US"/>
        </w:rPr>
        <w:t xml:space="preserve">Figure </w:t>
      </w:r>
      <w:r w:rsidR="009D52B5" w:rsidRPr="00AE1B1D">
        <w:rPr>
          <w:b/>
          <w:noProof/>
          <w:lang w:val="en-US" w:eastAsia="en-US"/>
        </w:rPr>
        <w:t>6C</w:t>
      </w:r>
      <w:r w:rsidRPr="00AE1B1D">
        <w:rPr>
          <w:noProof/>
          <w:lang w:val="en-US" w:eastAsia="en-US"/>
        </w:rPr>
        <w:t xml:space="preserve"> </w:t>
      </w:r>
      <w:r w:rsidR="00021C97" w:rsidRPr="00AE1B1D">
        <w:rPr>
          <w:noProof/>
          <w:lang w:val="en-US" w:eastAsia="en-US"/>
        </w:rPr>
        <w:t xml:space="preserve">highlight </w:t>
      </w:r>
      <w:r w:rsidRPr="00AE1B1D">
        <w:rPr>
          <w:noProof/>
          <w:lang w:val="en-US" w:eastAsia="en-US"/>
        </w:rPr>
        <w:t xml:space="preserve">the potential of a single stimulatory dose of Naringin to induce mineralization in a dose-dependent manner after 21 days. These findings are supported by the work of Yu and colleagues who observed a dose-dependent calcium node deposition from 1, 10 to 50 </w:t>
      </w:r>
      <w:r w:rsidR="00241C05" w:rsidRPr="00AE1B1D">
        <w:rPr>
          <w:rFonts w:ascii="Symbol" w:hAnsi="Symbol" w:cs="Calibri"/>
          <w:noProof/>
          <w:lang w:val="en-US" w:eastAsia="en-US"/>
        </w:rPr>
        <w:t></w:t>
      </w:r>
      <w:r w:rsidR="00B47557" w:rsidRPr="00AE1B1D">
        <w:rPr>
          <w:noProof/>
          <w:lang w:val="en-US" w:eastAsia="en-US"/>
        </w:rPr>
        <w:t>g mL</w:t>
      </w:r>
      <w:r w:rsidR="00B47557" w:rsidRPr="00AE1B1D">
        <w:rPr>
          <w:noProof/>
          <w:vertAlign w:val="superscript"/>
          <w:lang w:val="en-US" w:eastAsia="en-US"/>
        </w:rPr>
        <w:t>-1</w:t>
      </w:r>
      <w:r w:rsidR="00B47557" w:rsidRPr="00AE1B1D">
        <w:rPr>
          <w:noProof/>
          <w:lang w:val="en-US" w:eastAsia="en-US"/>
        </w:rPr>
        <w:t xml:space="preserve"> </w:t>
      </w:r>
      <w:r w:rsidRPr="00AE1B1D">
        <w:rPr>
          <w:noProof/>
          <w:lang w:val="en-US" w:eastAsia="en-US"/>
        </w:rPr>
        <w:t>of Naringin in rat BM-MSCs</w:t>
      </w:r>
      <w:r w:rsidR="00CF2144" w:rsidRPr="00AE1B1D">
        <w:rPr>
          <w:noProof/>
          <w:lang w:val="en-US" w:eastAsia="en-US"/>
        </w:rPr>
        <w:t>.</w:t>
      </w:r>
      <w:r w:rsidRPr="00AE1B1D">
        <w:rPr>
          <w:noProof/>
          <w:vertAlign w:val="superscript"/>
          <w:lang w:val="en-US" w:eastAsia="en-US"/>
        </w:rPr>
        <w:t>[8]</w:t>
      </w:r>
      <w:r w:rsidRPr="00AE1B1D">
        <w:rPr>
          <w:noProof/>
          <w:lang w:val="en-US" w:eastAsia="en-US"/>
        </w:rPr>
        <w:t xml:space="preserve"> </w:t>
      </w:r>
      <w:r w:rsidR="00021C97" w:rsidRPr="00AE1B1D">
        <w:rPr>
          <w:noProof/>
          <w:lang w:val="en-US" w:eastAsia="en-US"/>
        </w:rPr>
        <w:t>Herein</w:t>
      </w:r>
      <w:r w:rsidRPr="00AE1B1D">
        <w:rPr>
          <w:noProof/>
          <w:lang w:val="en-US" w:eastAsia="en-US"/>
        </w:rPr>
        <w:t xml:space="preserve">, the dose-dependent effect of Naringin </w:t>
      </w:r>
      <w:r w:rsidR="00021C97" w:rsidRPr="00AE1B1D">
        <w:rPr>
          <w:noProof/>
          <w:lang w:val="en-US" w:eastAsia="en-US"/>
        </w:rPr>
        <w:t>is clearly</w:t>
      </w:r>
      <w:r w:rsidRPr="00AE1B1D">
        <w:rPr>
          <w:noProof/>
          <w:lang w:val="en-US" w:eastAsia="en-US"/>
        </w:rPr>
        <w:t xml:space="preserve"> visible upon Naringin-loaded micelles administration. In comparison to free drug, the controlled delivery of Naringin markedly improved mineralization of the cell matrix. Mineralization data is paramount for pursuing further applications in the future, especially considering the origin of the used stem cells (adipose-derived) and the effect of Dex in their pro-adipogenic/pro-osteogenic differentiation duality. Indeed, a study by Ghali and co-workers found that addition of Dex at as low as 100 nM in osteogenic medium strongly induced adipogenesis, even exhibiting a higher lipid droplet accumulation than 500 nM of Dex in adipogenic induction medium</w:t>
      </w:r>
      <w:r w:rsidR="00CF2144" w:rsidRPr="00AE1B1D">
        <w:rPr>
          <w:noProof/>
          <w:lang w:val="en-US" w:eastAsia="en-US"/>
        </w:rPr>
        <w:t>.</w:t>
      </w:r>
      <w:r w:rsidRPr="00AE1B1D">
        <w:rPr>
          <w:noProof/>
          <w:vertAlign w:val="superscript"/>
          <w:lang w:val="en-US" w:eastAsia="en-US"/>
        </w:rPr>
        <w:t>[3]</w:t>
      </w:r>
      <w:r w:rsidRPr="00AE1B1D">
        <w:rPr>
          <w:noProof/>
          <w:lang w:val="en-US" w:eastAsia="en-US"/>
        </w:rPr>
        <w:t xml:space="preserve"> Taking into consideration that this was the concentration of Dex used during these experiments, the above findings provide evidence for significant hASCs mineralization elicited by Naringin, with evident matrix osteogenic calcification. Moreover,</w:t>
      </w:r>
      <w:r w:rsidR="00021C97" w:rsidRPr="00AE1B1D">
        <w:rPr>
          <w:noProof/>
          <w:lang w:val="en-US" w:eastAsia="en-US"/>
        </w:rPr>
        <w:t xml:space="preserve"> the well documented</w:t>
      </w:r>
      <w:r w:rsidRPr="00AE1B1D">
        <w:rPr>
          <w:noProof/>
          <w:lang w:val="en-US" w:eastAsia="en-US"/>
        </w:rPr>
        <w:t xml:space="preserve"> </w:t>
      </w:r>
      <w:r w:rsidR="00241C05" w:rsidRPr="00AE1B1D">
        <w:rPr>
          <w:noProof/>
          <w:lang w:val="en-US" w:eastAsia="en-US"/>
        </w:rPr>
        <w:t xml:space="preserve">Naringin inhibition of </w:t>
      </w:r>
      <w:r w:rsidRPr="00AE1B1D">
        <w:rPr>
          <w:noProof/>
          <w:lang w:val="en-US" w:eastAsia="en-US"/>
        </w:rPr>
        <w:t>adipogenic regulator PPAR</w:t>
      </w:r>
      <w:r w:rsidR="00241C05" w:rsidRPr="00AE1B1D">
        <w:rPr>
          <w:rFonts w:ascii="Symbol" w:hAnsi="Symbol"/>
          <w:noProof/>
          <w:lang w:val="en-US" w:eastAsia="en-US"/>
        </w:rPr>
        <w:t></w:t>
      </w:r>
      <w:r w:rsidR="00241C05" w:rsidRPr="00AE1B1D">
        <w:rPr>
          <w:noProof/>
          <w:lang w:val="en-US" w:eastAsia="en-US"/>
        </w:rPr>
        <w:t xml:space="preserve">, </w:t>
      </w:r>
      <w:r w:rsidRPr="00AE1B1D">
        <w:rPr>
          <w:noProof/>
          <w:lang w:val="en-US" w:eastAsia="en-US"/>
        </w:rPr>
        <w:t>a nuclear receptor</w:t>
      </w:r>
      <w:r w:rsidR="009B6593" w:rsidRPr="00AE1B1D">
        <w:rPr>
          <w:noProof/>
          <w:lang w:val="en-US" w:eastAsia="en-US"/>
        </w:rPr>
        <w:t xml:space="preserve"> that induces adipogenic comittment</w:t>
      </w:r>
      <w:r w:rsidR="00241C05" w:rsidRPr="00AE1B1D">
        <w:rPr>
          <w:noProof/>
          <w:lang w:val="en-US" w:eastAsia="en-US"/>
        </w:rPr>
        <w:t>,</w:t>
      </w:r>
      <w:r w:rsidRPr="00AE1B1D">
        <w:rPr>
          <w:noProof/>
          <w:lang w:val="en-US" w:eastAsia="en-US"/>
        </w:rPr>
        <w:t xml:space="preserve"> could help explain the improved mineralization of Naringin-loaded nanomicelles groups </w:t>
      </w:r>
      <w:r w:rsidR="00025D04" w:rsidRPr="00AE1B1D">
        <w:rPr>
          <w:noProof/>
          <w:vertAlign w:val="superscript"/>
          <w:lang w:val="en-US" w:eastAsia="en-US"/>
        </w:rPr>
        <w:t>[49</w:t>
      </w:r>
      <w:r w:rsidR="0060653E" w:rsidRPr="00AE1B1D">
        <w:rPr>
          <w:noProof/>
          <w:vertAlign w:val="superscript"/>
          <w:lang w:val="en-US" w:eastAsia="en-US"/>
        </w:rPr>
        <w:t>]</w:t>
      </w:r>
      <w:r w:rsidRPr="00AE1B1D">
        <w:rPr>
          <w:noProof/>
          <w:lang w:val="en-US" w:eastAsia="en-US"/>
        </w:rPr>
        <w:t>.</w:t>
      </w:r>
    </w:p>
    <w:p w14:paraId="4F00CC50" w14:textId="5F16EED1" w:rsidR="008F690D" w:rsidRPr="00AE1B1D" w:rsidRDefault="008F690D" w:rsidP="00CE1242">
      <w:pPr>
        <w:pStyle w:val="Head1"/>
      </w:pPr>
      <w:r w:rsidRPr="00AE1B1D">
        <w:lastRenderedPageBreak/>
        <w:t>2.</w:t>
      </w:r>
      <w:r w:rsidR="008C7A19" w:rsidRPr="00AE1B1D">
        <w:t>8</w:t>
      </w:r>
      <w:r w:rsidRPr="00AE1B1D">
        <w:t xml:space="preserve">. </w:t>
      </w:r>
      <w:r w:rsidR="006E60F6" w:rsidRPr="00AE1B1D">
        <w:t xml:space="preserve">Effect of </w:t>
      </w:r>
      <w:r w:rsidR="00021C97" w:rsidRPr="00AE1B1D">
        <w:t xml:space="preserve">Naringin dose regime in </w:t>
      </w:r>
      <w:r w:rsidRPr="00AE1B1D">
        <w:t>ALP Activity</w:t>
      </w:r>
    </w:p>
    <w:p w14:paraId="6CAAE783" w14:textId="77777777" w:rsidR="008F690D" w:rsidRPr="00AE1B1D" w:rsidRDefault="008F690D" w:rsidP="009506EE">
      <w:pPr>
        <w:spacing w:after="240" w:line="480" w:lineRule="auto"/>
        <w:ind w:firstLine="284"/>
        <w:jc w:val="both"/>
        <w:rPr>
          <w:noProof/>
          <w:lang w:val="en-US" w:eastAsia="en-US"/>
        </w:rPr>
      </w:pPr>
      <w:r w:rsidRPr="00AE1B1D">
        <w:rPr>
          <w:noProof/>
          <w:lang w:val="en-US" w:eastAsia="en-US"/>
        </w:rPr>
        <w:t xml:space="preserve">Collectivelly, the previous experiments investigating different osteogenic markers reveal the pro-osteogenic potential of Naringin, either in free form or when delivered by micellar carriers as demonstrated by OPN expression and matrix calcium deposition data. </w:t>
      </w:r>
      <w:r w:rsidR="009C37E6" w:rsidRPr="00AE1B1D">
        <w:rPr>
          <w:noProof/>
          <w:lang w:val="en-US" w:eastAsia="en-US"/>
        </w:rPr>
        <w:t>Yet</w:t>
      </w:r>
      <w:r w:rsidRPr="00AE1B1D">
        <w:rPr>
          <w:noProof/>
          <w:lang w:val="en-US" w:eastAsia="en-US"/>
        </w:rPr>
        <w:t xml:space="preserve">, in the previous assays, Naringin was used in combination with osteogenic medium containing Dex, which appeared to dilute the flavonoid effect on the stimulation of ALP activity. In fact, in OS-Dex experiments quantifying ALP activity, differences among Naringin doses were not significant at 7 days. </w:t>
      </w:r>
    </w:p>
    <w:p w14:paraId="73806D3F" w14:textId="3A39C3B5" w:rsidR="008F690D" w:rsidRPr="00AE1B1D" w:rsidRDefault="008F690D" w:rsidP="009506EE">
      <w:pPr>
        <w:spacing w:after="240" w:line="480" w:lineRule="auto"/>
        <w:ind w:firstLine="284"/>
        <w:jc w:val="both"/>
        <w:rPr>
          <w:noProof/>
          <w:lang w:val="en-US" w:eastAsia="en-US"/>
        </w:rPr>
      </w:pPr>
      <w:r w:rsidRPr="00AE1B1D">
        <w:rPr>
          <w:noProof/>
          <w:lang w:val="en-US" w:eastAsia="en-US"/>
        </w:rPr>
        <w:t>Therefore, different dose regimes of free Naringin and drug-loaded micelles in reduced osteogenic medium (rOS</w:t>
      </w:r>
      <w:r w:rsidR="009C37E6" w:rsidRPr="00AE1B1D">
        <w:rPr>
          <w:noProof/>
          <w:lang w:val="en-US" w:eastAsia="en-US"/>
        </w:rPr>
        <w:t xml:space="preserve"> – ascorbic acid + </w:t>
      </w:r>
      <w:r w:rsidR="009C37E6" w:rsidRPr="00AE1B1D">
        <w:rPr>
          <w:rFonts w:ascii="Calibri" w:hAnsi="Calibri" w:cs="Calibri"/>
          <w:noProof/>
          <w:lang w:val="en-US" w:eastAsia="en-US"/>
        </w:rPr>
        <w:t>β</w:t>
      </w:r>
      <w:r w:rsidR="009C37E6" w:rsidRPr="00AE1B1D">
        <w:rPr>
          <w:noProof/>
          <w:lang w:val="en-US" w:eastAsia="en-US"/>
        </w:rPr>
        <w:t xml:space="preserve">-glycerophosphate, </w:t>
      </w:r>
      <w:r w:rsidR="003D4823" w:rsidRPr="00AE1B1D">
        <w:rPr>
          <w:noProof/>
          <w:lang w:val="en-US" w:eastAsia="en-US"/>
        </w:rPr>
        <w:t>not containing</w:t>
      </w:r>
      <w:r w:rsidR="009C37E6" w:rsidRPr="00AE1B1D">
        <w:rPr>
          <w:noProof/>
          <w:lang w:val="en-US" w:eastAsia="en-US"/>
        </w:rPr>
        <w:t xml:space="preserve"> Dex</w:t>
      </w:r>
      <w:r w:rsidRPr="00AE1B1D">
        <w:rPr>
          <w:noProof/>
          <w:lang w:val="en-US" w:eastAsia="en-US"/>
        </w:rPr>
        <w:t xml:space="preserve">) were studied in order to further investigate Naringin pro-osteogenic effect in hASCs as well as its ALP stimulatory activties </w:t>
      </w:r>
      <w:r w:rsidRPr="00AE1B1D">
        <w:rPr>
          <w:b/>
          <w:noProof/>
          <w:lang w:val="en-US" w:eastAsia="en-US"/>
        </w:rPr>
        <w:t xml:space="preserve">(Figure </w:t>
      </w:r>
      <w:r w:rsidR="00492C90" w:rsidRPr="00AE1B1D">
        <w:rPr>
          <w:b/>
          <w:noProof/>
          <w:lang w:val="en-US" w:eastAsia="en-US"/>
        </w:rPr>
        <w:t>7</w:t>
      </w:r>
      <w:r w:rsidRPr="00AE1B1D">
        <w:rPr>
          <w:b/>
          <w:noProof/>
          <w:lang w:val="en-US" w:eastAsia="en-US"/>
        </w:rPr>
        <w:t>A)</w:t>
      </w:r>
      <w:r w:rsidR="009C37E6" w:rsidRPr="00AE1B1D">
        <w:rPr>
          <w:b/>
          <w:noProof/>
          <w:lang w:val="en-US" w:eastAsia="en-US"/>
        </w:rPr>
        <w:t xml:space="preserve"> </w:t>
      </w:r>
      <w:r w:rsidR="009C37E6" w:rsidRPr="00AE1B1D">
        <w:rPr>
          <w:noProof/>
          <w:lang w:val="en-US" w:eastAsia="en-US"/>
        </w:rPr>
        <w:t xml:space="preserve">in more </w:t>
      </w:r>
      <w:r w:rsidR="009C37E6" w:rsidRPr="00AE1B1D">
        <w:rPr>
          <w:i/>
          <w:noProof/>
          <w:lang w:val="en-US" w:eastAsia="en-US"/>
        </w:rPr>
        <w:t>in vivo</w:t>
      </w:r>
      <w:r w:rsidR="00CF2144" w:rsidRPr="00AE1B1D">
        <w:rPr>
          <w:noProof/>
          <w:lang w:val="en-US" w:eastAsia="en-US"/>
        </w:rPr>
        <w:t>-</w:t>
      </w:r>
      <w:r w:rsidR="009C37E6" w:rsidRPr="00AE1B1D">
        <w:rPr>
          <w:noProof/>
          <w:lang w:val="en-US" w:eastAsia="en-US"/>
        </w:rPr>
        <w:t>like conditions without Dex administration</w:t>
      </w:r>
      <w:r w:rsidRPr="00AE1B1D">
        <w:rPr>
          <w:noProof/>
          <w:lang w:val="en-US" w:eastAsia="en-US"/>
        </w:rPr>
        <w:t>. It was hypothesized that, in rOS induction medium, the addition of a second dosage of free Naringin or Naringin-loaded micelles could elicit different results</w:t>
      </w:r>
      <w:r w:rsidR="009C37E6" w:rsidRPr="00AE1B1D">
        <w:rPr>
          <w:noProof/>
          <w:lang w:val="en-US" w:eastAsia="en-US"/>
        </w:rPr>
        <w:t xml:space="preserve"> on the ALP activity of hASCs</w:t>
      </w:r>
      <w:r w:rsidRPr="00AE1B1D">
        <w:rPr>
          <w:noProof/>
          <w:lang w:val="en-US" w:eastAsia="en-US"/>
        </w:rPr>
        <w:t>. Such are important findings for the development of stem cell-based therapies based on the most effective Naringin regime for enhancing osteogenic differentiation.</w:t>
      </w:r>
    </w:p>
    <w:p w14:paraId="20EBF004" w14:textId="77777777" w:rsidR="009506EE" w:rsidRPr="00AE1B1D" w:rsidRDefault="009C37E6" w:rsidP="009506EE">
      <w:pPr>
        <w:spacing w:after="240" w:line="480" w:lineRule="auto"/>
        <w:ind w:firstLine="284"/>
        <w:jc w:val="both"/>
        <w:rPr>
          <w:noProof/>
          <w:lang w:val="en-US" w:eastAsia="en-US"/>
        </w:rPr>
      </w:pPr>
      <w:r w:rsidRPr="00AE1B1D">
        <w:rPr>
          <w:noProof/>
          <w:lang w:val="en-US" w:eastAsia="en-US"/>
        </w:rPr>
        <w:t>Hence</w:t>
      </w:r>
      <w:r w:rsidR="00CF2144" w:rsidRPr="00AE1B1D">
        <w:rPr>
          <w:noProof/>
          <w:lang w:val="en-US" w:eastAsia="en-US"/>
        </w:rPr>
        <w:t>,</w:t>
      </w:r>
      <w:r w:rsidRPr="00AE1B1D">
        <w:rPr>
          <w:noProof/>
          <w:lang w:val="en-US" w:eastAsia="en-US"/>
        </w:rPr>
        <w:t xml:space="preserve"> further experiments were designed to evaluate </w:t>
      </w:r>
      <w:r w:rsidR="008F690D" w:rsidRPr="00AE1B1D">
        <w:rPr>
          <w:noProof/>
          <w:lang w:val="en-US" w:eastAsia="en-US"/>
        </w:rPr>
        <w:t xml:space="preserve">the effect of adding a second dose of </w:t>
      </w:r>
      <w:r w:rsidRPr="00AE1B1D">
        <w:rPr>
          <w:noProof/>
          <w:lang w:val="en-US" w:eastAsia="en-US"/>
        </w:rPr>
        <w:t>free Naringin or Naringin</w:t>
      </w:r>
      <w:r w:rsidR="008F690D" w:rsidRPr="00AE1B1D">
        <w:rPr>
          <w:noProof/>
          <w:lang w:val="en-US" w:eastAsia="en-US"/>
        </w:rPr>
        <w:t>-loaded micelles after 3 days</w:t>
      </w:r>
      <w:r w:rsidRPr="00AE1B1D">
        <w:rPr>
          <w:noProof/>
          <w:lang w:val="en-US" w:eastAsia="en-US"/>
        </w:rPr>
        <w:t xml:space="preserve"> of</w:t>
      </w:r>
      <w:r w:rsidR="008F690D" w:rsidRPr="00AE1B1D">
        <w:rPr>
          <w:noProof/>
          <w:lang w:val="en-US" w:eastAsia="en-US"/>
        </w:rPr>
        <w:t xml:space="preserve"> incubation. </w:t>
      </w:r>
      <w:r w:rsidR="009506EE" w:rsidRPr="00AE1B1D">
        <w:rPr>
          <w:noProof/>
          <w:lang w:val="en-US" w:eastAsia="en-US"/>
        </w:rPr>
        <w:t xml:space="preserve">The obtained results </w:t>
      </w:r>
      <w:r w:rsidRPr="00AE1B1D">
        <w:rPr>
          <w:noProof/>
          <w:lang w:val="en-US" w:eastAsia="en-US"/>
        </w:rPr>
        <w:t>shown</w:t>
      </w:r>
      <w:r w:rsidR="00CF2144" w:rsidRPr="00AE1B1D">
        <w:rPr>
          <w:noProof/>
          <w:lang w:val="en-US" w:eastAsia="en-US"/>
        </w:rPr>
        <w:t xml:space="preserve"> in</w:t>
      </w:r>
      <w:r w:rsidRPr="00AE1B1D">
        <w:rPr>
          <w:noProof/>
          <w:lang w:val="en-US" w:eastAsia="en-US"/>
        </w:rPr>
        <w:t xml:space="preserve"> </w:t>
      </w:r>
      <w:r w:rsidR="009506EE" w:rsidRPr="00AE1B1D">
        <w:rPr>
          <w:b/>
          <w:noProof/>
          <w:lang w:val="en-US" w:eastAsia="en-US"/>
        </w:rPr>
        <w:t xml:space="preserve">Figure </w:t>
      </w:r>
      <w:r w:rsidR="001A2786" w:rsidRPr="00AE1B1D">
        <w:rPr>
          <w:b/>
          <w:noProof/>
          <w:lang w:val="en-US" w:eastAsia="en-US"/>
        </w:rPr>
        <w:t>7</w:t>
      </w:r>
      <w:r w:rsidR="009506EE" w:rsidRPr="00AE1B1D">
        <w:rPr>
          <w:b/>
          <w:noProof/>
          <w:lang w:val="en-US" w:eastAsia="en-US"/>
        </w:rPr>
        <w:t>B</w:t>
      </w:r>
      <w:r w:rsidR="009506EE" w:rsidRPr="00AE1B1D">
        <w:rPr>
          <w:noProof/>
          <w:lang w:val="en-US" w:eastAsia="en-US"/>
        </w:rPr>
        <w:t xml:space="preserve"> highlight the superior performance of Naringin</w:t>
      </w:r>
      <w:r w:rsidRPr="00AE1B1D">
        <w:rPr>
          <w:noProof/>
          <w:lang w:val="en-US" w:eastAsia="en-US"/>
        </w:rPr>
        <w:t>-loaded mPEG-MS-PLA nanomicelles</w:t>
      </w:r>
      <w:r w:rsidR="009506EE" w:rsidRPr="00AE1B1D">
        <w:rPr>
          <w:noProof/>
          <w:lang w:val="en-US" w:eastAsia="en-US"/>
        </w:rPr>
        <w:t xml:space="preserve"> over free drug incubation</w:t>
      </w:r>
      <w:r w:rsidRPr="00AE1B1D">
        <w:rPr>
          <w:noProof/>
          <w:lang w:val="en-US" w:eastAsia="en-US"/>
        </w:rPr>
        <w:t>,</w:t>
      </w:r>
      <w:r w:rsidR="009506EE" w:rsidRPr="00AE1B1D">
        <w:rPr>
          <w:noProof/>
          <w:lang w:val="en-US" w:eastAsia="en-US"/>
        </w:rPr>
        <w:t xml:space="preserve"> at 3 days. Naringin-loaded micelles significantly improved ALP activity levels </w:t>
      </w:r>
      <w:r w:rsidRPr="00AE1B1D">
        <w:rPr>
          <w:noProof/>
          <w:lang w:val="en-US" w:eastAsia="en-US"/>
        </w:rPr>
        <w:t>(</w:t>
      </w:r>
      <w:r w:rsidR="009506EE" w:rsidRPr="00AE1B1D">
        <w:rPr>
          <w:noProof/>
          <w:lang w:val="en-US" w:eastAsia="en-US"/>
        </w:rPr>
        <w:t>ca. 0.3 fold over the OS control group</w:t>
      </w:r>
      <w:r w:rsidRPr="00AE1B1D">
        <w:rPr>
          <w:noProof/>
          <w:lang w:val="en-US" w:eastAsia="en-US"/>
        </w:rPr>
        <w:t xml:space="preserve">), </w:t>
      </w:r>
      <w:r w:rsidR="009506EE" w:rsidRPr="00AE1B1D">
        <w:rPr>
          <w:noProof/>
          <w:lang w:val="en-US" w:eastAsia="en-US"/>
        </w:rPr>
        <w:t xml:space="preserve">across all doses of free Naringin studied. </w:t>
      </w:r>
    </w:p>
    <w:p w14:paraId="1663931C" w14:textId="77777777" w:rsidR="009506EE" w:rsidRPr="00AE1B1D" w:rsidRDefault="009506EE" w:rsidP="00D02593">
      <w:pPr>
        <w:spacing w:after="240" w:line="480" w:lineRule="auto"/>
        <w:ind w:firstLine="284"/>
        <w:jc w:val="both"/>
        <w:rPr>
          <w:noProof/>
          <w:lang w:val="en-US" w:eastAsia="en-US"/>
        </w:rPr>
      </w:pPr>
      <w:r w:rsidRPr="00AE1B1D">
        <w:rPr>
          <w:noProof/>
          <w:lang w:val="en-US" w:eastAsia="en-US"/>
        </w:rPr>
        <w:t xml:space="preserve">Regarding the 7 day assays, different performances according to the </w:t>
      </w:r>
      <w:r w:rsidR="00706D75" w:rsidRPr="00AE1B1D">
        <w:rPr>
          <w:noProof/>
          <w:lang w:val="en-US" w:eastAsia="en-US"/>
        </w:rPr>
        <w:t xml:space="preserve">administration </w:t>
      </w:r>
      <w:r w:rsidRPr="00AE1B1D">
        <w:rPr>
          <w:noProof/>
          <w:lang w:val="en-US" w:eastAsia="en-US"/>
        </w:rPr>
        <w:t xml:space="preserve">regimen could be observed for free drug and drug-loaded micelles. For the free drug assays, a single dose of Naringin in rOS promoted ALP activity in a dose-dependent manner, with the highest </w:t>
      </w:r>
      <w:r w:rsidRPr="00AE1B1D">
        <w:rPr>
          <w:noProof/>
          <w:lang w:val="en-US" w:eastAsia="en-US"/>
        </w:rPr>
        <w:lastRenderedPageBreak/>
        <w:t xml:space="preserve">dose (50 </w:t>
      </w:r>
      <w:r w:rsidR="00FE6F1E" w:rsidRPr="00AE1B1D">
        <w:rPr>
          <w:rFonts w:ascii="Symbol" w:hAnsi="Symbol" w:cs="Calibri"/>
          <w:noProof/>
          <w:lang w:val="en-US" w:eastAsia="en-US"/>
        </w:rPr>
        <w:t></w:t>
      </w:r>
      <w:r w:rsidR="00B47557" w:rsidRPr="00AE1B1D">
        <w:rPr>
          <w:noProof/>
          <w:lang w:val="en-US" w:eastAsia="en-US"/>
        </w:rPr>
        <w:t>g mL</w:t>
      </w:r>
      <w:r w:rsidR="00B47557" w:rsidRPr="00AE1B1D">
        <w:rPr>
          <w:noProof/>
          <w:vertAlign w:val="superscript"/>
          <w:lang w:val="en-US" w:eastAsia="en-US"/>
        </w:rPr>
        <w:t>-1</w:t>
      </w:r>
      <w:r w:rsidRPr="00AE1B1D">
        <w:rPr>
          <w:noProof/>
          <w:lang w:val="en-US" w:eastAsia="en-US"/>
        </w:rPr>
        <w:t xml:space="preserve">) showing a 0.15 to 0.20 fold improval over 5 </w:t>
      </w:r>
      <w:r w:rsidR="00FE6F1E" w:rsidRPr="00AE1B1D">
        <w:rPr>
          <w:rFonts w:ascii="Symbol" w:hAnsi="Symbol" w:cs="Calibri"/>
          <w:noProof/>
          <w:lang w:val="en-US" w:eastAsia="en-US"/>
        </w:rPr>
        <w:t></w:t>
      </w:r>
      <w:r w:rsidR="00B47557" w:rsidRPr="00AE1B1D">
        <w:rPr>
          <w:noProof/>
          <w:lang w:val="en-US" w:eastAsia="en-US"/>
        </w:rPr>
        <w:t>g mL</w:t>
      </w:r>
      <w:r w:rsidR="00B47557" w:rsidRPr="00AE1B1D">
        <w:rPr>
          <w:noProof/>
          <w:vertAlign w:val="superscript"/>
          <w:lang w:val="en-US" w:eastAsia="en-US"/>
        </w:rPr>
        <w:t>-1</w:t>
      </w:r>
      <w:r w:rsidR="00B47557" w:rsidRPr="00AE1B1D">
        <w:rPr>
          <w:noProof/>
          <w:lang w:val="en-US" w:eastAsia="en-US"/>
        </w:rPr>
        <w:t xml:space="preserve"> </w:t>
      </w:r>
      <w:r w:rsidRPr="00AE1B1D">
        <w:rPr>
          <w:noProof/>
          <w:lang w:val="en-US" w:eastAsia="en-US"/>
        </w:rPr>
        <w:t>and the rOS control group</w:t>
      </w:r>
      <w:r w:rsidR="0095587C" w:rsidRPr="00AE1B1D">
        <w:rPr>
          <w:noProof/>
          <w:lang w:val="en-US" w:eastAsia="en-US"/>
        </w:rPr>
        <w:t xml:space="preserve"> </w:t>
      </w:r>
      <w:r w:rsidR="0095587C" w:rsidRPr="00AE1B1D">
        <w:rPr>
          <w:b/>
          <w:noProof/>
          <w:lang w:val="en-US" w:eastAsia="en-US"/>
        </w:rPr>
        <w:t>(Figure 7C)</w:t>
      </w:r>
      <w:r w:rsidRPr="00AE1B1D">
        <w:rPr>
          <w:noProof/>
          <w:lang w:val="en-US" w:eastAsia="en-US"/>
        </w:rPr>
        <w:t xml:space="preserve">. </w:t>
      </w:r>
      <w:r w:rsidR="009C37E6" w:rsidRPr="00AE1B1D">
        <w:rPr>
          <w:noProof/>
          <w:lang w:val="en-US" w:eastAsia="en-US"/>
        </w:rPr>
        <w:t>Also</w:t>
      </w:r>
      <w:r w:rsidRPr="00AE1B1D">
        <w:rPr>
          <w:noProof/>
          <w:lang w:val="en-US" w:eastAsia="en-US"/>
        </w:rPr>
        <w:t xml:space="preserve">, a single dose of Naringin led to a 0.2 to 0.3 fold increase in ALP activity when compared to the </w:t>
      </w:r>
      <w:r w:rsidR="00CF2144" w:rsidRPr="00AE1B1D">
        <w:rPr>
          <w:noProof/>
          <w:lang w:val="en-US" w:eastAsia="en-US"/>
        </w:rPr>
        <w:t xml:space="preserve">dual </w:t>
      </w:r>
      <w:r w:rsidR="00706D75" w:rsidRPr="00AE1B1D">
        <w:rPr>
          <w:noProof/>
          <w:lang w:val="en-US" w:eastAsia="en-US"/>
        </w:rPr>
        <w:t xml:space="preserve">administration </w:t>
      </w:r>
      <w:r w:rsidRPr="00AE1B1D">
        <w:rPr>
          <w:noProof/>
          <w:lang w:val="en-US" w:eastAsia="en-US"/>
        </w:rPr>
        <w:t xml:space="preserve">regimen, specifically 10, 20 and 50 </w:t>
      </w:r>
      <w:r w:rsidR="00FE6F1E" w:rsidRPr="00AE1B1D">
        <w:rPr>
          <w:rFonts w:ascii="Symbol" w:hAnsi="Symbol" w:cs="Calibri"/>
          <w:noProof/>
          <w:lang w:val="en-US" w:eastAsia="en-US"/>
        </w:rPr>
        <w:t></w:t>
      </w:r>
      <w:r w:rsidR="00B47557" w:rsidRPr="00AE1B1D">
        <w:rPr>
          <w:noProof/>
          <w:lang w:val="en-US" w:eastAsia="en-US"/>
        </w:rPr>
        <w:t>g mL</w:t>
      </w:r>
      <w:r w:rsidR="00B47557" w:rsidRPr="00AE1B1D">
        <w:rPr>
          <w:noProof/>
          <w:vertAlign w:val="superscript"/>
          <w:lang w:val="en-US" w:eastAsia="en-US"/>
        </w:rPr>
        <w:t>-1</w:t>
      </w:r>
      <w:r w:rsidR="00B47557" w:rsidRPr="00AE1B1D">
        <w:rPr>
          <w:noProof/>
          <w:lang w:val="en-US" w:eastAsia="en-US"/>
        </w:rPr>
        <w:t xml:space="preserve"> </w:t>
      </w:r>
      <w:r w:rsidRPr="00AE1B1D">
        <w:rPr>
          <w:noProof/>
          <w:lang w:val="en-US" w:eastAsia="en-US"/>
        </w:rPr>
        <w:t xml:space="preserve">concentrations. </w:t>
      </w:r>
      <w:r w:rsidR="009C37E6" w:rsidRPr="00AE1B1D">
        <w:rPr>
          <w:noProof/>
          <w:lang w:val="en-US" w:eastAsia="en-US"/>
        </w:rPr>
        <w:t>I</w:t>
      </w:r>
      <w:r w:rsidRPr="00AE1B1D">
        <w:rPr>
          <w:noProof/>
          <w:lang w:val="en-US" w:eastAsia="en-US"/>
        </w:rPr>
        <w:t xml:space="preserve">n the two-dose nanocarrier </w:t>
      </w:r>
      <w:r w:rsidR="009C37E6" w:rsidRPr="00AE1B1D">
        <w:rPr>
          <w:noProof/>
          <w:lang w:val="en-US" w:eastAsia="en-US"/>
        </w:rPr>
        <w:t>administration approach, all Naringin concentrations</w:t>
      </w:r>
      <w:r w:rsidRPr="00AE1B1D">
        <w:rPr>
          <w:noProof/>
          <w:lang w:val="en-US" w:eastAsia="en-US"/>
        </w:rPr>
        <w:t xml:space="preserve"> were capable of significantly improving the ALP activity by 0.3 to 0.4 fold over the rOS control group, which was not observed for the single-</w:t>
      </w:r>
      <w:r w:rsidR="00706D75" w:rsidRPr="00AE1B1D">
        <w:rPr>
          <w:noProof/>
          <w:lang w:val="en-US" w:eastAsia="en-US"/>
        </w:rPr>
        <w:t xml:space="preserve">dose </w:t>
      </w:r>
      <w:r w:rsidR="009C37E6" w:rsidRPr="00AE1B1D">
        <w:rPr>
          <w:noProof/>
          <w:lang w:val="en-US" w:eastAsia="en-US"/>
        </w:rPr>
        <w:t>strategy</w:t>
      </w:r>
      <w:r w:rsidR="008A1180" w:rsidRPr="00AE1B1D">
        <w:rPr>
          <w:noProof/>
          <w:lang w:val="en-US" w:eastAsia="en-US"/>
        </w:rPr>
        <w:t xml:space="preserve"> </w:t>
      </w:r>
      <w:r w:rsidR="008A1180" w:rsidRPr="00AE1B1D">
        <w:rPr>
          <w:b/>
          <w:noProof/>
          <w:lang w:val="en-US" w:eastAsia="en-US"/>
        </w:rPr>
        <w:t>(Figure 7D)</w:t>
      </w:r>
      <w:r w:rsidRPr="00AE1B1D">
        <w:rPr>
          <w:noProof/>
          <w:lang w:val="en-US" w:eastAsia="en-US"/>
        </w:rPr>
        <w:t>.</w:t>
      </w:r>
    </w:p>
    <w:p w14:paraId="050F61DB" w14:textId="35AEF1CB" w:rsidR="009506EE" w:rsidRPr="00AE1B1D" w:rsidRDefault="009506EE" w:rsidP="009506EE">
      <w:pPr>
        <w:spacing w:after="240" w:line="480" w:lineRule="auto"/>
        <w:ind w:firstLine="284"/>
        <w:jc w:val="both"/>
        <w:rPr>
          <w:noProof/>
          <w:lang w:val="en-US" w:eastAsia="en-US"/>
        </w:rPr>
      </w:pPr>
      <w:r w:rsidRPr="00AE1B1D">
        <w:rPr>
          <w:noProof/>
          <w:lang w:val="en-US" w:eastAsia="en-US"/>
        </w:rPr>
        <w:t xml:space="preserve">Overall, different performances according to the </w:t>
      </w:r>
      <w:r w:rsidR="00706D75" w:rsidRPr="00AE1B1D">
        <w:rPr>
          <w:noProof/>
          <w:lang w:val="en-US" w:eastAsia="en-US"/>
        </w:rPr>
        <w:t>dose regime</w:t>
      </w:r>
      <w:r w:rsidR="009C37E6" w:rsidRPr="00AE1B1D">
        <w:rPr>
          <w:noProof/>
          <w:lang w:val="en-US" w:eastAsia="en-US"/>
        </w:rPr>
        <w:t xml:space="preserve"> </w:t>
      </w:r>
      <w:r w:rsidRPr="00AE1B1D">
        <w:rPr>
          <w:noProof/>
          <w:lang w:val="en-US" w:eastAsia="en-US"/>
        </w:rPr>
        <w:t>could be observed for free drug and drug-loaded micelles</w:t>
      </w:r>
      <w:r w:rsidR="006E74B5" w:rsidRPr="00AE1B1D">
        <w:rPr>
          <w:noProof/>
          <w:lang w:val="en-US" w:eastAsia="en-US"/>
        </w:rPr>
        <w:t xml:space="preserve">. </w:t>
      </w:r>
      <w:r w:rsidRPr="00AE1B1D">
        <w:rPr>
          <w:noProof/>
          <w:lang w:val="en-US" w:eastAsia="en-US"/>
        </w:rPr>
        <w:t xml:space="preserve">In the free drug assay, a second dose seemed prejudicial for ALP stimulation, whereas a second dose of Naringin-loaded nanocarriers significantly increased the ALP activity over rOS control group. Cytotoxicity inherent to a second dose administration was not proposed here because dsDNA quantifications of both assays showed no significant changes between the two dose regimens </w:t>
      </w:r>
      <w:r w:rsidRPr="00AE1B1D">
        <w:rPr>
          <w:b/>
          <w:noProof/>
          <w:lang w:val="en-US" w:eastAsia="en-US"/>
        </w:rPr>
        <w:t xml:space="preserve">(Figure </w:t>
      </w:r>
      <w:r w:rsidR="008D70C5" w:rsidRPr="00AE1B1D">
        <w:rPr>
          <w:b/>
          <w:noProof/>
          <w:lang w:val="en-US" w:eastAsia="en-US"/>
        </w:rPr>
        <w:t>S</w:t>
      </w:r>
      <w:r w:rsidR="007D4F44" w:rsidRPr="00AE1B1D">
        <w:rPr>
          <w:b/>
          <w:noProof/>
          <w:lang w:val="en-US" w:eastAsia="en-US"/>
        </w:rPr>
        <w:t>10</w:t>
      </w:r>
      <w:r w:rsidRPr="00AE1B1D">
        <w:rPr>
          <w:b/>
          <w:noProof/>
          <w:lang w:val="en-US" w:eastAsia="en-US"/>
        </w:rPr>
        <w:t>)</w:t>
      </w:r>
      <w:r w:rsidRPr="00AE1B1D">
        <w:rPr>
          <w:noProof/>
          <w:lang w:val="en-US" w:eastAsia="en-US"/>
        </w:rPr>
        <w:t>. The above findings are supported by the work of Guo and colleagues, where they investigated the double directional estrogenic effect of Naringin</w:t>
      </w:r>
      <w:r w:rsidR="005646E4" w:rsidRPr="00AE1B1D">
        <w:rPr>
          <w:noProof/>
          <w:lang w:val="en-US" w:eastAsia="en-US"/>
        </w:rPr>
        <w:t>.</w:t>
      </w:r>
      <w:r w:rsidR="00025D04" w:rsidRPr="00AE1B1D">
        <w:rPr>
          <w:noProof/>
          <w:vertAlign w:val="superscript"/>
          <w:lang w:val="en-US" w:eastAsia="en-US"/>
        </w:rPr>
        <w:t>[50</w:t>
      </w:r>
      <w:r w:rsidR="0060653E" w:rsidRPr="00AE1B1D">
        <w:rPr>
          <w:noProof/>
          <w:vertAlign w:val="superscript"/>
          <w:lang w:val="en-US" w:eastAsia="en-US"/>
        </w:rPr>
        <w:t>]</w:t>
      </w:r>
      <w:r w:rsidRPr="00AE1B1D">
        <w:rPr>
          <w:noProof/>
          <w:lang w:val="en-US" w:eastAsia="en-US"/>
        </w:rPr>
        <w:t xml:space="preserve"> The authors concluded that Naringin showed estrogenic agonist activity at low concentrations, but acted as estrogenic antagonist at high concentrations. The interaction of Naringin with estrogen receptor and its role in osteogenesis is well described in the literature, and the obtained results above may suggest that intracellular delivery of Naringin might overcome this limitting effect</w:t>
      </w:r>
      <w:r w:rsidR="005646E4" w:rsidRPr="00AE1B1D">
        <w:rPr>
          <w:noProof/>
          <w:lang w:val="en-US" w:eastAsia="en-US"/>
        </w:rPr>
        <w:t>.</w:t>
      </w:r>
      <w:r w:rsidR="0060653E" w:rsidRPr="00AE1B1D">
        <w:rPr>
          <w:noProof/>
          <w:vertAlign w:val="superscript"/>
          <w:lang w:val="en-US" w:eastAsia="en-US"/>
        </w:rPr>
        <w:t>[5</w:t>
      </w:r>
      <w:r w:rsidR="00025D04" w:rsidRPr="00AE1B1D">
        <w:rPr>
          <w:noProof/>
          <w:vertAlign w:val="superscript"/>
          <w:lang w:val="en-US" w:eastAsia="en-US"/>
        </w:rPr>
        <w:t>0</w:t>
      </w:r>
      <w:r w:rsidR="0060653E" w:rsidRPr="00AE1B1D">
        <w:rPr>
          <w:noProof/>
          <w:vertAlign w:val="superscript"/>
          <w:lang w:val="en-US" w:eastAsia="en-US"/>
        </w:rPr>
        <w:t>,5</w:t>
      </w:r>
      <w:r w:rsidR="00025D04" w:rsidRPr="00AE1B1D">
        <w:rPr>
          <w:noProof/>
          <w:vertAlign w:val="superscript"/>
          <w:lang w:val="en-US" w:eastAsia="en-US"/>
        </w:rPr>
        <w:t>1</w:t>
      </w:r>
      <w:r w:rsidR="0060653E" w:rsidRPr="00AE1B1D">
        <w:rPr>
          <w:noProof/>
          <w:vertAlign w:val="superscript"/>
          <w:lang w:val="en-US" w:eastAsia="en-US"/>
        </w:rPr>
        <w:t>]</w:t>
      </w:r>
    </w:p>
    <w:p w14:paraId="3A29C961" w14:textId="77777777" w:rsidR="00F47853" w:rsidRPr="00AE1B1D" w:rsidRDefault="006E74B5" w:rsidP="00D74EF5">
      <w:pPr>
        <w:spacing w:after="240" w:line="480" w:lineRule="auto"/>
        <w:ind w:firstLine="284"/>
        <w:jc w:val="both"/>
        <w:rPr>
          <w:lang w:val="en-US" w:eastAsia="en-US"/>
        </w:rPr>
      </w:pPr>
      <w:r w:rsidRPr="00AE1B1D">
        <w:rPr>
          <w:b/>
          <w:noProof/>
          <w:lang w:val="en-US" w:eastAsia="en-US"/>
        </w:rPr>
        <w:t>Figure 7E</w:t>
      </w:r>
      <w:r w:rsidRPr="00AE1B1D">
        <w:rPr>
          <w:noProof/>
          <w:lang w:val="en-US" w:eastAsia="en-US"/>
        </w:rPr>
        <w:t xml:space="preserve"> </w:t>
      </w:r>
      <w:r w:rsidR="009506EE" w:rsidRPr="00AE1B1D">
        <w:rPr>
          <w:lang w:val="en-US" w:eastAsia="en-US"/>
        </w:rPr>
        <w:t xml:space="preserve">provides an overall comparison between all the tested dose regimen groups, with both free drug and drug-loaded groups. For one-dose regimen, free Naringin and Naringin-loaded groups exhibited similar enhancements of ALP stimulation at 7 days. </w:t>
      </w:r>
      <w:r w:rsidR="00706D75" w:rsidRPr="00AE1B1D">
        <w:rPr>
          <w:lang w:val="en-US" w:eastAsia="en-US"/>
        </w:rPr>
        <w:t>Overall</w:t>
      </w:r>
      <w:r w:rsidR="009506EE" w:rsidRPr="00AE1B1D">
        <w:rPr>
          <w:lang w:val="en-US" w:eastAsia="en-US"/>
        </w:rPr>
        <w:t xml:space="preserve">, </w:t>
      </w:r>
      <w:r w:rsidR="008A1180" w:rsidRPr="00AE1B1D">
        <w:rPr>
          <w:lang w:val="en-US" w:eastAsia="en-US"/>
        </w:rPr>
        <w:t xml:space="preserve">for two dose regimes, </w:t>
      </w:r>
      <w:r w:rsidR="009506EE" w:rsidRPr="00AE1B1D">
        <w:rPr>
          <w:lang w:val="en-US" w:eastAsia="en-US"/>
        </w:rPr>
        <w:t>Naringin-loaded</w:t>
      </w:r>
      <w:r w:rsidR="00706D75" w:rsidRPr="00AE1B1D">
        <w:rPr>
          <w:lang w:val="en-US" w:eastAsia="en-US"/>
        </w:rPr>
        <w:t xml:space="preserve"> micelles</w:t>
      </w:r>
      <w:r w:rsidR="009506EE" w:rsidRPr="00AE1B1D">
        <w:rPr>
          <w:lang w:val="en-US" w:eastAsia="en-US"/>
        </w:rPr>
        <w:t xml:space="preserve"> were significantly superior across all concentrations studied. In addition, the obtained results show that dual nanocarrier administration requires lower Naringin doses to effectively improve ALP activity versus one-dose regimens.</w:t>
      </w:r>
    </w:p>
    <w:p w14:paraId="701F5844" w14:textId="2EFF806D" w:rsidR="00DA3784" w:rsidRPr="00AE1B1D" w:rsidRDefault="00B5178F" w:rsidP="00DA3784">
      <w:pPr>
        <w:spacing w:after="240" w:line="480" w:lineRule="auto"/>
        <w:ind w:firstLine="284"/>
        <w:jc w:val="both"/>
        <w:rPr>
          <w:lang w:val="en-US" w:eastAsia="en-US"/>
        </w:rPr>
      </w:pPr>
      <w:proofErr w:type="gramStart"/>
      <w:r w:rsidRPr="00AE1B1D">
        <w:rPr>
          <w:lang w:val="en-US" w:eastAsia="en-US"/>
        </w:rPr>
        <w:lastRenderedPageBreak/>
        <w:t>In light of</w:t>
      </w:r>
      <w:proofErr w:type="gramEnd"/>
      <w:r w:rsidRPr="00AE1B1D">
        <w:rPr>
          <w:lang w:val="en-US" w:eastAsia="en-US"/>
        </w:rPr>
        <w:t xml:space="preserve"> </w:t>
      </w:r>
      <w:r w:rsidR="00BC3230" w:rsidRPr="00AE1B1D">
        <w:rPr>
          <w:lang w:val="en-US" w:eastAsia="en-US"/>
        </w:rPr>
        <w:t xml:space="preserve">previous results, the </w:t>
      </w:r>
      <w:r w:rsidR="002E3C4A" w:rsidRPr="00AE1B1D">
        <w:rPr>
          <w:lang w:val="en-US" w:eastAsia="en-US"/>
        </w:rPr>
        <w:t xml:space="preserve">superior </w:t>
      </w:r>
      <w:r w:rsidR="00BC3230" w:rsidRPr="00AE1B1D">
        <w:rPr>
          <w:lang w:val="en-US" w:eastAsia="en-US"/>
        </w:rPr>
        <w:t xml:space="preserve">performance of the dual </w:t>
      </w:r>
      <w:r w:rsidR="002E3C4A" w:rsidRPr="00AE1B1D">
        <w:rPr>
          <w:lang w:val="en-US" w:eastAsia="en-US"/>
        </w:rPr>
        <w:t>nanocarrier</w:t>
      </w:r>
      <w:r w:rsidR="00BC3230" w:rsidRPr="00AE1B1D">
        <w:rPr>
          <w:lang w:val="en-US" w:eastAsia="en-US"/>
        </w:rPr>
        <w:t xml:space="preserve"> regime was </w:t>
      </w:r>
      <w:r w:rsidRPr="00AE1B1D">
        <w:rPr>
          <w:lang w:val="en-US" w:eastAsia="en-US"/>
        </w:rPr>
        <w:t xml:space="preserve">also </w:t>
      </w:r>
      <w:r w:rsidR="002E3C4A" w:rsidRPr="00AE1B1D">
        <w:rPr>
          <w:lang w:val="en-US" w:eastAsia="en-US"/>
        </w:rPr>
        <w:t>evaluated in later timepoints, i.e. 14 and 21 days of culture, and compared against free drug administration (</w:t>
      </w:r>
      <w:r w:rsidR="00F661D5" w:rsidRPr="00AE1B1D">
        <w:rPr>
          <w:b/>
          <w:lang w:val="en-US" w:eastAsia="en-US"/>
        </w:rPr>
        <w:t>Figure 7F</w:t>
      </w:r>
      <w:r w:rsidR="002E3C4A" w:rsidRPr="00AE1B1D">
        <w:rPr>
          <w:b/>
          <w:lang w:val="en-US" w:eastAsia="en-US"/>
        </w:rPr>
        <w:t xml:space="preserve"> </w:t>
      </w:r>
      <w:r w:rsidR="002E3C4A" w:rsidRPr="00AE1B1D">
        <w:rPr>
          <w:lang w:val="en-US" w:eastAsia="en-US"/>
        </w:rPr>
        <w:t xml:space="preserve">and </w:t>
      </w:r>
      <w:r w:rsidR="002E3C4A" w:rsidRPr="00AE1B1D">
        <w:rPr>
          <w:b/>
          <w:lang w:val="en-US" w:eastAsia="en-US"/>
        </w:rPr>
        <w:t>7</w:t>
      </w:r>
      <w:r w:rsidR="00F661D5" w:rsidRPr="00AE1B1D">
        <w:rPr>
          <w:b/>
          <w:lang w:val="en-US" w:eastAsia="en-US"/>
        </w:rPr>
        <w:t>G</w:t>
      </w:r>
      <w:r w:rsidR="002E3C4A" w:rsidRPr="00AE1B1D">
        <w:rPr>
          <w:lang w:val="en-US" w:eastAsia="en-US"/>
        </w:rPr>
        <w:t>).</w:t>
      </w:r>
      <w:r w:rsidRPr="00AE1B1D">
        <w:rPr>
          <w:lang w:val="en-US" w:eastAsia="en-US"/>
        </w:rPr>
        <w:t xml:space="preserve"> At 14 days, the obtained results once again highlight the superior </w:t>
      </w:r>
      <w:proofErr w:type="spellStart"/>
      <w:r w:rsidRPr="00AE1B1D">
        <w:rPr>
          <w:lang w:val="en-US" w:eastAsia="en-US"/>
        </w:rPr>
        <w:t>osteopromoting</w:t>
      </w:r>
      <w:proofErr w:type="spellEnd"/>
      <w:r w:rsidRPr="00AE1B1D">
        <w:rPr>
          <w:lang w:val="en-US" w:eastAsia="en-US"/>
        </w:rPr>
        <w:t xml:space="preserve"> potential of Naringin-loaded nanomicelles over</w:t>
      </w:r>
      <w:r w:rsidR="002C71AF" w:rsidRPr="00AE1B1D">
        <w:rPr>
          <w:lang w:val="en-US" w:eastAsia="en-US"/>
        </w:rPr>
        <w:t xml:space="preserve"> free Naringin treatment modalities</w:t>
      </w:r>
      <w:r w:rsidR="006C628D" w:rsidRPr="00AE1B1D">
        <w:rPr>
          <w:lang w:val="en-US" w:eastAsia="en-US"/>
        </w:rPr>
        <w:t xml:space="preserve"> (Figure 7</w:t>
      </w:r>
      <w:r w:rsidR="00F661D5" w:rsidRPr="00AE1B1D">
        <w:rPr>
          <w:lang w:val="en-US" w:eastAsia="en-US"/>
        </w:rPr>
        <w:t>F</w:t>
      </w:r>
      <w:r w:rsidR="006C628D" w:rsidRPr="00AE1B1D">
        <w:rPr>
          <w:lang w:val="en-US" w:eastAsia="en-US"/>
        </w:rPr>
        <w:t>)</w:t>
      </w:r>
      <w:r w:rsidR="002C71AF" w:rsidRPr="00AE1B1D">
        <w:rPr>
          <w:lang w:val="en-US" w:eastAsia="en-US"/>
        </w:rPr>
        <w:t xml:space="preserve">. Indeed, except for the lowest concentration (5 </w:t>
      </w:r>
      <w:r w:rsidR="00DA3784" w:rsidRPr="00AE1B1D">
        <w:rPr>
          <w:rFonts w:ascii="Calibri" w:hAnsi="Calibri" w:cs="Calibri"/>
          <w:lang w:val="en-US" w:eastAsia="en-US"/>
        </w:rPr>
        <w:t>µ</w:t>
      </w:r>
      <w:r w:rsidR="002C71AF" w:rsidRPr="00AE1B1D">
        <w:rPr>
          <w:lang w:val="en-US" w:eastAsia="en-US"/>
        </w:rPr>
        <w:t xml:space="preserve">g/mL), all </w:t>
      </w:r>
      <w:proofErr w:type="spellStart"/>
      <w:r w:rsidR="002C71AF" w:rsidRPr="00AE1B1D">
        <w:rPr>
          <w:lang w:val="en-US" w:eastAsia="en-US"/>
        </w:rPr>
        <w:t>nanomicelle</w:t>
      </w:r>
      <w:proofErr w:type="spellEnd"/>
      <w:r w:rsidR="002C71AF" w:rsidRPr="00AE1B1D">
        <w:rPr>
          <w:lang w:val="en-US" w:eastAsia="en-US"/>
        </w:rPr>
        <w:t xml:space="preserve"> doses have significantly augmented the ALP-promoting effect of</w:t>
      </w:r>
      <w:r w:rsidR="00DA3784" w:rsidRPr="00AE1B1D">
        <w:rPr>
          <w:lang w:val="en-US" w:eastAsia="en-US"/>
        </w:rPr>
        <w:t xml:space="preserve"> Naringin over the corresponding free drug administrations. Remarkably, </w:t>
      </w:r>
      <w:r w:rsidR="006C628D" w:rsidRPr="00AE1B1D">
        <w:rPr>
          <w:lang w:val="en-US" w:eastAsia="en-US"/>
        </w:rPr>
        <w:t>the highest dose of Naringin-</w:t>
      </w:r>
      <w:proofErr w:type="spellStart"/>
      <w:r w:rsidR="006C628D" w:rsidRPr="00AE1B1D">
        <w:rPr>
          <w:lang w:val="en-US" w:eastAsia="en-US"/>
        </w:rPr>
        <w:t>lodaded</w:t>
      </w:r>
      <w:proofErr w:type="spellEnd"/>
      <w:r w:rsidR="006C628D" w:rsidRPr="00AE1B1D">
        <w:rPr>
          <w:lang w:val="en-US" w:eastAsia="en-US"/>
        </w:rPr>
        <w:t xml:space="preserve"> </w:t>
      </w:r>
      <w:proofErr w:type="spellStart"/>
      <w:r w:rsidR="006C628D" w:rsidRPr="00AE1B1D">
        <w:rPr>
          <w:lang w:val="en-US" w:eastAsia="en-US"/>
        </w:rPr>
        <w:t>nanomicelles</w:t>
      </w:r>
      <w:proofErr w:type="spellEnd"/>
      <w:r w:rsidR="006C628D" w:rsidRPr="00AE1B1D">
        <w:rPr>
          <w:lang w:val="en-US" w:eastAsia="en-US"/>
        </w:rPr>
        <w:t xml:space="preserve"> achieved a 0.9-fold increase</w:t>
      </w:r>
      <w:r w:rsidR="006C628D" w:rsidRPr="00AE1B1D">
        <w:rPr>
          <w:noProof/>
          <w:lang w:val="en-US" w:eastAsia="en-US"/>
        </w:rPr>
        <w:t xml:space="preserve"> in ALP activity versus the osteogenic control (rOS) and a 0.7-fold increase when compared to the highest free drug dose.</w:t>
      </w:r>
      <w:r w:rsidR="006C628D" w:rsidRPr="00AE1B1D">
        <w:rPr>
          <w:lang w:val="en-US" w:eastAsia="en-US"/>
        </w:rPr>
        <w:t xml:space="preserve"> Moreover, a dose-dependent increase in ALP activity is particularly evident for the </w:t>
      </w:r>
      <w:proofErr w:type="spellStart"/>
      <w:r w:rsidR="006C628D" w:rsidRPr="00AE1B1D">
        <w:rPr>
          <w:lang w:val="en-US" w:eastAsia="en-US"/>
        </w:rPr>
        <w:t>nanomicelle</w:t>
      </w:r>
      <w:proofErr w:type="spellEnd"/>
      <w:r w:rsidR="006C628D" w:rsidRPr="00AE1B1D">
        <w:rPr>
          <w:lang w:val="en-US" w:eastAsia="en-US"/>
        </w:rPr>
        <w:t xml:space="preserve"> administration regime. </w:t>
      </w:r>
      <w:r w:rsidR="00DA3784" w:rsidRPr="00AE1B1D">
        <w:rPr>
          <w:lang w:val="en-US" w:eastAsia="en-US"/>
        </w:rPr>
        <w:t xml:space="preserve">Herein, it can be observed that lower doses of nanomicelles (10 </w:t>
      </w:r>
      <w:r w:rsidR="00DA3784" w:rsidRPr="00AE1B1D">
        <w:rPr>
          <w:rFonts w:ascii="Calibri" w:hAnsi="Calibri" w:cs="Calibri"/>
          <w:lang w:val="en-US" w:eastAsia="en-US"/>
        </w:rPr>
        <w:t>µ</w:t>
      </w:r>
      <w:r w:rsidR="00DA3784" w:rsidRPr="00AE1B1D">
        <w:rPr>
          <w:lang w:val="en-US" w:eastAsia="en-US"/>
        </w:rPr>
        <w:t xml:space="preserve">g/mL) can achieve comparable improvements to the highest doses of free Naringin studied (50 </w:t>
      </w:r>
      <w:r w:rsidR="00DA3784" w:rsidRPr="00AE1B1D">
        <w:rPr>
          <w:rFonts w:ascii="Calibri" w:hAnsi="Calibri" w:cs="Calibri"/>
          <w:lang w:val="en-US" w:eastAsia="en-US"/>
        </w:rPr>
        <w:t>µ</w:t>
      </w:r>
      <w:r w:rsidR="00DA3784" w:rsidRPr="00AE1B1D">
        <w:rPr>
          <w:lang w:val="en-US" w:eastAsia="en-US"/>
        </w:rPr>
        <w:t xml:space="preserve">g/mL), which once again highlights the remarkable potential of </w:t>
      </w:r>
      <w:proofErr w:type="spellStart"/>
      <w:r w:rsidR="00DA3784" w:rsidRPr="00AE1B1D">
        <w:rPr>
          <w:lang w:val="en-US" w:eastAsia="en-US"/>
        </w:rPr>
        <w:t>nanomicelle</w:t>
      </w:r>
      <w:proofErr w:type="spellEnd"/>
      <w:r w:rsidR="00DA3784" w:rsidRPr="00AE1B1D">
        <w:rPr>
          <w:lang w:val="en-US" w:eastAsia="en-US"/>
        </w:rPr>
        <w:t xml:space="preserve">-delivered Naringin for accelerating osteodifferentiation in </w:t>
      </w:r>
      <w:proofErr w:type="spellStart"/>
      <w:r w:rsidR="00DA3784" w:rsidRPr="00AE1B1D">
        <w:rPr>
          <w:lang w:val="en-US" w:eastAsia="en-US"/>
        </w:rPr>
        <w:t>hASCs</w:t>
      </w:r>
      <w:proofErr w:type="spellEnd"/>
      <w:r w:rsidR="00DA3784" w:rsidRPr="00AE1B1D">
        <w:rPr>
          <w:lang w:val="en-US" w:eastAsia="en-US"/>
        </w:rPr>
        <w:t xml:space="preserve">. At 21 days, however, the majority of </w:t>
      </w:r>
      <w:proofErr w:type="spellStart"/>
      <w:r w:rsidR="00DA3784" w:rsidRPr="00AE1B1D">
        <w:rPr>
          <w:lang w:val="en-US" w:eastAsia="en-US"/>
        </w:rPr>
        <w:t>hASCs</w:t>
      </w:r>
      <w:proofErr w:type="spellEnd"/>
      <w:r w:rsidR="00DA3784" w:rsidRPr="00AE1B1D">
        <w:rPr>
          <w:lang w:val="en-US" w:eastAsia="en-US"/>
        </w:rPr>
        <w:t xml:space="preserve"> have undergone extensive osteodifferentiation and no significant differences can be seen among osteogenic conditions for both free drug an</w:t>
      </w:r>
      <w:r w:rsidR="00F661D5" w:rsidRPr="00AE1B1D">
        <w:rPr>
          <w:lang w:val="en-US" w:eastAsia="en-US"/>
        </w:rPr>
        <w:t>d nanomicelles groups (Figure 7G</w:t>
      </w:r>
      <w:r w:rsidR="00DA3784" w:rsidRPr="00AE1B1D">
        <w:rPr>
          <w:lang w:val="en-US" w:eastAsia="en-US"/>
        </w:rPr>
        <w:t>).</w:t>
      </w:r>
    </w:p>
    <w:p w14:paraId="7D8A1439" w14:textId="30D52379" w:rsidR="009506EE" w:rsidRPr="00AE1B1D" w:rsidRDefault="009506EE" w:rsidP="00D74EF5">
      <w:pPr>
        <w:spacing w:after="240" w:line="480" w:lineRule="auto"/>
        <w:ind w:firstLine="284"/>
        <w:jc w:val="both"/>
        <w:rPr>
          <w:lang w:val="en-US" w:eastAsia="en-US"/>
        </w:rPr>
      </w:pPr>
      <w:r w:rsidRPr="00AE1B1D">
        <w:rPr>
          <w:lang w:val="en-US" w:eastAsia="en-US"/>
        </w:rPr>
        <w:t xml:space="preserve">The obtained results indicate the potential of the formulated nanocarriers to deliver Naringin to </w:t>
      </w:r>
      <w:proofErr w:type="spellStart"/>
      <w:r w:rsidRPr="00AE1B1D">
        <w:rPr>
          <w:lang w:val="en-US" w:eastAsia="en-US"/>
        </w:rPr>
        <w:t>hASCs</w:t>
      </w:r>
      <w:proofErr w:type="spellEnd"/>
      <w:r w:rsidRPr="00AE1B1D">
        <w:rPr>
          <w:lang w:val="en-US" w:eastAsia="en-US"/>
        </w:rPr>
        <w:t xml:space="preserve"> and significantly enhance its pro-osteogenic effect over free drug administration, especially at </w:t>
      </w:r>
      <w:r w:rsidR="006C628D" w:rsidRPr="00AE1B1D">
        <w:rPr>
          <w:lang w:val="en-US" w:eastAsia="en-US"/>
        </w:rPr>
        <w:t>accelerating cell osteodifferentiation</w:t>
      </w:r>
      <w:r w:rsidRPr="00AE1B1D">
        <w:rPr>
          <w:lang w:val="en-US" w:eastAsia="en-US"/>
        </w:rPr>
        <w:t xml:space="preserve"> and requiring lower doses.</w:t>
      </w:r>
    </w:p>
    <w:p w14:paraId="3536C1B9" w14:textId="134B4B2D" w:rsidR="008F690D" w:rsidRPr="00AE1B1D" w:rsidRDefault="003C294C" w:rsidP="00CE1242">
      <w:pPr>
        <w:pStyle w:val="Head1"/>
      </w:pPr>
      <w:r w:rsidRPr="00AE1B1D">
        <w:t>3. Conclusion</w:t>
      </w:r>
    </w:p>
    <w:p w14:paraId="311019EE" w14:textId="1985DCD3" w:rsidR="003C294C" w:rsidRPr="00AE1B1D" w:rsidRDefault="003C294C" w:rsidP="003C294C">
      <w:pPr>
        <w:spacing w:after="240" w:line="480" w:lineRule="auto"/>
        <w:ind w:firstLine="284"/>
        <w:jc w:val="both"/>
        <w:rPr>
          <w:lang w:val="en-US" w:eastAsia="en-US"/>
        </w:rPr>
      </w:pPr>
      <w:r w:rsidRPr="00AE1B1D">
        <w:rPr>
          <w:lang w:val="en-US" w:eastAsia="en-US"/>
        </w:rPr>
        <w:t xml:space="preserve">Throughout this study, the potential of </w:t>
      </w:r>
      <w:r w:rsidR="0088728B" w:rsidRPr="00AE1B1D">
        <w:rPr>
          <w:lang w:val="en-US" w:eastAsia="en-US"/>
        </w:rPr>
        <w:t xml:space="preserve">a naturally available drug to </w:t>
      </w:r>
      <w:r w:rsidRPr="00AE1B1D">
        <w:rPr>
          <w:lang w:val="en-US" w:eastAsia="en-US"/>
        </w:rPr>
        <w:t>guide cells differentiation towards an osteoblastic phenotype</w:t>
      </w:r>
      <w:r w:rsidR="0088728B" w:rsidRPr="00AE1B1D">
        <w:rPr>
          <w:lang w:val="en-US" w:eastAsia="en-US"/>
        </w:rPr>
        <w:t xml:space="preserve"> was explored</w:t>
      </w:r>
      <w:r w:rsidRPr="00AE1B1D">
        <w:rPr>
          <w:lang w:val="en-US" w:eastAsia="en-US"/>
        </w:rPr>
        <w:t xml:space="preserve">. The inclusion of Naringin in micellar nanocarriers resulted in a high encapsulation efficiency and led to a sustained drug release in both physiological and endo-lysosomal conditions. Moreover, these nanocarriers were readily internalized by </w:t>
      </w:r>
      <w:proofErr w:type="spellStart"/>
      <w:r w:rsidRPr="00AE1B1D">
        <w:rPr>
          <w:lang w:val="en-US" w:eastAsia="en-US"/>
        </w:rPr>
        <w:t>hASCs</w:t>
      </w:r>
      <w:proofErr w:type="spellEnd"/>
      <w:r w:rsidRPr="00AE1B1D">
        <w:rPr>
          <w:lang w:val="en-US" w:eastAsia="en-US"/>
        </w:rPr>
        <w:t xml:space="preserve"> as demonstrated by microscopy imaging. The controlled delivery of </w:t>
      </w:r>
      <w:r w:rsidRPr="00AE1B1D">
        <w:rPr>
          <w:lang w:val="en-US" w:eastAsia="en-US"/>
        </w:rPr>
        <w:lastRenderedPageBreak/>
        <w:t xml:space="preserve">Naringin </w:t>
      </w:r>
      <w:r w:rsidR="001763E5" w:rsidRPr="00AE1B1D">
        <w:rPr>
          <w:lang w:val="en-US" w:eastAsia="en-US"/>
        </w:rPr>
        <w:t xml:space="preserve">generally </w:t>
      </w:r>
      <w:r w:rsidRPr="00AE1B1D">
        <w:rPr>
          <w:lang w:val="en-US" w:eastAsia="en-US"/>
        </w:rPr>
        <w:t xml:space="preserve">elicited a more pronounced ALP expression over free drug administration. In addition, a single initial stimulatory dose of Naringin-loaded nanocarriers significantly increased OPN expression over free drug after 14 days. Moreover, Naringin delivery via </w:t>
      </w:r>
      <w:proofErr w:type="spellStart"/>
      <w:r w:rsidRPr="00AE1B1D">
        <w:rPr>
          <w:lang w:val="en-US" w:eastAsia="en-US"/>
        </w:rPr>
        <w:t>nanomicelles</w:t>
      </w:r>
      <w:proofErr w:type="spellEnd"/>
      <w:r w:rsidRPr="00AE1B1D">
        <w:rPr>
          <w:lang w:val="en-US" w:eastAsia="en-US"/>
        </w:rPr>
        <w:t xml:space="preserve"> significantly improved </w:t>
      </w:r>
      <w:proofErr w:type="spellStart"/>
      <w:r w:rsidRPr="00AE1B1D">
        <w:rPr>
          <w:lang w:val="en-US" w:eastAsia="en-US"/>
        </w:rPr>
        <w:t>hASCs</w:t>
      </w:r>
      <w:proofErr w:type="spellEnd"/>
      <w:r w:rsidRPr="00AE1B1D">
        <w:rPr>
          <w:lang w:val="en-US" w:eastAsia="en-US"/>
        </w:rPr>
        <w:t xml:space="preserve"> matrix mineralization over free drug at 21 days. Taken together, the findings of this study provide evidence that the inclusion of Naringin in biocompatible nanocarriers effectively promotes the osteogenic differentiation of </w:t>
      </w:r>
      <w:proofErr w:type="spellStart"/>
      <w:r w:rsidRPr="00AE1B1D">
        <w:rPr>
          <w:lang w:val="en-US" w:eastAsia="en-US"/>
        </w:rPr>
        <w:t>hASCs</w:t>
      </w:r>
      <w:proofErr w:type="spellEnd"/>
      <w:r w:rsidRPr="00AE1B1D">
        <w:rPr>
          <w:lang w:val="en-US" w:eastAsia="en-US"/>
        </w:rPr>
        <w:t xml:space="preserve"> </w:t>
      </w:r>
      <w:r w:rsidRPr="00AE1B1D">
        <w:rPr>
          <w:i/>
          <w:lang w:val="en-US" w:eastAsia="en-US"/>
        </w:rPr>
        <w:t>in vitro</w:t>
      </w:r>
      <w:r w:rsidRPr="00AE1B1D">
        <w:rPr>
          <w:lang w:val="en-US" w:eastAsia="en-US"/>
        </w:rPr>
        <w:t xml:space="preserve">. </w:t>
      </w:r>
      <w:r w:rsidR="0088728B" w:rsidRPr="00AE1B1D">
        <w:rPr>
          <w:lang w:val="en-US" w:eastAsia="en-US"/>
        </w:rPr>
        <w:t>Such findings can ultimately provide new design directions for future studies either in stem cell-based therapies or as a novel bone nanomedicine therapeutic agent.</w:t>
      </w:r>
    </w:p>
    <w:p w14:paraId="51BF945B" w14:textId="77777777" w:rsidR="003C294C" w:rsidRPr="00AE1B1D" w:rsidRDefault="003C294C" w:rsidP="003C294C">
      <w:pPr>
        <w:spacing w:after="240" w:line="480" w:lineRule="auto"/>
        <w:ind w:firstLine="284"/>
        <w:jc w:val="both"/>
        <w:rPr>
          <w:lang w:val="en-US" w:eastAsia="en-US"/>
        </w:rPr>
      </w:pPr>
      <w:r w:rsidRPr="00AE1B1D">
        <w:rPr>
          <w:lang w:val="en-US" w:eastAsia="en-US"/>
        </w:rPr>
        <w:t xml:space="preserve">In the foreseeable future, the design of Naringin micellar delivery system could be enhanced by inclusion of stimuli-responsive moieties into nanocarriers polymeric backbone </w:t>
      </w:r>
      <w:proofErr w:type="gramStart"/>
      <w:r w:rsidRPr="00AE1B1D">
        <w:rPr>
          <w:lang w:val="en-US" w:eastAsia="en-US"/>
        </w:rPr>
        <w:t>in order to</w:t>
      </w:r>
      <w:proofErr w:type="gramEnd"/>
      <w:r w:rsidRPr="00AE1B1D">
        <w:rPr>
          <w:lang w:val="en-US" w:eastAsia="en-US"/>
        </w:rPr>
        <w:t xml:space="preserve"> fine tune the delivery process upon specific stimuli. In fact, there are several interesting biophysiological cues within the bone tissue and alterations found in skeletal disorders that could potentially be exploited for stimuli-responsive delivery of bioactive molecules. The latter is particularly interesting since during the onset and progression of different bone disorders many of skeletal microenvironment hallmarks and cellular functions become profoundly deregulated. Each of these disease-specific features represent unique opportunities for nanocarrier-mediated stimuli-responsive release of therapeutics. This spatiotemporally controlled drug release can result in higher stability </w:t>
      </w:r>
      <w:r w:rsidRPr="00AE1B1D">
        <w:rPr>
          <w:i/>
          <w:lang w:val="en-US" w:eastAsia="en-US"/>
        </w:rPr>
        <w:t>in vivo</w:t>
      </w:r>
      <w:r w:rsidRPr="00AE1B1D">
        <w:rPr>
          <w:lang w:val="en-US" w:eastAsia="en-US"/>
        </w:rPr>
        <w:t xml:space="preserve"> and improved biodistribution of the drug at skeletal sites upon parenteral administration. The combination of bioinspired therapeutics with design advances in nanocarriers performance, will undoubtedly pave the future in providing suitable candidates for future commercialization and realistic clinical application.</w:t>
      </w:r>
    </w:p>
    <w:p w14:paraId="3DAB392E" w14:textId="77777777" w:rsidR="00AB539D" w:rsidRPr="00AE1B1D" w:rsidRDefault="00AB539D" w:rsidP="00CE1242">
      <w:pPr>
        <w:pStyle w:val="Head1"/>
      </w:pPr>
      <w:r w:rsidRPr="00AE1B1D">
        <w:t>4. Experimental Section</w:t>
      </w:r>
    </w:p>
    <w:p w14:paraId="6CBD768B" w14:textId="77777777" w:rsidR="003C0D59" w:rsidRPr="00AE1B1D" w:rsidRDefault="003C0D59" w:rsidP="003C0D59">
      <w:pPr>
        <w:pStyle w:val="ExperimentalText"/>
        <w:spacing w:after="240"/>
        <w:ind w:firstLine="284"/>
        <w:jc w:val="both"/>
        <w:rPr>
          <w:snapToGrid w:val="0"/>
        </w:rPr>
      </w:pPr>
      <w:r w:rsidRPr="00AE1B1D">
        <w:rPr>
          <w:i/>
          <w:snapToGrid w:val="0"/>
        </w:rPr>
        <w:t>Materials:</w:t>
      </w:r>
      <w:r w:rsidRPr="00AE1B1D">
        <w:rPr>
          <w:snapToGrid w:val="0"/>
        </w:rPr>
        <w:t xml:space="preserve"> Methoxy</w:t>
      </w:r>
      <w:r w:rsidR="008B32E6" w:rsidRPr="00AE1B1D">
        <w:rPr>
          <w:snapToGrid w:val="0"/>
        </w:rPr>
        <w:t>-</w:t>
      </w:r>
      <w:r w:rsidRPr="00AE1B1D">
        <w:rPr>
          <w:snapToGrid w:val="0"/>
        </w:rPr>
        <w:t xml:space="preserve">poly(ethylene glycol)-maleimide (mPEG-MAL) (Mn 5000, &gt; 90 % purity), thiol-poly(L-lactide) (PLA-SH) (Mn 5000, PDI &lt; 1.2); 4-Nitrophenyl phosphate </w:t>
      </w:r>
      <w:r w:rsidRPr="00AE1B1D">
        <w:rPr>
          <w:snapToGrid w:val="0"/>
        </w:rPr>
        <w:lastRenderedPageBreak/>
        <w:t>disodium salt hexahydrate (4NPhP), 4-Nitrophenol 10 mM (4NPh), phosphate buffered saline (PBS), formaldehyde, Coumarin-6, Naringin ( &gt; 95 % purity), β-</w:t>
      </w:r>
      <w:proofErr w:type="spellStart"/>
      <w:r w:rsidRPr="00AE1B1D">
        <w:rPr>
          <w:snapToGrid w:val="0"/>
        </w:rPr>
        <w:t>glycerophosphate</w:t>
      </w:r>
      <w:proofErr w:type="spellEnd"/>
      <w:r w:rsidRPr="00AE1B1D">
        <w:rPr>
          <w:snapToGrid w:val="0"/>
        </w:rPr>
        <w:t xml:space="preserve"> disodium salt hydrate, Alizarin Red S, Triton X-100 and </w:t>
      </w:r>
      <w:proofErr w:type="spellStart"/>
      <w:r w:rsidRPr="00AE1B1D">
        <w:rPr>
          <w:snapToGrid w:val="0"/>
        </w:rPr>
        <w:t>Amicon</w:t>
      </w:r>
      <w:proofErr w:type="spellEnd"/>
      <w:r w:rsidRPr="00AE1B1D">
        <w:rPr>
          <w:snapToGrid w:val="0"/>
          <w:vertAlign w:val="superscript"/>
        </w:rPr>
        <w:t>®</w:t>
      </w:r>
      <w:r w:rsidRPr="00AE1B1D">
        <w:rPr>
          <w:snapToGrid w:val="0"/>
        </w:rPr>
        <w:t xml:space="preserve"> Ultra-4 mL (3000 MWCO) were all purchased from </w:t>
      </w:r>
      <w:proofErr w:type="spellStart"/>
      <w:r w:rsidRPr="00AE1B1D">
        <w:rPr>
          <w:snapToGrid w:val="0"/>
        </w:rPr>
        <w:t>Laborspirit</w:t>
      </w:r>
      <w:proofErr w:type="spellEnd"/>
      <w:r w:rsidRPr="00AE1B1D">
        <w:rPr>
          <w:snapToGrid w:val="0"/>
        </w:rPr>
        <w:t xml:space="preserve"> (Lisbon, Portugal). Spectra/Por 1 dialysis tubing (6000 - 8000 Da MWCO) and Float-A-</w:t>
      </w:r>
      <w:proofErr w:type="spellStart"/>
      <w:r w:rsidRPr="00AE1B1D">
        <w:rPr>
          <w:snapToGrid w:val="0"/>
        </w:rPr>
        <w:t>Lyzer</w:t>
      </w:r>
      <w:proofErr w:type="spellEnd"/>
      <w:r w:rsidRPr="00AE1B1D">
        <w:rPr>
          <w:snapToGrid w:val="0"/>
        </w:rPr>
        <w:t xml:space="preserve"> G2 (3500 - 5000 Da MWCO) dialysis cassettes were purchased from </w:t>
      </w:r>
      <w:proofErr w:type="spellStart"/>
      <w:r w:rsidRPr="00AE1B1D">
        <w:rPr>
          <w:snapToGrid w:val="0"/>
        </w:rPr>
        <w:t>Reagente</w:t>
      </w:r>
      <w:proofErr w:type="spellEnd"/>
      <w:r w:rsidRPr="00AE1B1D">
        <w:rPr>
          <w:snapToGrid w:val="0"/>
        </w:rPr>
        <w:t xml:space="preserve"> 5 (Oporto, Portugal). </w:t>
      </w:r>
      <w:r w:rsidR="00F572AD" w:rsidRPr="00AE1B1D">
        <w:rPr>
          <w:snapToGrid w:val="0"/>
        </w:rPr>
        <w:t>H</w:t>
      </w:r>
      <w:r w:rsidRPr="00AE1B1D">
        <w:rPr>
          <w:snapToGrid w:val="0"/>
        </w:rPr>
        <w:t>uman adipose-derived mesenchymal stem cells (</w:t>
      </w:r>
      <w:proofErr w:type="spellStart"/>
      <w:r w:rsidRPr="00AE1B1D">
        <w:rPr>
          <w:snapToGrid w:val="0"/>
        </w:rPr>
        <w:t>hASCs</w:t>
      </w:r>
      <w:proofErr w:type="spellEnd"/>
      <w:r w:rsidRPr="00AE1B1D">
        <w:rPr>
          <w:snapToGrid w:val="0"/>
        </w:rPr>
        <w:t xml:space="preserve">, </w:t>
      </w:r>
      <w:r w:rsidRPr="00AE1B1D">
        <w:rPr>
          <w:i/>
          <w:snapToGrid w:val="0"/>
        </w:rPr>
        <w:t>Homo Sapiens</w:t>
      </w:r>
      <w:r w:rsidRPr="00AE1B1D">
        <w:rPr>
          <w:snapToGrid w:val="0"/>
        </w:rPr>
        <w:t>, ATCC</w:t>
      </w:r>
      <w:r w:rsidRPr="00AE1B1D">
        <w:rPr>
          <w:snapToGrid w:val="0"/>
          <w:vertAlign w:val="superscript"/>
        </w:rPr>
        <w:t>®</w:t>
      </w:r>
      <w:r w:rsidRPr="00AE1B1D">
        <w:rPr>
          <w:snapToGrid w:val="0"/>
        </w:rPr>
        <w:t xml:space="preserve"> PCS-500-011™) were purchased from LGC Standards S.L.U. (Barcelona, Spain). Minimum Essential Medium </w:t>
      </w:r>
      <w:r w:rsidR="00F572AD" w:rsidRPr="00AE1B1D">
        <w:rPr>
          <w:rFonts w:ascii="Symbol" w:hAnsi="Symbol"/>
          <w:snapToGrid w:val="0"/>
        </w:rPr>
        <w:t></w:t>
      </w:r>
      <w:r w:rsidRPr="00AE1B1D">
        <w:rPr>
          <w:snapToGrid w:val="0"/>
        </w:rPr>
        <w:t>-modification (</w:t>
      </w:r>
      <w:r w:rsidR="00F572AD" w:rsidRPr="00AE1B1D">
        <w:rPr>
          <w:rFonts w:ascii="Symbol" w:hAnsi="Symbol"/>
          <w:snapToGrid w:val="0"/>
        </w:rPr>
        <w:t></w:t>
      </w:r>
      <w:r w:rsidRPr="00AE1B1D">
        <w:rPr>
          <w:snapToGrid w:val="0"/>
        </w:rPr>
        <w:t xml:space="preserve">-MEM), fetal bovine serum (FBS, E.U. approved, South American origin), antibiotic, </w:t>
      </w:r>
      <w:proofErr w:type="spellStart"/>
      <w:r w:rsidRPr="00AE1B1D">
        <w:rPr>
          <w:snapToGrid w:val="0"/>
        </w:rPr>
        <w:t>TrypLE</w:t>
      </w:r>
      <w:proofErr w:type="spellEnd"/>
      <w:r w:rsidRPr="00AE1B1D">
        <w:rPr>
          <w:snapToGrid w:val="0"/>
        </w:rPr>
        <w:t>™ Xpress Enzyme with phenol red (1X), Quant-</w:t>
      </w:r>
      <w:proofErr w:type="spellStart"/>
      <w:r w:rsidRPr="00AE1B1D">
        <w:rPr>
          <w:snapToGrid w:val="0"/>
        </w:rPr>
        <w:t>iT</w:t>
      </w:r>
      <w:proofErr w:type="spellEnd"/>
      <w:r w:rsidRPr="00AE1B1D">
        <w:rPr>
          <w:snapToGrid w:val="0"/>
        </w:rPr>
        <w:t xml:space="preserve">™ </w:t>
      </w:r>
      <w:proofErr w:type="spellStart"/>
      <w:r w:rsidRPr="00AE1B1D">
        <w:rPr>
          <w:snapToGrid w:val="0"/>
        </w:rPr>
        <w:t>PicoGreen</w:t>
      </w:r>
      <w:proofErr w:type="spellEnd"/>
      <w:r w:rsidRPr="00AE1B1D">
        <w:rPr>
          <w:snapToGrid w:val="0"/>
          <w:vertAlign w:val="superscript"/>
        </w:rPr>
        <w:t>®</w:t>
      </w:r>
      <w:r w:rsidRPr="00AE1B1D">
        <w:rPr>
          <w:snapToGrid w:val="0"/>
        </w:rPr>
        <w:t xml:space="preserve"> dsDNA Assay Kit, </w:t>
      </w:r>
      <w:proofErr w:type="spellStart"/>
      <w:r w:rsidRPr="00AE1B1D">
        <w:rPr>
          <w:snapToGrid w:val="0"/>
        </w:rPr>
        <w:t>AlamarBlue</w:t>
      </w:r>
      <w:proofErr w:type="spellEnd"/>
      <w:r w:rsidRPr="00AE1B1D">
        <w:rPr>
          <w:snapToGrid w:val="0"/>
        </w:rPr>
        <w:t xml:space="preserve">™, </w:t>
      </w:r>
      <w:r w:rsidRPr="00AE1B1D">
        <w:rPr>
          <w:lang w:eastAsia="en-US"/>
        </w:rPr>
        <w:t>1-Step™ NBT/BCIP Substrate Solution,</w:t>
      </w:r>
      <w:r w:rsidRPr="00AE1B1D">
        <w:rPr>
          <w:snapToGrid w:val="0"/>
        </w:rPr>
        <w:t xml:space="preserve"> and Wheat Germ Agglutinin (WGA) Alexa Fluor</w:t>
      </w:r>
      <w:r w:rsidRPr="00AE1B1D">
        <w:rPr>
          <w:snapToGrid w:val="0"/>
          <w:vertAlign w:val="superscript"/>
        </w:rPr>
        <w:t>®</w:t>
      </w:r>
      <w:r w:rsidRPr="00AE1B1D">
        <w:rPr>
          <w:snapToGrid w:val="0"/>
        </w:rPr>
        <w:t xml:space="preserve"> 594 conjugate dye and DAPI were purchased from </w:t>
      </w:r>
      <w:proofErr w:type="spellStart"/>
      <w:r w:rsidRPr="00AE1B1D">
        <w:rPr>
          <w:snapToGrid w:val="0"/>
        </w:rPr>
        <w:t>Alfagene</w:t>
      </w:r>
      <w:proofErr w:type="spellEnd"/>
      <w:r w:rsidRPr="00AE1B1D">
        <w:rPr>
          <w:snapToGrid w:val="0"/>
        </w:rPr>
        <w:t xml:space="preserve"> (Lisbon, Portugal). Dexamethasone (</w:t>
      </w:r>
      <w:proofErr w:type="spellStart"/>
      <w:r w:rsidRPr="00AE1B1D">
        <w:rPr>
          <w:snapToGrid w:val="0"/>
        </w:rPr>
        <w:t>Dex</w:t>
      </w:r>
      <w:proofErr w:type="spellEnd"/>
      <w:r w:rsidRPr="00AE1B1D">
        <w:rPr>
          <w:snapToGrid w:val="0"/>
        </w:rPr>
        <w:t>, 96% purity) and Dulbecco’s PBS were purchased from Thermo Fisher Scientific (</w:t>
      </w:r>
      <w:proofErr w:type="spellStart"/>
      <w:r w:rsidRPr="00AE1B1D">
        <w:rPr>
          <w:snapToGrid w:val="0"/>
        </w:rPr>
        <w:t>Oeiras</w:t>
      </w:r>
      <w:proofErr w:type="spellEnd"/>
      <w:r w:rsidRPr="00AE1B1D">
        <w:rPr>
          <w:snapToGrid w:val="0"/>
        </w:rPr>
        <w:t>, Portugal). L-ascorbic acid 2-phosphate magnesium salt was purchased from VWR (Lisbon, Portugal).</w:t>
      </w:r>
    </w:p>
    <w:p w14:paraId="3B79B4B9" w14:textId="77777777" w:rsidR="003C0D59" w:rsidRPr="00AE1B1D" w:rsidRDefault="003C0D59" w:rsidP="00B26863">
      <w:pPr>
        <w:spacing w:after="240" w:line="480" w:lineRule="auto"/>
        <w:ind w:firstLine="284"/>
        <w:jc w:val="both"/>
        <w:rPr>
          <w:i/>
          <w:sz w:val="20"/>
          <w:szCs w:val="20"/>
          <w:lang w:eastAsia="en-US"/>
        </w:rPr>
      </w:pPr>
      <w:r w:rsidRPr="00AE1B1D">
        <w:rPr>
          <w:i/>
          <w:lang w:eastAsia="en-US"/>
        </w:rPr>
        <w:t>Synthesis of mPEG-MS-PLA Copolymer</w:t>
      </w:r>
      <w:r w:rsidRPr="00AE1B1D">
        <w:rPr>
          <w:lang w:eastAsia="en-US"/>
        </w:rPr>
        <w:t>: mPEG-MS-PLA copolymer was synthesized via a Michael-type addition reaction between mPEG-MAL and PLA-SH</w:t>
      </w:r>
      <w:r w:rsidR="00F7689B" w:rsidRPr="00AE1B1D">
        <w:rPr>
          <w:lang w:eastAsia="en-US"/>
        </w:rPr>
        <w:t xml:space="preserve"> (</w:t>
      </w:r>
      <w:r w:rsidRPr="00AE1B1D">
        <w:rPr>
          <w:lang w:eastAsia="en-US"/>
        </w:rPr>
        <w:t xml:space="preserve">Figure </w:t>
      </w:r>
      <w:r w:rsidR="0044316B" w:rsidRPr="00AE1B1D">
        <w:rPr>
          <w:lang w:eastAsia="en-US"/>
        </w:rPr>
        <w:t>S1</w:t>
      </w:r>
      <w:r w:rsidRPr="00AE1B1D">
        <w:rPr>
          <w:lang w:eastAsia="en-US"/>
        </w:rPr>
        <w:t>).</w:t>
      </w:r>
      <w:r w:rsidR="00025D04" w:rsidRPr="00AE1B1D">
        <w:rPr>
          <w:noProof/>
          <w:vertAlign w:val="superscript"/>
          <w:lang w:eastAsia="en-US"/>
        </w:rPr>
        <w:t>[52</w:t>
      </w:r>
      <w:r w:rsidR="002223B0" w:rsidRPr="00AE1B1D">
        <w:rPr>
          <w:noProof/>
          <w:vertAlign w:val="superscript"/>
          <w:lang w:eastAsia="en-US"/>
        </w:rPr>
        <w:t>]</w:t>
      </w:r>
      <w:r w:rsidRPr="00AE1B1D">
        <w:rPr>
          <w:lang w:eastAsia="en-US"/>
        </w:rPr>
        <w:t xml:space="preserve"> Briefly, mPEG-MAL (1.5 mPEG/PLA molar ratio, 0.04 mmol) and PLA-SH (0.0267 mmol) were dissolved in a mixture of acetone (v/v = 0.43) and sodium phosphate buffer (pH = 7.2, 100 mM, v/v = 0.57) containing EDTA (5 mM) and mixed under inert conditions (N</w:t>
      </w:r>
      <w:r w:rsidRPr="00AE1B1D">
        <w:rPr>
          <w:vertAlign w:val="subscript"/>
          <w:lang w:eastAsia="en-US"/>
        </w:rPr>
        <w:t>2</w:t>
      </w:r>
      <w:r w:rsidRPr="00AE1B1D">
        <w:rPr>
          <w:lang w:eastAsia="en-US"/>
        </w:rPr>
        <w:t xml:space="preserve">) for 2 days at RT. Afterwards, </w:t>
      </w:r>
      <w:r w:rsidRPr="00AE1B1D">
        <w:rPr>
          <w:snapToGrid w:val="0"/>
        </w:rPr>
        <w:t>the resulting crude mixture was completely dried in a rotary evaporator (Buchi, Rotavapor® R-300), dissolved in dichloromethane and then precipitated in cold diethyl ether. The recovered precipitate was then dialyzed (6000 - 8000 Da MWCO) against deionized water for 72 h, before being frozen at -80 ºC and freeze-dried for storage.</w:t>
      </w:r>
    </w:p>
    <w:p w14:paraId="4716EB5B" w14:textId="77777777" w:rsidR="00F20E64" w:rsidRPr="00AE1B1D" w:rsidRDefault="00F20E64" w:rsidP="00F20E64">
      <w:pPr>
        <w:spacing w:after="240" w:line="480" w:lineRule="auto"/>
        <w:ind w:firstLine="284"/>
        <w:jc w:val="both"/>
        <w:rPr>
          <w:lang w:eastAsia="en-US"/>
        </w:rPr>
      </w:pPr>
      <w:r w:rsidRPr="00AE1B1D">
        <w:rPr>
          <w:i/>
        </w:rPr>
        <w:lastRenderedPageBreak/>
        <w:t>Spectroscopy Characterization of mPEG-MS-PLA Copolymer</w:t>
      </w:r>
      <w:r w:rsidRPr="00AE1B1D">
        <w:t xml:space="preserve">: </w:t>
      </w:r>
      <w:r w:rsidRPr="00AE1B1D">
        <w:rPr>
          <w:lang w:eastAsia="en-US"/>
        </w:rPr>
        <w:t>The successful synthesis of mPEG-MS-PLA was characterized by different spectroscopy techniques. Proton nuclear magnetic resonance (</w:t>
      </w:r>
      <w:r w:rsidRPr="00AE1B1D">
        <w:rPr>
          <w:vertAlign w:val="superscript"/>
          <w:lang w:eastAsia="en-US"/>
        </w:rPr>
        <w:t>1</w:t>
      </w:r>
      <w:r w:rsidRPr="00AE1B1D">
        <w:rPr>
          <w:lang w:eastAsia="en-US"/>
        </w:rPr>
        <w:t>H NMR) spectra were recorded on a Bruker Advance III 400 MHz spectrometer. Prior to spectra acquisition, samples were dissolved in CDCl</w:t>
      </w:r>
      <w:r w:rsidRPr="00AE1B1D">
        <w:rPr>
          <w:vertAlign w:val="subscript"/>
          <w:lang w:eastAsia="en-US"/>
        </w:rPr>
        <w:t>3</w:t>
      </w:r>
      <w:r w:rsidRPr="00AE1B1D">
        <w:rPr>
          <w:lang w:eastAsia="en-US"/>
        </w:rPr>
        <w:t xml:space="preserve"> and transferred to 300 MHz NMR glass tubes (Sigma-Aldrich, Sintra, Portugal). NMR spectra were acquired with 18 s relaxation delay, 256 scans and 32 dummy scans. Data processing was performed in the MestReNova v6.0.2 software, and spectra were normalized according to the established CDCl</w:t>
      </w:r>
      <w:r w:rsidRPr="00AE1B1D">
        <w:rPr>
          <w:vertAlign w:val="subscript"/>
          <w:lang w:eastAsia="en-US"/>
        </w:rPr>
        <w:t>3</w:t>
      </w:r>
      <w:r w:rsidRPr="00AE1B1D">
        <w:rPr>
          <w:lang w:eastAsia="en-US"/>
        </w:rPr>
        <w:t xml:space="preserve"> solvent peak at 7.26 ppm. Fourier Transformed Infrared spectra were collected on dried powder samples with attenuated total reflectance (ATR-FTIR) by using a Bruker Tensor 27 spectrometer. The spectra of all samples were recorded at a 4 cm</w:t>
      </w:r>
      <w:r w:rsidRPr="00AE1B1D">
        <w:rPr>
          <w:vertAlign w:val="superscript"/>
          <w:lang w:eastAsia="en-US"/>
        </w:rPr>
        <w:t>-1</w:t>
      </w:r>
      <w:r w:rsidRPr="00AE1B1D">
        <w:rPr>
          <w:lang w:eastAsia="en-US"/>
        </w:rPr>
        <w:t xml:space="preserve"> resolution with a total of 256 scans in the spectral width of 4000 to 350 cm</w:t>
      </w:r>
      <w:r w:rsidRPr="00AE1B1D">
        <w:rPr>
          <w:vertAlign w:val="superscript"/>
          <w:lang w:eastAsia="en-US"/>
        </w:rPr>
        <w:t>-1</w:t>
      </w:r>
      <w:r w:rsidRPr="00AE1B1D">
        <w:rPr>
          <w:lang w:eastAsia="en-US"/>
        </w:rPr>
        <w:t>. Spectral data was processed in OPUS software.</w:t>
      </w:r>
    </w:p>
    <w:p w14:paraId="554FED34" w14:textId="77777777" w:rsidR="00F20E64" w:rsidRPr="00AE1B1D" w:rsidRDefault="00F20E64" w:rsidP="00F20E64">
      <w:pPr>
        <w:spacing w:after="240" w:line="480" w:lineRule="auto"/>
        <w:ind w:firstLine="284"/>
        <w:jc w:val="both"/>
        <w:rPr>
          <w:lang w:eastAsia="en-US"/>
        </w:rPr>
      </w:pPr>
      <w:r w:rsidRPr="00AE1B1D">
        <w:rPr>
          <w:i/>
          <w:lang w:eastAsia="en-US"/>
        </w:rPr>
        <w:t>Preparation of mPEG-MS-PLA Nanomicelles:</w:t>
      </w:r>
      <w:r w:rsidRPr="00AE1B1D">
        <w:rPr>
          <w:b/>
          <w:lang w:eastAsia="en-US"/>
        </w:rPr>
        <w:t xml:space="preserve"> </w:t>
      </w:r>
      <w:r w:rsidRPr="00AE1B1D">
        <w:rPr>
          <w:lang w:eastAsia="en-US"/>
        </w:rPr>
        <w:t>Self-assembly of Naringin-loaded or blank mPEG-MS-PLA nanomicelles was performed by nanoprecipitation. First, the copolymer (5 mg) was dissolved in 1 mL of freshly prepared acetone solution containing Naringin (10 % w/w of copolymer) under ultrasound sonication for 5 min. Then, the solution was added dropwise into a 10 mL round-bottom flask containing 5 mL deionized water and stirred for 90 min at 400 rpm, RT. Afterwards, acetone was evaporated under a rotary evaporator during 8 min (37 ºC, 50 mbar). The resultant solution was dialyzed (3500 -5000 Da MWCO) against deionized water for 1 h to remove free Naringin. Blank micelles were prepared following the a</w:t>
      </w:r>
      <w:r w:rsidR="00657FC7" w:rsidRPr="00AE1B1D">
        <w:rPr>
          <w:lang w:eastAsia="en-US"/>
        </w:rPr>
        <w:t>bo</w:t>
      </w:r>
      <w:r w:rsidRPr="00AE1B1D">
        <w:rPr>
          <w:lang w:eastAsia="en-US"/>
        </w:rPr>
        <w:t>ve-mentioned procedure without dialysis.</w:t>
      </w:r>
    </w:p>
    <w:p w14:paraId="764BDA59" w14:textId="77777777" w:rsidR="00F20E64" w:rsidRPr="00AE1B1D" w:rsidRDefault="00F20E64" w:rsidP="00FC5F49">
      <w:pPr>
        <w:spacing w:after="240" w:line="480" w:lineRule="auto"/>
        <w:ind w:firstLine="284"/>
        <w:jc w:val="both"/>
        <w:rPr>
          <w:lang w:eastAsia="en-US"/>
        </w:rPr>
      </w:pPr>
      <w:r w:rsidRPr="00AE1B1D">
        <w:rPr>
          <w:i/>
          <w:lang w:eastAsia="en-US"/>
        </w:rPr>
        <w:t>Physicochemical Characterization of Nanomicelles:</w:t>
      </w:r>
      <w:r w:rsidR="00FC5F49" w:rsidRPr="00AE1B1D">
        <w:rPr>
          <w:lang w:eastAsia="en-US"/>
        </w:rPr>
        <w:t xml:space="preserve"> </w:t>
      </w:r>
      <w:r w:rsidRPr="00AE1B1D">
        <w:rPr>
          <w:lang w:eastAsia="en-US"/>
        </w:rPr>
        <w:t>The average hydrodynamic particle radius (H</w:t>
      </w:r>
      <w:r w:rsidRPr="00AE1B1D">
        <w:rPr>
          <w:vertAlign w:val="subscript"/>
          <w:lang w:eastAsia="en-US"/>
        </w:rPr>
        <w:t>r</w:t>
      </w:r>
      <w:r w:rsidRPr="00AE1B1D">
        <w:rPr>
          <w:lang w:eastAsia="en-US"/>
        </w:rPr>
        <w:t xml:space="preserve">), size distribution (PDI) and </w:t>
      </w:r>
      <w:r w:rsidRPr="00AE1B1D">
        <w:rPr>
          <w:rFonts w:ascii="Symbol" w:hAnsi="Symbol"/>
          <w:color w:val="000000"/>
          <w:shd w:val="clear" w:color="auto" w:fill="FFFFFF"/>
          <w:lang w:val="pt-PT" w:eastAsia="en-US"/>
        </w:rPr>
        <w:t></w:t>
      </w:r>
      <w:r w:rsidRPr="00AE1B1D">
        <w:rPr>
          <w:lang w:eastAsia="en-US"/>
        </w:rPr>
        <w:t>-potential of the different micelles (1 mg mL</w:t>
      </w:r>
      <w:r w:rsidRPr="00AE1B1D">
        <w:rPr>
          <w:vertAlign w:val="superscript"/>
          <w:lang w:eastAsia="en-US"/>
        </w:rPr>
        <w:t>-1</w:t>
      </w:r>
      <w:r w:rsidRPr="00AE1B1D">
        <w:rPr>
          <w:lang w:eastAsia="en-US"/>
        </w:rPr>
        <w:t xml:space="preserve">) were characterized by dynamic light scattering (DLS) with a Zetasizer Nano ZS equipment (Malvern Instruments Ltd., Malvern, UK). All measurements were carried out in triplicate at 25 ºC and with a 173º backscatter angle. Nanomicelles morphology was observed by scanning </w:t>
      </w:r>
      <w:r w:rsidRPr="00AE1B1D">
        <w:rPr>
          <w:lang w:eastAsia="en-US"/>
        </w:rPr>
        <w:lastRenderedPageBreak/>
        <w:t xml:space="preserve">transmission electron microscopy (STEM). Samples were prepared by drop-wise addition of 10 </w:t>
      </w:r>
      <w:r w:rsidR="00FE6F1E" w:rsidRPr="00AE1B1D">
        <w:rPr>
          <w:rFonts w:ascii="Symbol" w:hAnsi="Symbol"/>
          <w:lang w:eastAsia="en-US"/>
        </w:rPr>
        <w:t></w:t>
      </w:r>
      <w:r w:rsidRPr="00AE1B1D">
        <w:rPr>
          <w:lang w:eastAsia="en-US"/>
        </w:rPr>
        <w:t>L of freshly prepared micelles (0.2 mg mL</w:t>
      </w:r>
      <w:r w:rsidRPr="00AE1B1D">
        <w:rPr>
          <w:vertAlign w:val="superscript"/>
          <w:lang w:eastAsia="en-US"/>
        </w:rPr>
        <w:t>-1</w:t>
      </w:r>
      <w:r w:rsidRPr="00AE1B1D">
        <w:rPr>
          <w:lang w:eastAsia="en-US"/>
        </w:rPr>
        <w:t>) on a carbon-film copper grid and left to dry overnight, at RT. STEM micrographs were acquired in a Hitachi SU-70 STEM microscope, operated at an accelerating voltage of 20.0 kV.</w:t>
      </w:r>
    </w:p>
    <w:p w14:paraId="57048F34" w14:textId="77777777" w:rsidR="00FC5F49" w:rsidRPr="00AE1B1D" w:rsidRDefault="00FC5F49" w:rsidP="00FC5F49">
      <w:pPr>
        <w:spacing w:after="240" w:line="480" w:lineRule="auto"/>
        <w:ind w:firstLine="284"/>
        <w:jc w:val="both"/>
        <w:rPr>
          <w:lang w:eastAsia="en-US"/>
        </w:rPr>
      </w:pPr>
      <w:r w:rsidRPr="00AE1B1D">
        <w:rPr>
          <w:i/>
          <w:lang w:eastAsia="en-US"/>
        </w:rPr>
        <w:t>Evaluation of Nanomicelles Colloidal Stability:</w:t>
      </w:r>
      <w:r w:rsidRPr="00AE1B1D">
        <w:rPr>
          <w:lang w:eastAsia="en-US"/>
        </w:rPr>
        <w:t xml:space="preserve"> Nanomicelles colloidal stability was investigated by monitoring changes in size, PDI and </w:t>
      </w:r>
      <w:r w:rsidRPr="00AE1B1D">
        <w:rPr>
          <w:rFonts w:ascii="Symbol" w:hAnsi="Symbol"/>
          <w:color w:val="000000"/>
          <w:shd w:val="clear" w:color="auto" w:fill="FFFFFF"/>
          <w:lang w:val="pt-PT" w:eastAsia="en-US"/>
        </w:rPr>
        <w:t></w:t>
      </w:r>
      <w:r w:rsidRPr="00AE1B1D">
        <w:rPr>
          <w:lang w:eastAsia="en-US"/>
        </w:rPr>
        <w:t>-potential along time upon storage in solution. For stability studies Naringin-loaded nanocarrier formulations (</w:t>
      </w:r>
      <w:r w:rsidRPr="00AE1B1D">
        <w:rPr>
          <w:i/>
          <w:lang w:eastAsia="en-US"/>
        </w:rPr>
        <w:t>n</w:t>
      </w:r>
      <w:r w:rsidRPr="00AE1B1D">
        <w:rPr>
          <w:lang w:eastAsia="en-US"/>
        </w:rPr>
        <w:t>=3), were prepared by nanoprecipitation and maintained in deionized water or PBS (pH = 7.4) at 4 ºC. Nanomicelles and their physicochemical properties were then analyzed by DLS at different time intervals: 0, 1, 7 and 14 days.</w:t>
      </w:r>
    </w:p>
    <w:p w14:paraId="64F695EE" w14:textId="77777777" w:rsidR="00FC5F49" w:rsidRPr="00AE1B1D" w:rsidRDefault="00FC5F49" w:rsidP="00FC5F49">
      <w:pPr>
        <w:spacing w:after="240" w:line="480" w:lineRule="auto"/>
        <w:ind w:firstLine="284"/>
        <w:jc w:val="both"/>
        <w:rPr>
          <w:lang w:eastAsia="en-US"/>
        </w:rPr>
      </w:pPr>
      <w:r w:rsidRPr="00AE1B1D">
        <w:rPr>
          <w:i/>
          <w:lang w:eastAsia="en-US"/>
        </w:rPr>
        <w:t>Drug Loading:</w:t>
      </w:r>
      <w:r w:rsidRPr="00AE1B1D">
        <w:rPr>
          <w:lang w:eastAsia="en-US"/>
        </w:rPr>
        <w:t xml:space="preserve"> Naringin encapsulation efficiency was determined by ultraviolet-visible (UV-VIS) absorbance of the flavanone peak of Naringin (λ= 282 nm) corresponding to the benzoyl moiety. This peak is followed by a another region of smaller intensity to higher wavelengths (300 – 400 nm), associated with the cinnamoyl moiety and is characteristic of flavanones such as Naringin (</w:t>
      </w:r>
      <w:r w:rsidRPr="00AE1B1D">
        <w:rPr>
          <w:b/>
          <w:lang w:eastAsia="en-US"/>
        </w:rPr>
        <w:t xml:space="preserve">Figure </w:t>
      </w:r>
      <w:r w:rsidR="000D7272" w:rsidRPr="00AE1B1D">
        <w:rPr>
          <w:b/>
          <w:lang w:eastAsia="en-US"/>
        </w:rPr>
        <w:t>S5</w:t>
      </w:r>
      <w:r w:rsidR="009840AF" w:rsidRPr="00AE1B1D">
        <w:rPr>
          <w:b/>
          <w:lang w:eastAsia="en-US"/>
        </w:rPr>
        <w:t>A</w:t>
      </w:r>
      <w:r w:rsidR="009840AF" w:rsidRPr="00AE1B1D">
        <w:rPr>
          <w:b/>
          <w:vertAlign w:val="subscript"/>
          <w:lang w:eastAsia="en-US"/>
        </w:rPr>
        <w:t>1</w:t>
      </w:r>
      <w:r w:rsidRPr="00AE1B1D">
        <w:rPr>
          <w:lang w:eastAsia="en-US"/>
        </w:rPr>
        <w:t>).</w:t>
      </w:r>
      <w:r w:rsidR="0060653E" w:rsidRPr="00AE1B1D">
        <w:rPr>
          <w:noProof/>
          <w:vertAlign w:val="superscript"/>
          <w:lang w:eastAsia="en-US"/>
        </w:rPr>
        <w:t>[5</w:t>
      </w:r>
      <w:r w:rsidR="00025D04" w:rsidRPr="00AE1B1D">
        <w:rPr>
          <w:noProof/>
          <w:vertAlign w:val="superscript"/>
          <w:lang w:eastAsia="en-US"/>
        </w:rPr>
        <w:t>3</w:t>
      </w:r>
      <w:r w:rsidR="0060653E" w:rsidRPr="00AE1B1D">
        <w:rPr>
          <w:noProof/>
          <w:vertAlign w:val="superscript"/>
          <w:lang w:eastAsia="en-US"/>
        </w:rPr>
        <w:t>]</w:t>
      </w:r>
      <w:r w:rsidRPr="00AE1B1D">
        <w:rPr>
          <w:lang w:eastAsia="en-US"/>
        </w:rPr>
        <w:t xml:space="preserve"> Briefly, after free drug removal, Naringin-loaded nanomicelles solution (0.2 mg mL</w:t>
      </w:r>
      <w:r w:rsidRPr="00AE1B1D">
        <w:rPr>
          <w:vertAlign w:val="superscript"/>
          <w:lang w:eastAsia="en-US"/>
        </w:rPr>
        <w:t>-1</w:t>
      </w:r>
      <w:r w:rsidRPr="00AE1B1D">
        <w:rPr>
          <w:lang w:eastAsia="en-US"/>
        </w:rPr>
        <w:t>) was analyzed by UV-VIS at 282 nm. Blank nanomicelles (0.2 mg mL</w:t>
      </w:r>
      <w:r w:rsidRPr="00AE1B1D">
        <w:rPr>
          <w:vertAlign w:val="superscript"/>
          <w:lang w:eastAsia="en-US"/>
        </w:rPr>
        <w:t>-1</w:t>
      </w:r>
      <w:r w:rsidRPr="00AE1B1D">
        <w:rPr>
          <w:lang w:eastAsia="en-US"/>
        </w:rPr>
        <w:t>) established the blank for UV-VIS quantification. The UV-VIS absorbance was measured in a microplate reader equipped with a tungsten halogen lamp (Synergy HTX Biotek, Izasa Scientific, Carnaxide, Portugal) by using a quartz microplate (Hella transparent 96-wellplate, VWR, Lisbon, Portugal). A standard calibration curve of Naringin in deionized water was used to determine the drug encapsulation efficacy (</w:t>
      </w:r>
      <w:r w:rsidRPr="00AE1B1D">
        <w:rPr>
          <w:b/>
          <w:lang w:eastAsia="en-US"/>
        </w:rPr>
        <w:t xml:space="preserve">Figure </w:t>
      </w:r>
      <w:r w:rsidR="009840AF" w:rsidRPr="00AE1B1D">
        <w:rPr>
          <w:b/>
          <w:lang w:eastAsia="en-US"/>
        </w:rPr>
        <w:t>S5</w:t>
      </w:r>
      <w:r w:rsidRPr="00AE1B1D">
        <w:rPr>
          <w:lang w:eastAsia="en-US"/>
        </w:rPr>
        <w:t xml:space="preserve">). Encapsulation efficiency was calculated using the </w:t>
      </w:r>
      <w:r w:rsidR="0077020D" w:rsidRPr="00AE1B1D">
        <w:rPr>
          <w:lang w:eastAsia="en-US"/>
        </w:rPr>
        <w:t>below</w:t>
      </w:r>
      <w:r w:rsidRPr="00AE1B1D">
        <w:rPr>
          <w:lang w:eastAsia="en-US"/>
        </w:rPr>
        <w:t xml:space="preserve"> </w:t>
      </w:r>
      <w:r w:rsidR="0077020D" w:rsidRPr="00AE1B1D">
        <w:rPr>
          <w:lang w:eastAsia="en-US"/>
        </w:rPr>
        <w:t>formula</w:t>
      </w:r>
      <w:r w:rsidRPr="00AE1B1D">
        <w:rPr>
          <w:lang w:eastAsia="en-US"/>
        </w:rPr>
        <w:t xml:space="preserve">: </w:t>
      </w:r>
    </w:p>
    <w:p w14:paraId="62E2B5B5" w14:textId="77777777" w:rsidR="00FC5F49" w:rsidRPr="00AE1B1D" w:rsidRDefault="00FC5F49" w:rsidP="00FC5F49">
      <w:pPr>
        <w:spacing w:line="480" w:lineRule="auto"/>
        <w:ind w:firstLine="284"/>
        <w:contextualSpacing/>
        <w:jc w:val="both"/>
        <w:rPr>
          <w:lang w:eastAsia="en-US"/>
        </w:rPr>
      </w:pPr>
      <w:r w:rsidRPr="00AE1B1D">
        <w:rPr>
          <w:lang w:eastAsia="en-US"/>
        </w:rPr>
        <w:t>Encapsulation Efficiency (%):</w:t>
      </w:r>
    </w:p>
    <w:p w14:paraId="2E61D053" w14:textId="4746964A" w:rsidR="00FC5F49" w:rsidRPr="00AE1B1D" w:rsidRDefault="009A4872" w:rsidP="00FC5F49">
      <w:pPr>
        <w:spacing w:after="240" w:line="480" w:lineRule="auto"/>
        <w:ind w:firstLine="284"/>
        <w:jc w:val="center"/>
        <w:rPr>
          <w:lang w:eastAsia="en-US"/>
        </w:rPr>
      </w:pPr>
      <m:oMathPara>
        <m:oMath>
          <m:r>
            <w:rPr>
              <w:rFonts w:ascii="Cambria Math" w:hAnsi="Cambria Math"/>
              <w:lang w:eastAsia="en-US"/>
            </w:rPr>
            <m:t>=</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Amount of Naringin within the micelles)</m:t>
                  </m:r>
                </m:num>
                <m:den>
                  <m:r>
                    <w:rPr>
                      <w:rFonts w:ascii="Cambria Math" w:hAnsi="Cambria Math"/>
                      <w:lang w:eastAsia="en-US"/>
                    </w:rPr>
                    <m:t>Theoretical amount of Naringin added</m:t>
                  </m:r>
                </m:den>
              </m:f>
            </m:e>
          </m:d>
          <m:r>
            <w:rPr>
              <w:rFonts w:ascii="Cambria Math" w:hAnsi="Cambria Math"/>
              <w:lang w:eastAsia="en-US"/>
            </w:rPr>
            <m:t xml:space="preserve"> × 100</m:t>
          </m:r>
        </m:oMath>
      </m:oMathPara>
    </w:p>
    <w:p w14:paraId="7981C562" w14:textId="77777777" w:rsidR="00FC5F49" w:rsidRPr="00AE1B1D" w:rsidRDefault="00FC5F49" w:rsidP="00FC5F49">
      <w:pPr>
        <w:spacing w:after="240" w:line="480" w:lineRule="auto"/>
        <w:ind w:firstLine="284"/>
        <w:jc w:val="both"/>
        <w:rPr>
          <w:lang w:eastAsia="en-US"/>
        </w:rPr>
      </w:pPr>
      <w:r w:rsidRPr="00AE1B1D">
        <w:rPr>
          <w:i/>
          <w:lang w:eastAsia="en-US"/>
        </w:rPr>
        <w:lastRenderedPageBreak/>
        <w:t>In vitro Drug Release Profile</w:t>
      </w:r>
      <w:r w:rsidRPr="00AE1B1D">
        <w:rPr>
          <w:lang w:eastAsia="en-US"/>
        </w:rPr>
        <w:t xml:space="preserve">: The </w:t>
      </w:r>
      <w:r w:rsidRPr="00AE1B1D">
        <w:rPr>
          <w:i/>
          <w:lang w:eastAsia="en-US"/>
        </w:rPr>
        <w:t>in vitro</w:t>
      </w:r>
      <w:r w:rsidRPr="00AE1B1D">
        <w:rPr>
          <w:lang w:eastAsia="en-US"/>
        </w:rPr>
        <w:t xml:space="preserve"> Naringin release profile was investigated in PBS at various pH conditions to mimic different physiological scenarios: pH 7.4 (physiological pH) and pH 5.5 (endo-lysosomal pH). Briefly, 2 mL of freshly prepared Naringin-loaded micelles (1 mg mL</w:t>
      </w:r>
      <w:r w:rsidRPr="00AE1B1D">
        <w:rPr>
          <w:vertAlign w:val="superscript"/>
          <w:lang w:eastAsia="en-US"/>
        </w:rPr>
        <w:t>-1</w:t>
      </w:r>
      <w:r w:rsidRPr="00AE1B1D">
        <w:rPr>
          <w:lang w:eastAsia="en-US"/>
        </w:rPr>
        <w:t xml:space="preserve">) were transferred to a dialysis tubing (3500 - 5000 Da MWCO) and submerged in 15 mL of PBS at 37 ºC at a constant stirring rate (600 rpm). At defined time intervals, 1 mL samples were withdrawn from the dialysate and replaced with the same volume of fresh PBS. Samples were withdrawn at different time points until the plateau phase was achieved. For this study, the standard calibration curve of the drug in water was used (Figure </w:t>
      </w:r>
      <w:r w:rsidR="00054D80" w:rsidRPr="00AE1B1D">
        <w:rPr>
          <w:lang w:eastAsia="en-US"/>
        </w:rPr>
        <w:t>S5</w:t>
      </w:r>
      <w:r w:rsidRPr="00AE1B1D">
        <w:rPr>
          <w:lang w:eastAsia="en-US"/>
        </w:rPr>
        <w:t>).</w:t>
      </w:r>
    </w:p>
    <w:p w14:paraId="027E3A84" w14:textId="3F7559A1" w:rsidR="00FC5F49" w:rsidRPr="00AE1B1D" w:rsidRDefault="00FC5F49" w:rsidP="00FC5F49">
      <w:pPr>
        <w:spacing w:after="240" w:line="480" w:lineRule="auto"/>
        <w:ind w:firstLine="284"/>
        <w:jc w:val="both"/>
        <w:rPr>
          <w:lang w:eastAsia="en-US"/>
        </w:rPr>
      </w:pPr>
      <w:r w:rsidRPr="00AE1B1D">
        <w:rPr>
          <w:i/>
          <w:lang w:eastAsia="en-US"/>
        </w:rPr>
        <w:t>Cell Culture:</w:t>
      </w:r>
      <w:r w:rsidRPr="00AE1B1D">
        <w:rPr>
          <w:lang w:eastAsia="en-US"/>
        </w:rPr>
        <w:t xml:space="preserve"> Cells were manipulated within a Class II biological safety cabinet and maintained as per established guidelines in a humidified 5 % CO</w:t>
      </w:r>
      <w:r w:rsidRPr="00AE1B1D">
        <w:rPr>
          <w:vertAlign w:val="subscript"/>
          <w:lang w:eastAsia="en-US"/>
        </w:rPr>
        <w:t>2</w:t>
      </w:r>
      <w:r w:rsidRPr="00AE1B1D">
        <w:rPr>
          <w:lang w:eastAsia="en-US"/>
        </w:rPr>
        <w:t xml:space="preserve"> atmosphere incubator with 95 % O</w:t>
      </w:r>
      <w:r w:rsidRPr="00AE1B1D">
        <w:rPr>
          <w:vertAlign w:val="subscript"/>
          <w:lang w:eastAsia="en-US"/>
        </w:rPr>
        <w:t>2</w:t>
      </w:r>
      <w:r w:rsidRPr="00AE1B1D">
        <w:rPr>
          <w:lang w:eastAsia="en-US"/>
        </w:rPr>
        <w:t xml:space="preserve"> and at 37 ºC. </w:t>
      </w:r>
      <w:r w:rsidR="00025D04" w:rsidRPr="00AE1B1D">
        <w:rPr>
          <w:noProof/>
          <w:vertAlign w:val="superscript"/>
          <w:lang w:eastAsia="en-US"/>
        </w:rPr>
        <w:t>[54</w:t>
      </w:r>
      <w:r w:rsidR="0060653E" w:rsidRPr="00AE1B1D">
        <w:rPr>
          <w:noProof/>
          <w:vertAlign w:val="superscript"/>
          <w:lang w:eastAsia="en-US"/>
        </w:rPr>
        <w:t>]</w:t>
      </w:r>
      <w:r w:rsidRPr="00AE1B1D">
        <w:rPr>
          <w:lang w:eastAsia="en-US"/>
        </w:rPr>
        <w:t xml:space="preserve"> hASCs were routinely cultured in </w:t>
      </w:r>
      <w:r w:rsidR="00C155C3" w:rsidRPr="00AE1B1D">
        <w:rPr>
          <w:rFonts w:ascii="Symbol" w:hAnsi="Symbol"/>
          <w:lang w:eastAsia="en-US"/>
        </w:rPr>
        <w:t></w:t>
      </w:r>
      <w:r w:rsidRPr="00AE1B1D">
        <w:rPr>
          <w:lang w:eastAsia="en-US"/>
        </w:rPr>
        <w:t xml:space="preserve">-MEM supplemented with 10 % (v/v) heat-inactivated FBS and 1 % of </w:t>
      </w:r>
      <w:r w:rsidRPr="00AE1B1D">
        <w:rPr>
          <w:snapToGrid w:val="0"/>
        </w:rPr>
        <w:t xml:space="preserve">antibiotic mixture (basal growth medium, BM) and media was exchanged every 5 days. </w:t>
      </w:r>
      <w:r w:rsidRPr="00AE1B1D">
        <w:rPr>
          <w:lang w:eastAsia="en-US"/>
        </w:rPr>
        <w:t>Cells were subcultured before reaching confluence. All plastic adherent well plates were made of tissue culture treated polystyrene (Sarstedt, Sintra, Portugal).</w:t>
      </w:r>
      <w:r w:rsidR="002A0911" w:rsidRPr="00AE1B1D">
        <w:rPr>
          <w:lang w:eastAsia="en-US"/>
        </w:rPr>
        <w:t xml:space="preserve"> </w:t>
      </w:r>
      <w:r w:rsidRPr="00AE1B1D">
        <w:rPr>
          <w:lang w:eastAsia="en-US"/>
        </w:rPr>
        <w:t>For cellular experiments investigating osteogenic differentiation,</w:t>
      </w:r>
      <w:r w:rsidR="002223B0" w:rsidRPr="00AE1B1D">
        <w:rPr>
          <w:lang w:eastAsia="en-US"/>
        </w:rPr>
        <w:t xml:space="preserve"> ascorbic acid</w:t>
      </w:r>
      <w:r w:rsidRPr="00AE1B1D">
        <w:rPr>
          <w:lang w:eastAsia="en-US"/>
        </w:rPr>
        <w:t xml:space="preserve">, </w:t>
      </w:r>
      <w:r w:rsidR="00473BD0" w:rsidRPr="00AE1B1D">
        <w:rPr>
          <w:rFonts w:ascii="Calibri" w:hAnsi="Calibri" w:cs="Calibri"/>
          <w:snapToGrid w:val="0"/>
        </w:rPr>
        <w:t>β</w:t>
      </w:r>
      <w:r w:rsidRPr="00AE1B1D">
        <w:rPr>
          <w:snapToGrid w:val="0"/>
        </w:rPr>
        <w:t>-gly</w:t>
      </w:r>
      <w:r w:rsidR="002223B0" w:rsidRPr="00AE1B1D">
        <w:rPr>
          <w:snapToGrid w:val="0"/>
        </w:rPr>
        <w:t>cerophosphate</w:t>
      </w:r>
      <w:r w:rsidRPr="00AE1B1D">
        <w:rPr>
          <w:snapToGrid w:val="0"/>
        </w:rPr>
        <w:t xml:space="preserve"> and Dex stock solutions were prepared in dPBS and frozen at -20ºC. Different osteogenic media were prepared from such aliquots. Osteogenic supplements were added to BM in the following concentrations: (i) reduced osteogenic differentiation medium (rOS) - 50 </w:t>
      </w:r>
      <w:r w:rsidR="00FE6F1E" w:rsidRPr="00AE1B1D">
        <w:rPr>
          <w:rFonts w:ascii="Symbol" w:hAnsi="Symbol"/>
          <w:snapToGrid w:val="0"/>
        </w:rPr>
        <w:t></w:t>
      </w:r>
      <w:r w:rsidRPr="00AE1B1D">
        <w:rPr>
          <w:snapToGrid w:val="0"/>
        </w:rPr>
        <w:t>g</w:t>
      </w:r>
      <w:r w:rsidR="002A0911" w:rsidRPr="00AE1B1D">
        <w:rPr>
          <w:snapToGrid w:val="0"/>
        </w:rPr>
        <w:t xml:space="preserve"> </w:t>
      </w:r>
      <w:r w:rsidRPr="00AE1B1D">
        <w:rPr>
          <w:snapToGrid w:val="0"/>
        </w:rPr>
        <w:t>mL</w:t>
      </w:r>
      <w:r w:rsidR="002A0911" w:rsidRPr="00AE1B1D">
        <w:rPr>
          <w:snapToGrid w:val="0"/>
          <w:vertAlign w:val="superscript"/>
        </w:rPr>
        <w:t>-1</w:t>
      </w:r>
      <w:r w:rsidR="002A0911" w:rsidRPr="00AE1B1D">
        <w:rPr>
          <w:snapToGrid w:val="0"/>
        </w:rPr>
        <w:t xml:space="preserve"> </w:t>
      </w:r>
      <w:r w:rsidR="002223B0" w:rsidRPr="00AE1B1D">
        <w:rPr>
          <w:snapToGrid w:val="0"/>
        </w:rPr>
        <w:t>ascorbic acid</w:t>
      </w:r>
      <w:r w:rsidRPr="00AE1B1D">
        <w:rPr>
          <w:snapToGrid w:val="0"/>
        </w:rPr>
        <w:t xml:space="preserve"> and 10 mM β-gly</w:t>
      </w:r>
      <w:r w:rsidR="002223B0" w:rsidRPr="00AE1B1D">
        <w:rPr>
          <w:snapToGrid w:val="0"/>
        </w:rPr>
        <w:t>cerophosphate</w:t>
      </w:r>
      <w:r w:rsidRPr="00AE1B1D">
        <w:rPr>
          <w:snapToGrid w:val="0"/>
        </w:rPr>
        <w:t>; and (ii) OS-Dex – rOS and 100 nM Dex. For preparation of free Naringin concentrations, the drug was initially dissolved in sterile dimethylsulfoxide (50 mg</w:t>
      </w:r>
      <w:r w:rsidR="002A0911" w:rsidRPr="00AE1B1D">
        <w:rPr>
          <w:snapToGrid w:val="0"/>
        </w:rPr>
        <w:t xml:space="preserve"> </w:t>
      </w:r>
      <w:r w:rsidRPr="00AE1B1D">
        <w:rPr>
          <w:snapToGrid w:val="0"/>
        </w:rPr>
        <w:t>mL</w:t>
      </w:r>
      <w:r w:rsidR="002A0911" w:rsidRPr="00AE1B1D">
        <w:rPr>
          <w:snapToGrid w:val="0"/>
          <w:vertAlign w:val="superscript"/>
        </w:rPr>
        <w:t>-1</w:t>
      </w:r>
      <w:r w:rsidRPr="00AE1B1D">
        <w:rPr>
          <w:snapToGrid w:val="0"/>
        </w:rPr>
        <w:t xml:space="preserve">) and subsequently diluted in the respective assay media (basal or osteogenic) and to a final 0.1 % (v/v) dimethylsulfoxide content across all concentrations. </w:t>
      </w:r>
      <w:r w:rsidRPr="00AE1B1D">
        <w:rPr>
          <w:lang w:eastAsia="en-US"/>
        </w:rPr>
        <w:t xml:space="preserve">Osteogenic assays involving alkaline phosphatase (ALP) activity and BMP-2 quantifications, as well as OPN and Alizarin Red S visualization followed the below described conditions (Table </w:t>
      </w:r>
      <w:r w:rsidR="00102233" w:rsidRPr="00AE1B1D">
        <w:rPr>
          <w:lang w:eastAsia="en-US"/>
        </w:rPr>
        <w:t>1</w:t>
      </w:r>
      <w:r w:rsidRPr="00AE1B1D">
        <w:rPr>
          <w:lang w:eastAsia="en-US"/>
        </w:rPr>
        <w:t>).</w:t>
      </w:r>
    </w:p>
    <w:p w14:paraId="3F977B72" w14:textId="77777777" w:rsidR="002A0911" w:rsidRPr="00AE1B1D" w:rsidRDefault="002A0911" w:rsidP="002A0911">
      <w:pPr>
        <w:pStyle w:val="Legenda"/>
        <w:spacing w:after="0" w:line="480" w:lineRule="auto"/>
        <w:jc w:val="both"/>
        <w:rPr>
          <w:i w:val="0"/>
          <w:color w:val="auto"/>
          <w:sz w:val="24"/>
          <w:szCs w:val="24"/>
          <w:lang w:eastAsia="en-US"/>
        </w:rPr>
      </w:pPr>
      <w:bookmarkStart w:id="1" w:name="_Toc500197647"/>
      <w:r w:rsidRPr="00AE1B1D">
        <w:rPr>
          <w:b/>
          <w:i w:val="0"/>
          <w:color w:val="auto"/>
          <w:sz w:val="24"/>
          <w:szCs w:val="24"/>
        </w:rPr>
        <w:lastRenderedPageBreak/>
        <w:t xml:space="preserve">Table </w:t>
      </w:r>
      <w:r w:rsidR="00102233" w:rsidRPr="00AE1B1D">
        <w:rPr>
          <w:b/>
          <w:i w:val="0"/>
          <w:color w:val="auto"/>
          <w:sz w:val="24"/>
          <w:szCs w:val="24"/>
        </w:rPr>
        <w:t>1</w:t>
      </w:r>
      <w:r w:rsidRPr="00AE1B1D">
        <w:rPr>
          <w:b/>
          <w:i w:val="0"/>
          <w:color w:val="auto"/>
          <w:sz w:val="24"/>
          <w:szCs w:val="24"/>
          <w:lang w:eastAsia="en-US"/>
        </w:rPr>
        <w:t>.</w:t>
      </w:r>
      <w:r w:rsidRPr="00AE1B1D">
        <w:rPr>
          <w:i w:val="0"/>
          <w:color w:val="auto"/>
          <w:sz w:val="24"/>
          <w:szCs w:val="24"/>
          <w:lang w:eastAsia="en-US"/>
        </w:rPr>
        <w:t xml:space="preserve"> Overview of the conditions used in osteogenic differentiation assays.</w:t>
      </w:r>
      <w:bookmarkEnd w:id="1"/>
    </w:p>
    <w:tbl>
      <w:tblPr>
        <w:tblW w:w="0" w:type="auto"/>
        <w:jc w:val="center"/>
        <w:tblBorders>
          <w:top w:val="single" w:sz="4" w:space="0" w:color="7F7F7F"/>
          <w:bottom w:val="single" w:sz="4" w:space="0" w:color="7F7F7F"/>
        </w:tblBorders>
        <w:tblLook w:val="04A0" w:firstRow="1" w:lastRow="0" w:firstColumn="1" w:lastColumn="0" w:noHBand="0" w:noVBand="1"/>
      </w:tblPr>
      <w:tblGrid>
        <w:gridCol w:w="1413"/>
        <w:gridCol w:w="2126"/>
        <w:gridCol w:w="2410"/>
        <w:gridCol w:w="1134"/>
        <w:gridCol w:w="1694"/>
      </w:tblGrid>
      <w:tr w:rsidR="002A0911" w:rsidRPr="00AE1B1D" w14:paraId="2463C318" w14:textId="77777777" w:rsidTr="0076173F">
        <w:trPr>
          <w:trHeight w:val="454"/>
          <w:jc w:val="center"/>
        </w:trPr>
        <w:tc>
          <w:tcPr>
            <w:tcW w:w="1413" w:type="dxa"/>
            <w:tcBorders>
              <w:bottom w:val="single" w:sz="4" w:space="0" w:color="7F7F7F"/>
            </w:tcBorders>
            <w:shd w:val="clear" w:color="auto" w:fill="F2F2F2"/>
            <w:vAlign w:val="center"/>
          </w:tcPr>
          <w:p w14:paraId="3167A5AD" w14:textId="77777777" w:rsidR="002A0911" w:rsidRPr="00AE1B1D" w:rsidRDefault="002A0911" w:rsidP="001E4FE3">
            <w:pPr>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Assay</w:t>
            </w:r>
            <w:r w:rsidR="000829A4" w:rsidRPr="00AE1B1D">
              <w:rPr>
                <w:rFonts w:ascii="Arial" w:eastAsia="Times New Roman" w:hAnsi="Arial" w:cs="Arial"/>
                <w:b/>
                <w:bCs/>
                <w:sz w:val="16"/>
                <w:szCs w:val="16"/>
                <w:lang w:val="en-US"/>
              </w:rPr>
              <w:t>*</w:t>
            </w:r>
          </w:p>
        </w:tc>
        <w:tc>
          <w:tcPr>
            <w:tcW w:w="2126" w:type="dxa"/>
            <w:tcBorders>
              <w:bottom w:val="single" w:sz="4" w:space="0" w:color="7F7F7F"/>
            </w:tcBorders>
            <w:shd w:val="clear" w:color="auto" w:fill="F2F2F2"/>
            <w:vAlign w:val="center"/>
          </w:tcPr>
          <w:p w14:paraId="704B9F7B" w14:textId="77777777" w:rsidR="002A0911" w:rsidRPr="00AE1B1D" w:rsidRDefault="002A0911" w:rsidP="001E4FE3">
            <w:pPr>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Culture medium</w:t>
            </w:r>
          </w:p>
        </w:tc>
        <w:tc>
          <w:tcPr>
            <w:tcW w:w="2410" w:type="dxa"/>
            <w:tcBorders>
              <w:bottom w:val="single" w:sz="4" w:space="0" w:color="7F7F7F"/>
            </w:tcBorders>
            <w:shd w:val="clear" w:color="auto" w:fill="F2F2F2"/>
            <w:vAlign w:val="center"/>
          </w:tcPr>
          <w:p w14:paraId="20323662" w14:textId="77777777" w:rsidR="002A0911" w:rsidRPr="00AE1B1D" w:rsidRDefault="002A0911" w:rsidP="001E4FE3">
            <w:pPr>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Pharmaceutic</w:t>
            </w:r>
          </w:p>
        </w:tc>
        <w:tc>
          <w:tcPr>
            <w:tcW w:w="1134" w:type="dxa"/>
            <w:tcBorders>
              <w:bottom w:val="single" w:sz="4" w:space="0" w:color="7F7F7F"/>
            </w:tcBorders>
            <w:shd w:val="clear" w:color="auto" w:fill="F2F2F2"/>
            <w:vAlign w:val="center"/>
          </w:tcPr>
          <w:p w14:paraId="415D1B74" w14:textId="77777777" w:rsidR="002A0911" w:rsidRPr="00AE1B1D" w:rsidRDefault="002A0911" w:rsidP="001E4FE3">
            <w:pPr>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Dosing regime</w:t>
            </w:r>
          </w:p>
        </w:tc>
        <w:tc>
          <w:tcPr>
            <w:tcW w:w="1694" w:type="dxa"/>
            <w:tcBorders>
              <w:bottom w:val="single" w:sz="4" w:space="0" w:color="7F7F7F"/>
            </w:tcBorders>
            <w:shd w:val="clear" w:color="auto" w:fill="F2F2F2"/>
            <w:vAlign w:val="center"/>
          </w:tcPr>
          <w:p w14:paraId="2BF3006B" w14:textId="77777777" w:rsidR="00AD5B0A" w:rsidRPr="00AE1B1D" w:rsidRDefault="002A0911" w:rsidP="001E4FE3">
            <w:pPr>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Total incubation time</w:t>
            </w:r>
            <w:r w:rsidR="00595C6E" w:rsidRPr="00AE1B1D">
              <w:rPr>
                <w:rFonts w:ascii="Arial" w:eastAsia="Times New Roman" w:hAnsi="Arial" w:cs="Arial"/>
                <w:b/>
                <w:bCs/>
                <w:sz w:val="16"/>
                <w:szCs w:val="16"/>
                <w:lang w:val="en-US"/>
              </w:rPr>
              <w:t xml:space="preserve"> </w:t>
            </w:r>
            <w:r w:rsidR="00AD5B0A" w:rsidRPr="00AE1B1D">
              <w:rPr>
                <w:rFonts w:ascii="Arial" w:eastAsia="Times New Roman" w:hAnsi="Arial" w:cs="Arial"/>
                <w:b/>
                <w:bCs/>
                <w:sz w:val="16"/>
                <w:szCs w:val="16"/>
                <w:lang w:val="en-US"/>
              </w:rPr>
              <w:t>(days)</w:t>
            </w:r>
          </w:p>
        </w:tc>
      </w:tr>
      <w:tr w:rsidR="002A0911" w:rsidRPr="00AE1B1D" w14:paraId="4E214AD6" w14:textId="77777777" w:rsidTr="00004488">
        <w:trPr>
          <w:trHeight w:val="340"/>
          <w:jc w:val="center"/>
        </w:trPr>
        <w:tc>
          <w:tcPr>
            <w:tcW w:w="1413" w:type="dxa"/>
            <w:tcBorders>
              <w:top w:val="single" w:sz="4" w:space="0" w:color="7F7F7F"/>
              <w:bottom w:val="single" w:sz="4" w:space="0" w:color="7F7F7F"/>
            </w:tcBorders>
            <w:shd w:val="clear" w:color="auto" w:fill="auto"/>
            <w:vAlign w:val="bottom"/>
          </w:tcPr>
          <w:p w14:paraId="2240285E" w14:textId="77777777" w:rsidR="002A0911" w:rsidRPr="00AE1B1D" w:rsidRDefault="002A0911" w:rsidP="001E4FE3">
            <w:pPr>
              <w:spacing w:line="360" w:lineRule="auto"/>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I, OS-</w:t>
            </w:r>
            <w:proofErr w:type="spellStart"/>
            <w:r w:rsidRPr="00AE1B1D">
              <w:rPr>
                <w:rFonts w:ascii="Arial" w:eastAsia="Times New Roman" w:hAnsi="Arial" w:cs="Arial"/>
                <w:b/>
                <w:bCs/>
                <w:sz w:val="16"/>
                <w:szCs w:val="16"/>
                <w:lang w:val="en-US"/>
              </w:rPr>
              <w:t>Dex</w:t>
            </w:r>
            <w:proofErr w:type="spellEnd"/>
          </w:p>
        </w:tc>
        <w:tc>
          <w:tcPr>
            <w:tcW w:w="2126" w:type="dxa"/>
            <w:tcBorders>
              <w:top w:val="single" w:sz="4" w:space="0" w:color="7F7F7F"/>
              <w:bottom w:val="single" w:sz="4" w:space="0" w:color="7F7F7F"/>
            </w:tcBorders>
            <w:shd w:val="clear" w:color="auto" w:fill="auto"/>
            <w:vAlign w:val="bottom"/>
          </w:tcPr>
          <w:p w14:paraId="12595DEA" w14:textId="77777777" w:rsidR="002A0911" w:rsidRPr="00AE1B1D" w:rsidRDefault="002223B0" w:rsidP="001E4FE3">
            <w:pPr>
              <w:spacing w:line="360" w:lineRule="auto"/>
              <w:jc w:val="center"/>
              <w:rPr>
                <w:rFonts w:ascii="Arial" w:eastAsia="Times New Roman" w:hAnsi="Arial" w:cs="Arial"/>
                <w:sz w:val="16"/>
                <w:szCs w:val="16"/>
                <w:lang w:val="pt-PT"/>
              </w:rPr>
            </w:pPr>
            <w:proofErr w:type="spellStart"/>
            <w:r w:rsidRPr="00AE1B1D">
              <w:rPr>
                <w:rFonts w:ascii="Arial" w:eastAsia="Times New Roman" w:hAnsi="Arial" w:cs="Arial"/>
                <w:color w:val="000000"/>
                <w:sz w:val="16"/>
                <w:szCs w:val="16"/>
                <w:lang w:val="pt-PT" w:eastAsia="en-US"/>
              </w:rPr>
              <w:t>Ascorbic</w:t>
            </w:r>
            <w:proofErr w:type="spellEnd"/>
            <w:r w:rsidRPr="00AE1B1D">
              <w:rPr>
                <w:rFonts w:ascii="Arial" w:eastAsia="Times New Roman" w:hAnsi="Arial" w:cs="Arial"/>
                <w:color w:val="000000"/>
                <w:sz w:val="16"/>
                <w:szCs w:val="16"/>
                <w:lang w:val="pt-PT" w:eastAsia="en-US"/>
              </w:rPr>
              <w:t xml:space="preserve"> </w:t>
            </w:r>
            <w:proofErr w:type="spellStart"/>
            <w:r w:rsidRPr="00AE1B1D">
              <w:rPr>
                <w:rFonts w:ascii="Arial" w:eastAsia="Times New Roman" w:hAnsi="Arial" w:cs="Arial"/>
                <w:color w:val="000000"/>
                <w:sz w:val="16"/>
                <w:szCs w:val="16"/>
                <w:lang w:val="pt-PT" w:eastAsia="en-US"/>
              </w:rPr>
              <w:t>acid</w:t>
            </w:r>
            <w:proofErr w:type="spellEnd"/>
            <w:r w:rsidR="002A0911" w:rsidRPr="00AE1B1D">
              <w:rPr>
                <w:rFonts w:ascii="Arial" w:eastAsia="Times New Roman" w:hAnsi="Arial" w:cs="Arial"/>
                <w:color w:val="000000"/>
                <w:sz w:val="16"/>
                <w:szCs w:val="16"/>
                <w:lang w:val="pt-PT" w:eastAsia="en-US"/>
              </w:rPr>
              <w:t xml:space="preserve"> + </w:t>
            </w:r>
            <w:r w:rsidR="002A0911" w:rsidRPr="00AE1B1D">
              <w:rPr>
                <w:rFonts w:ascii="Arial" w:eastAsia="Times New Roman" w:hAnsi="Arial" w:cs="Arial"/>
                <w:color w:val="000000"/>
                <w:sz w:val="16"/>
                <w:szCs w:val="16"/>
                <w:lang w:val="en-US" w:eastAsia="en-US"/>
              </w:rPr>
              <w:t>β</w:t>
            </w:r>
            <w:r w:rsidR="002A0911" w:rsidRPr="00AE1B1D">
              <w:rPr>
                <w:rFonts w:ascii="Arial" w:eastAsia="Times New Roman" w:hAnsi="Arial" w:cs="Arial"/>
                <w:color w:val="000000"/>
                <w:sz w:val="16"/>
                <w:szCs w:val="16"/>
                <w:lang w:val="pt-PT" w:eastAsia="en-US"/>
              </w:rPr>
              <w:t>-</w:t>
            </w:r>
            <w:proofErr w:type="spellStart"/>
            <w:r w:rsidR="002A0911" w:rsidRPr="00AE1B1D">
              <w:rPr>
                <w:rFonts w:ascii="Arial" w:eastAsia="Times New Roman" w:hAnsi="Arial" w:cs="Arial"/>
                <w:color w:val="000000"/>
                <w:sz w:val="16"/>
                <w:szCs w:val="16"/>
                <w:lang w:val="pt-PT" w:eastAsia="en-US"/>
              </w:rPr>
              <w:t>gly</w:t>
            </w:r>
            <w:r w:rsidRPr="00AE1B1D">
              <w:rPr>
                <w:rFonts w:ascii="Arial" w:eastAsia="Times New Roman" w:hAnsi="Arial" w:cs="Arial"/>
                <w:color w:val="000000"/>
                <w:sz w:val="16"/>
                <w:szCs w:val="16"/>
                <w:lang w:val="pt-PT" w:eastAsia="en-US"/>
              </w:rPr>
              <w:t>cerophosphate</w:t>
            </w:r>
            <w:proofErr w:type="spellEnd"/>
            <w:r w:rsidR="002A0911" w:rsidRPr="00AE1B1D">
              <w:rPr>
                <w:rFonts w:ascii="Arial" w:eastAsia="Times New Roman" w:hAnsi="Arial" w:cs="Arial"/>
                <w:color w:val="000000"/>
                <w:sz w:val="16"/>
                <w:szCs w:val="16"/>
                <w:lang w:val="pt-PT" w:eastAsia="en-US"/>
              </w:rPr>
              <w:t xml:space="preserve"> + </w:t>
            </w:r>
            <w:proofErr w:type="spellStart"/>
            <w:r w:rsidR="002A0911" w:rsidRPr="00AE1B1D">
              <w:rPr>
                <w:rFonts w:ascii="Arial" w:eastAsia="Times New Roman" w:hAnsi="Arial" w:cs="Arial"/>
                <w:color w:val="000000"/>
                <w:sz w:val="16"/>
                <w:szCs w:val="16"/>
                <w:lang w:val="pt-PT" w:eastAsia="en-US"/>
              </w:rPr>
              <w:t>Dex</w:t>
            </w:r>
            <w:proofErr w:type="spellEnd"/>
            <w:r w:rsidR="002A0911" w:rsidRPr="00AE1B1D">
              <w:rPr>
                <w:rFonts w:ascii="Arial" w:eastAsia="Times New Roman" w:hAnsi="Arial" w:cs="Arial"/>
                <w:color w:val="000000"/>
                <w:sz w:val="16"/>
                <w:szCs w:val="16"/>
                <w:lang w:val="pt-PT" w:eastAsia="en-US"/>
              </w:rPr>
              <w:t xml:space="preserve"> (OS)</w:t>
            </w:r>
          </w:p>
        </w:tc>
        <w:tc>
          <w:tcPr>
            <w:tcW w:w="2410" w:type="dxa"/>
            <w:tcBorders>
              <w:top w:val="single" w:sz="4" w:space="0" w:color="7F7F7F"/>
              <w:bottom w:val="single" w:sz="4" w:space="0" w:color="7F7F7F"/>
            </w:tcBorders>
            <w:shd w:val="clear" w:color="auto" w:fill="auto"/>
            <w:vAlign w:val="bottom"/>
          </w:tcPr>
          <w:p w14:paraId="0974A397"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Naringin</w:t>
            </w:r>
          </w:p>
        </w:tc>
        <w:tc>
          <w:tcPr>
            <w:tcW w:w="1134" w:type="dxa"/>
            <w:tcBorders>
              <w:top w:val="single" w:sz="4" w:space="0" w:color="7F7F7F"/>
              <w:bottom w:val="single" w:sz="4" w:space="0" w:color="7F7F7F"/>
            </w:tcBorders>
            <w:shd w:val="clear" w:color="auto" w:fill="auto"/>
            <w:vAlign w:val="bottom"/>
          </w:tcPr>
          <w:p w14:paraId="5AB49991"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Single</w:t>
            </w:r>
          </w:p>
        </w:tc>
        <w:tc>
          <w:tcPr>
            <w:tcW w:w="1694" w:type="dxa"/>
            <w:tcBorders>
              <w:top w:val="single" w:sz="4" w:space="0" w:color="7F7F7F"/>
              <w:bottom w:val="single" w:sz="4" w:space="0" w:color="7F7F7F"/>
            </w:tcBorders>
            <w:shd w:val="clear" w:color="auto" w:fill="auto"/>
            <w:vAlign w:val="bottom"/>
          </w:tcPr>
          <w:p w14:paraId="5D7434FA"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 xml:space="preserve">21 </w:t>
            </w:r>
          </w:p>
        </w:tc>
      </w:tr>
      <w:tr w:rsidR="002A0911" w:rsidRPr="00AE1B1D" w14:paraId="382A6F07" w14:textId="77777777" w:rsidTr="00004488">
        <w:trPr>
          <w:jc w:val="center"/>
        </w:trPr>
        <w:tc>
          <w:tcPr>
            <w:tcW w:w="1413" w:type="dxa"/>
            <w:shd w:val="clear" w:color="auto" w:fill="auto"/>
            <w:vAlign w:val="center"/>
          </w:tcPr>
          <w:p w14:paraId="6E40E2C9" w14:textId="77777777" w:rsidR="002A0911" w:rsidRPr="00AE1B1D" w:rsidRDefault="002A0911" w:rsidP="001E4FE3">
            <w:pPr>
              <w:spacing w:line="360" w:lineRule="auto"/>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II, One dose</w:t>
            </w:r>
          </w:p>
        </w:tc>
        <w:tc>
          <w:tcPr>
            <w:tcW w:w="2126" w:type="dxa"/>
            <w:shd w:val="clear" w:color="auto" w:fill="auto"/>
            <w:vAlign w:val="center"/>
          </w:tcPr>
          <w:p w14:paraId="4A491A34" w14:textId="77777777" w:rsidR="002A0911" w:rsidRPr="00AE1B1D" w:rsidRDefault="002223B0" w:rsidP="001E4FE3">
            <w:pPr>
              <w:spacing w:line="360" w:lineRule="auto"/>
              <w:jc w:val="center"/>
              <w:rPr>
                <w:rFonts w:ascii="Arial" w:eastAsia="Times New Roman" w:hAnsi="Arial" w:cs="Arial"/>
                <w:sz w:val="16"/>
                <w:szCs w:val="16"/>
                <w:lang w:val="en-US"/>
              </w:rPr>
            </w:pPr>
            <w:proofErr w:type="spellStart"/>
            <w:r w:rsidRPr="00AE1B1D">
              <w:rPr>
                <w:rFonts w:ascii="Arial" w:eastAsia="Times New Roman" w:hAnsi="Arial" w:cs="Arial"/>
                <w:color w:val="000000"/>
                <w:sz w:val="16"/>
                <w:szCs w:val="16"/>
                <w:lang w:val="pt-PT" w:eastAsia="en-US"/>
              </w:rPr>
              <w:t>Ascorbic</w:t>
            </w:r>
            <w:proofErr w:type="spellEnd"/>
            <w:r w:rsidRPr="00AE1B1D">
              <w:rPr>
                <w:rFonts w:ascii="Arial" w:eastAsia="Times New Roman" w:hAnsi="Arial" w:cs="Arial"/>
                <w:color w:val="000000"/>
                <w:sz w:val="16"/>
                <w:szCs w:val="16"/>
                <w:lang w:val="pt-PT" w:eastAsia="en-US"/>
              </w:rPr>
              <w:t xml:space="preserve"> </w:t>
            </w:r>
            <w:proofErr w:type="spellStart"/>
            <w:r w:rsidRPr="00AE1B1D">
              <w:rPr>
                <w:rFonts w:ascii="Arial" w:eastAsia="Times New Roman" w:hAnsi="Arial" w:cs="Arial"/>
                <w:color w:val="000000"/>
                <w:sz w:val="16"/>
                <w:szCs w:val="16"/>
                <w:lang w:val="pt-PT" w:eastAsia="en-US"/>
              </w:rPr>
              <w:t>acid</w:t>
            </w:r>
            <w:proofErr w:type="spellEnd"/>
            <w:r w:rsidRPr="00AE1B1D">
              <w:rPr>
                <w:rFonts w:ascii="Arial" w:eastAsia="Times New Roman" w:hAnsi="Arial" w:cs="Arial"/>
                <w:color w:val="000000"/>
                <w:sz w:val="16"/>
                <w:szCs w:val="16"/>
                <w:lang w:val="pt-PT" w:eastAsia="en-US"/>
              </w:rPr>
              <w:t xml:space="preserve"> + </w:t>
            </w:r>
            <w:r w:rsidRPr="00AE1B1D">
              <w:rPr>
                <w:rFonts w:ascii="Arial" w:eastAsia="Times New Roman" w:hAnsi="Arial" w:cs="Arial"/>
                <w:color w:val="000000"/>
                <w:sz w:val="16"/>
                <w:szCs w:val="16"/>
                <w:lang w:val="en-US" w:eastAsia="en-US"/>
              </w:rPr>
              <w:t>β</w:t>
            </w:r>
            <w:r w:rsidRPr="00AE1B1D">
              <w:rPr>
                <w:rFonts w:ascii="Arial" w:eastAsia="Times New Roman" w:hAnsi="Arial" w:cs="Arial"/>
                <w:color w:val="000000"/>
                <w:sz w:val="16"/>
                <w:szCs w:val="16"/>
                <w:lang w:val="pt-PT" w:eastAsia="en-US"/>
              </w:rPr>
              <w:t>-</w:t>
            </w:r>
            <w:proofErr w:type="spellStart"/>
            <w:r w:rsidRPr="00AE1B1D">
              <w:rPr>
                <w:rFonts w:ascii="Arial" w:eastAsia="Times New Roman" w:hAnsi="Arial" w:cs="Arial"/>
                <w:color w:val="000000"/>
                <w:sz w:val="16"/>
                <w:szCs w:val="16"/>
                <w:lang w:val="pt-PT" w:eastAsia="en-US"/>
              </w:rPr>
              <w:t>glycerophosphate</w:t>
            </w:r>
            <w:proofErr w:type="spellEnd"/>
            <w:r w:rsidRPr="00AE1B1D">
              <w:rPr>
                <w:rFonts w:ascii="Arial" w:eastAsia="Times New Roman" w:hAnsi="Arial" w:cs="Arial"/>
                <w:color w:val="000000"/>
                <w:sz w:val="16"/>
                <w:szCs w:val="16"/>
                <w:lang w:val="pt-PT" w:eastAsia="en-US"/>
              </w:rPr>
              <w:t xml:space="preserve"> </w:t>
            </w:r>
            <w:r w:rsidR="002A0911" w:rsidRPr="00AE1B1D">
              <w:rPr>
                <w:rFonts w:ascii="Arial" w:eastAsia="Times New Roman" w:hAnsi="Arial" w:cs="Arial"/>
                <w:color w:val="000000"/>
                <w:sz w:val="16"/>
                <w:szCs w:val="16"/>
                <w:lang w:val="en-US" w:eastAsia="en-US"/>
              </w:rPr>
              <w:t>(</w:t>
            </w:r>
            <w:proofErr w:type="spellStart"/>
            <w:r w:rsidR="002A0911" w:rsidRPr="00AE1B1D">
              <w:rPr>
                <w:rFonts w:ascii="Arial" w:eastAsia="Times New Roman" w:hAnsi="Arial" w:cs="Arial"/>
                <w:color w:val="000000"/>
                <w:sz w:val="16"/>
                <w:szCs w:val="16"/>
                <w:lang w:val="en-US" w:eastAsia="en-US"/>
              </w:rPr>
              <w:t>rOS</w:t>
            </w:r>
            <w:proofErr w:type="spellEnd"/>
            <w:r w:rsidR="002A0911" w:rsidRPr="00AE1B1D">
              <w:rPr>
                <w:rFonts w:ascii="Arial" w:eastAsia="Times New Roman" w:hAnsi="Arial" w:cs="Arial"/>
                <w:color w:val="000000"/>
                <w:sz w:val="16"/>
                <w:szCs w:val="16"/>
                <w:lang w:val="en-US" w:eastAsia="en-US"/>
              </w:rPr>
              <w:t>)</w:t>
            </w:r>
          </w:p>
        </w:tc>
        <w:tc>
          <w:tcPr>
            <w:tcW w:w="2410" w:type="dxa"/>
            <w:shd w:val="clear" w:color="auto" w:fill="auto"/>
            <w:vAlign w:val="center"/>
          </w:tcPr>
          <w:p w14:paraId="717F06FE" w14:textId="77777777" w:rsidR="00AD5B0A" w:rsidRPr="00AE1B1D" w:rsidRDefault="002A0911" w:rsidP="001E4FE3">
            <w:pPr>
              <w:spacing w:line="360" w:lineRule="auto"/>
              <w:jc w:val="center"/>
              <w:rPr>
                <w:rFonts w:ascii="Arial" w:eastAsia="Times New Roman" w:hAnsi="Arial" w:cs="Arial"/>
                <w:color w:val="000000"/>
                <w:sz w:val="16"/>
                <w:szCs w:val="16"/>
                <w:lang w:val="en-US" w:eastAsia="en-US"/>
              </w:rPr>
            </w:pPr>
            <w:r w:rsidRPr="00AE1B1D">
              <w:rPr>
                <w:rFonts w:ascii="Arial" w:eastAsia="Times New Roman" w:hAnsi="Arial" w:cs="Arial"/>
                <w:color w:val="000000"/>
                <w:sz w:val="16"/>
                <w:szCs w:val="16"/>
                <w:lang w:val="en-US" w:eastAsia="en-US"/>
              </w:rPr>
              <w:t>Naringin;</w:t>
            </w:r>
          </w:p>
          <w:p w14:paraId="313C30C4"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Naringin-loaded micelles</w:t>
            </w:r>
          </w:p>
        </w:tc>
        <w:tc>
          <w:tcPr>
            <w:tcW w:w="1134" w:type="dxa"/>
            <w:shd w:val="clear" w:color="auto" w:fill="auto"/>
            <w:vAlign w:val="center"/>
          </w:tcPr>
          <w:p w14:paraId="6D2797A8"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Single</w:t>
            </w:r>
          </w:p>
        </w:tc>
        <w:tc>
          <w:tcPr>
            <w:tcW w:w="1694" w:type="dxa"/>
            <w:shd w:val="clear" w:color="auto" w:fill="auto"/>
            <w:vAlign w:val="center"/>
          </w:tcPr>
          <w:p w14:paraId="22F1FAAC"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7</w:t>
            </w:r>
          </w:p>
        </w:tc>
      </w:tr>
      <w:tr w:rsidR="002A0911" w:rsidRPr="00AE1B1D" w14:paraId="1C81729A" w14:textId="77777777" w:rsidTr="00004488">
        <w:trPr>
          <w:jc w:val="center"/>
        </w:trPr>
        <w:tc>
          <w:tcPr>
            <w:tcW w:w="1413" w:type="dxa"/>
            <w:tcBorders>
              <w:top w:val="single" w:sz="4" w:space="0" w:color="7F7F7F"/>
              <w:bottom w:val="single" w:sz="4" w:space="0" w:color="7F7F7F"/>
            </w:tcBorders>
            <w:shd w:val="clear" w:color="auto" w:fill="auto"/>
            <w:vAlign w:val="center"/>
          </w:tcPr>
          <w:p w14:paraId="4EF23184" w14:textId="77777777" w:rsidR="002A0911" w:rsidRPr="00AE1B1D" w:rsidRDefault="002A0911" w:rsidP="001E4FE3">
            <w:pPr>
              <w:spacing w:line="360" w:lineRule="auto"/>
              <w:jc w:val="center"/>
              <w:rPr>
                <w:rFonts w:ascii="Arial" w:eastAsia="Times New Roman" w:hAnsi="Arial" w:cs="Arial"/>
                <w:b/>
                <w:bCs/>
                <w:sz w:val="16"/>
                <w:szCs w:val="16"/>
                <w:lang w:val="en-US"/>
              </w:rPr>
            </w:pPr>
            <w:r w:rsidRPr="00AE1B1D">
              <w:rPr>
                <w:rFonts w:ascii="Arial" w:eastAsia="Times New Roman" w:hAnsi="Arial" w:cs="Arial"/>
                <w:b/>
                <w:bCs/>
                <w:sz w:val="16"/>
                <w:szCs w:val="16"/>
                <w:lang w:val="en-US"/>
              </w:rPr>
              <w:t>II, Two dose</w:t>
            </w:r>
          </w:p>
        </w:tc>
        <w:tc>
          <w:tcPr>
            <w:tcW w:w="2126" w:type="dxa"/>
            <w:tcBorders>
              <w:top w:val="single" w:sz="4" w:space="0" w:color="7F7F7F"/>
              <w:bottom w:val="single" w:sz="4" w:space="0" w:color="7F7F7F"/>
            </w:tcBorders>
            <w:shd w:val="clear" w:color="auto" w:fill="auto"/>
            <w:vAlign w:val="center"/>
          </w:tcPr>
          <w:p w14:paraId="3C6263DA" w14:textId="77777777" w:rsidR="002A0911" w:rsidRPr="00AE1B1D" w:rsidRDefault="002223B0" w:rsidP="001E4FE3">
            <w:pPr>
              <w:spacing w:line="360" w:lineRule="auto"/>
              <w:jc w:val="center"/>
              <w:rPr>
                <w:rFonts w:ascii="Arial" w:eastAsia="Times New Roman" w:hAnsi="Arial" w:cs="Arial"/>
                <w:sz w:val="16"/>
                <w:szCs w:val="16"/>
                <w:lang w:val="en-US"/>
              </w:rPr>
            </w:pPr>
            <w:proofErr w:type="spellStart"/>
            <w:r w:rsidRPr="00AE1B1D">
              <w:rPr>
                <w:rFonts w:ascii="Arial" w:eastAsia="Times New Roman" w:hAnsi="Arial" w:cs="Arial"/>
                <w:color w:val="000000"/>
                <w:sz w:val="16"/>
                <w:szCs w:val="16"/>
                <w:lang w:val="pt-PT" w:eastAsia="en-US"/>
              </w:rPr>
              <w:t>Ascorbic</w:t>
            </w:r>
            <w:proofErr w:type="spellEnd"/>
            <w:r w:rsidRPr="00AE1B1D">
              <w:rPr>
                <w:rFonts w:ascii="Arial" w:eastAsia="Times New Roman" w:hAnsi="Arial" w:cs="Arial"/>
                <w:color w:val="000000"/>
                <w:sz w:val="16"/>
                <w:szCs w:val="16"/>
                <w:lang w:val="pt-PT" w:eastAsia="en-US"/>
              </w:rPr>
              <w:t xml:space="preserve"> </w:t>
            </w:r>
            <w:proofErr w:type="spellStart"/>
            <w:r w:rsidRPr="00AE1B1D">
              <w:rPr>
                <w:rFonts w:ascii="Arial" w:eastAsia="Times New Roman" w:hAnsi="Arial" w:cs="Arial"/>
                <w:color w:val="000000"/>
                <w:sz w:val="16"/>
                <w:szCs w:val="16"/>
                <w:lang w:val="pt-PT" w:eastAsia="en-US"/>
              </w:rPr>
              <w:t>acid</w:t>
            </w:r>
            <w:proofErr w:type="spellEnd"/>
            <w:r w:rsidRPr="00AE1B1D">
              <w:rPr>
                <w:rFonts w:ascii="Arial" w:eastAsia="Times New Roman" w:hAnsi="Arial" w:cs="Arial"/>
                <w:color w:val="000000"/>
                <w:sz w:val="16"/>
                <w:szCs w:val="16"/>
                <w:lang w:val="pt-PT" w:eastAsia="en-US"/>
              </w:rPr>
              <w:t xml:space="preserve"> + </w:t>
            </w:r>
            <w:r w:rsidRPr="00AE1B1D">
              <w:rPr>
                <w:rFonts w:ascii="Arial" w:eastAsia="Times New Roman" w:hAnsi="Arial" w:cs="Arial"/>
                <w:color w:val="000000"/>
                <w:sz w:val="16"/>
                <w:szCs w:val="16"/>
                <w:lang w:val="en-US" w:eastAsia="en-US"/>
              </w:rPr>
              <w:t>β</w:t>
            </w:r>
            <w:r w:rsidRPr="00AE1B1D">
              <w:rPr>
                <w:rFonts w:ascii="Arial" w:eastAsia="Times New Roman" w:hAnsi="Arial" w:cs="Arial"/>
                <w:color w:val="000000"/>
                <w:sz w:val="16"/>
                <w:szCs w:val="16"/>
                <w:lang w:val="pt-PT" w:eastAsia="en-US"/>
              </w:rPr>
              <w:t>-</w:t>
            </w:r>
            <w:proofErr w:type="spellStart"/>
            <w:r w:rsidRPr="00AE1B1D">
              <w:rPr>
                <w:rFonts w:ascii="Arial" w:eastAsia="Times New Roman" w:hAnsi="Arial" w:cs="Arial"/>
                <w:color w:val="000000"/>
                <w:sz w:val="16"/>
                <w:szCs w:val="16"/>
                <w:lang w:val="pt-PT" w:eastAsia="en-US"/>
              </w:rPr>
              <w:t>glycerophosphate</w:t>
            </w:r>
            <w:proofErr w:type="spellEnd"/>
            <w:r w:rsidRPr="00AE1B1D">
              <w:rPr>
                <w:rFonts w:ascii="Arial" w:eastAsia="Times New Roman" w:hAnsi="Arial" w:cs="Arial"/>
                <w:color w:val="000000"/>
                <w:sz w:val="16"/>
                <w:szCs w:val="16"/>
                <w:lang w:val="pt-PT" w:eastAsia="en-US"/>
              </w:rPr>
              <w:t xml:space="preserve"> </w:t>
            </w:r>
            <w:r w:rsidR="002A0911" w:rsidRPr="00AE1B1D">
              <w:rPr>
                <w:rFonts w:ascii="Arial" w:eastAsia="Times New Roman" w:hAnsi="Arial" w:cs="Arial"/>
                <w:color w:val="000000"/>
                <w:sz w:val="16"/>
                <w:szCs w:val="16"/>
                <w:lang w:val="en-US" w:eastAsia="en-US"/>
              </w:rPr>
              <w:t>(</w:t>
            </w:r>
            <w:proofErr w:type="spellStart"/>
            <w:r w:rsidR="002A0911" w:rsidRPr="00AE1B1D">
              <w:rPr>
                <w:rFonts w:ascii="Arial" w:eastAsia="Times New Roman" w:hAnsi="Arial" w:cs="Arial"/>
                <w:color w:val="000000"/>
                <w:sz w:val="16"/>
                <w:szCs w:val="16"/>
                <w:lang w:val="en-US" w:eastAsia="en-US"/>
              </w:rPr>
              <w:t>rOS</w:t>
            </w:r>
            <w:proofErr w:type="spellEnd"/>
            <w:r w:rsidR="002A0911" w:rsidRPr="00AE1B1D">
              <w:rPr>
                <w:rFonts w:ascii="Arial" w:eastAsia="Times New Roman" w:hAnsi="Arial" w:cs="Arial"/>
                <w:color w:val="000000"/>
                <w:sz w:val="16"/>
                <w:szCs w:val="16"/>
                <w:lang w:val="en-US" w:eastAsia="en-US"/>
              </w:rPr>
              <w:t>)</w:t>
            </w:r>
          </w:p>
        </w:tc>
        <w:tc>
          <w:tcPr>
            <w:tcW w:w="2410" w:type="dxa"/>
            <w:tcBorders>
              <w:top w:val="single" w:sz="4" w:space="0" w:color="7F7F7F"/>
              <w:bottom w:val="single" w:sz="4" w:space="0" w:color="7F7F7F"/>
            </w:tcBorders>
            <w:shd w:val="clear" w:color="auto" w:fill="auto"/>
            <w:vAlign w:val="center"/>
          </w:tcPr>
          <w:p w14:paraId="259D864D" w14:textId="77777777" w:rsidR="00AD5B0A" w:rsidRPr="00AE1B1D" w:rsidRDefault="002A0911" w:rsidP="001E4FE3">
            <w:pPr>
              <w:spacing w:line="360" w:lineRule="auto"/>
              <w:jc w:val="center"/>
              <w:rPr>
                <w:rFonts w:ascii="Arial" w:eastAsia="Times New Roman" w:hAnsi="Arial" w:cs="Arial"/>
                <w:color w:val="000000"/>
                <w:sz w:val="16"/>
                <w:szCs w:val="16"/>
                <w:lang w:val="en-US" w:eastAsia="en-US"/>
              </w:rPr>
            </w:pPr>
            <w:r w:rsidRPr="00AE1B1D">
              <w:rPr>
                <w:rFonts w:ascii="Arial" w:eastAsia="Times New Roman" w:hAnsi="Arial" w:cs="Arial"/>
                <w:color w:val="000000"/>
                <w:sz w:val="16"/>
                <w:szCs w:val="16"/>
                <w:lang w:val="en-US" w:eastAsia="en-US"/>
              </w:rPr>
              <w:t>Naringin</w:t>
            </w:r>
          </w:p>
          <w:p w14:paraId="2736053A"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Naringin-loaded micelles</w:t>
            </w:r>
          </w:p>
        </w:tc>
        <w:tc>
          <w:tcPr>
            <w:tcW w:w="1134" w:type="dxa"/>
            <w:tcBorders>
              <w:top w:val="single" w:sz="4" w:space="0" w:color="7F7F7F"/>
              <w:bottom w:val="single" w:sz="4" w:space="0" w:color="7F7F7F"/>
            </w:tcBorders>
            <w:shd w:val="clear" w:color="auto" w:fill="auto"/>
            <w:vAlign w:val="center"/>
          </w:tcPr>
          <w:p w14:paraId="5E733FF6"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Double</w:t>
            </w:r>
          </w:p>
        </w:tc>
        <w:tc>
          <w:tcPr>
            <w:tcW w:w="1694" w:type="dxa"/>
            <w:tcBorders>
              <w:top w:val="single" w:sz="4" w:space="0" w:color="7F7F7F"/>
              <w:bottom w:val="single" w:sz="4" w:space="0" w:color="7F7F7F"/>
            </w:tcBorders>
            <w:shd w:val="clear" w:color="auto" w:fill="auto"/>
            <w:vAlign w:val="center"/>
          </w:tcPr>
          <w:p w14:paraId="06699B8F" w14:textId="77777777" w:rsidR="002A0911" w:rsidRPr="00AE1B1D" w:rsidRDefault="002A0911" w:rsidP="001E4FE3">
            <w:pPr>
              <w:spacing w:line="360" w:lineRule="auto"/>
              <w:jc w:val="center"/>
              <w:rPr>
                <w:rFonts w:ascii="Arial" w:eastAsia="Times New Roman" w:hAnsi="Arial" w:cs="Arial"/>
                <w:sz w:val="16"/>
                <w:szCs w:val="16"/>
                <w:lang w:val="en-US"/>
              </w:rPr>
            </w:pPr>
            <w:r w:rsidRPr="00AE1B1D">
              <w:rPr>
                <w:rFonts w:ascii="Arial" w:eastAsia="Times New Roman" w:hAnsi="Arial" w:cs="Arial"/>
                <w:color w:val="000000"/>
                <w:sz w:val="16"/>
                <w:szCs w:val="16"/>
                <w:lang w:val="en-US" w:eastAsia="en-US"/>
              </w:rPr>
              <w:t>7</w:t>
            </w:r>
            <w:r w:rsidR="005A477B" w:rsidRPr="00AE1B1D">
              <w:rPr>
                <w:rFonts w:ascii="Arial" w:eastAsia="Times New Roman" w:hAnsi="Arial" w:cs="Arial"/>
                <w:color w:val="000000"/>
                <w:sz w:val="16"/>
                <w:szCs w:val="16"/>
                <w:lang w:val="en-US" w:eastAsia="en-US"/>
              </w:rPr>
              <w:t>, 14, 21</w:t>
            </w:r>
          </w:p>
        </w:tc>
      </w:tr>
    </w:tbl>
    <w:p w14:paraId="2D163385" w14:textId="77777777" w:rsidR="002A0911" w:rsidRPr="00AE1B1D" w:rsidRDefault="000829A4" w:rsidP="002A0911">
      <w:pPr>
        <w:spacing w:before="120" w:after="200"/>
        <w:ind w:firstLine="284"/>
        <w:jc w:val="both"/>
      </w:pPr>
      <w:r w:rsidRPr="00AE1B1D">
        <w:t>*</w:t>
      </w:r>
      <w:r w:rsidR="002A0911" w:rsidRPr="00AE1B1D">
        <w:rPr>
          <w:sz w:val="16"/>
        </w:rPr>
        <w:t xml:space="preserve">Across all experiments, medium was exchanged every 3 days containing the respective osteogenic supplements listed above, except for the Two dose assay, where medium with a second dose of pharmaceutic was added after 3 days. Please see the </w:t>
      </w:r>
      <w:r w:rsidR="00C155C3" w:rsidRPr="00AE1B1D">
        <w:rPr>
          <w:sz w:val="16"/>
        </w:rPr>
        <w:t>corresponding</w:t>
      </w:r>
      <w:r w:rsidR="002A0911" w:rsidRPr="00AE1B1D">
        <w:rPr>
          <w:sz w:val="16"/>
        </w:rPr>
        <w:t xml:space="preserve"> dose regimen schematics in each result panel.</w:t>
      </w:r>
    </w:p>
    <w:p w14:paraId="47C34A49" w14:textId="77777777" w:rsidR="000829A4" w:rsidRPr="00AE1B1D" w:rsidRDefault="000829A4" w:rsidP="002223B0">
      <w:pPr>
        <w:spacing w:after="240" w:line="480" w:lineRule="auto"/>
        <w:ind w:firstLine="284"/>
        <w:jc w:val="both"/>
        <w:rPr>
          <w:i/>
          <w:lang w:eastAsia="en-US"/>
        </w:rPr>
      </w:pPr>
    </w:p>
    <w:p w14:paraId="2A05AB9C" w14:textId="77777777" w:rsidR="002A0911" w:rsidRPr="00AE1B1D" w:rsidRDefault="002A0911" w:rsidP="002A0911">
      <w:pPr>
        <w:spacing w:after="240" w:line="480" w:lineRule="auto"/>
        <w:ind w:firstLine="284"/>
        <w:jc w:val="both"/>
        <w:rPr>
          <w:lang w:eastAsia="en-US"/>
        </w:rPr>
      </w:pPr>
      <w:r w:rsidRPr="00AE1B1D">
        <w:rPr>
          <w:i/>
          <w:lang w:eastAsia="en-US"/>
        </w:rPr>
        <w:t xml:space="preserve">In vitro Cellular Uptake Studies: </w:t>
      </w:r>
      <w:r w:rsidRPr="00AE1B1D">
        <w:rPr>
          <w:lang w:eastAsia="en-US"/>
        </w:rPr>
        <w:t xml:space="preserve">Nanomicelles cellular uptake kinetics in hASCs were evaluated via fluorescence microscopy. Briefly, hASCs were seeded in </w:t>
      </w:r>
      <w:r w:rsidR="00FE6F1E" w:rsidRPr="00AE1B1D">
        <w:rPr>
          <w:rFonts w:ascii="Symbol" w:hAnsi="Symbol"/>
          <w:lang w:eastAsia="en-US"/>
        </w:rPr>
        <w:t></w:t>
      </w:r>
      <w:r w:rsidRPr="00AE1B1D">
        <w:rPr>
          <w:lang w:eastAsia="en-US"/>
        </w:rPr>
        <w:t>-Slide 8-well chambers (ibidi GmbH) overnight at a density of 8.0 and 25.0 x 10</w:t>
      </w:r>
      <w:r w:rsidRPr="00AE1B1D">
        <w:rPr>
          <w:vertAlign w:val="superscript"/>
          <w:lang w:eastAsia="en-US"/>
        </w:rPr>
        <w:t>3</w:t>
      </w:r>
      <w:r w:rsidRPr="00AE1B1D">
        <w:rPr>
          <w:lang w:eastAsia="en-US"/>
        </w:rPr>
        <w:t xml:space="preserve"> cells well</w:t>
      </w:r>
      <w:r w:rsidRPr="00AE1B1D">
        <w:rPr>
          <w:vertAlign w:val="superscript"/>
          <w:lang w:eastAsia="en-US"/>
        </w:rPr>
        <w:t>-1</w:t>
      </w:r>
      <w:r w:rsidRPr="00AE1B1D">
        <w:rPr>
          <w:lang w:eastAsia="en-US"/>
        </w:rPr>
        <w:t xml:space="preserve">, respectively, in free-antibiotic BM. Then, cells were incubated with 250 </w:t>
      </w:r>
      <w:r w:rsidR="00FE6F1E" w:rsidRPr="00AE1B1D">
        <w:rPr>
          <w:rFonts w:ascii="Symbol" w:hAnsi="Symbol"/>
          <w:lang w:eastAsia="en-US"/>
        </w:rPr>
        <w:t></w:t>
      </w:r>
      <w:r w:rsidRPr="00AE1B1D">
        <w:rPr>
          <w:lang w:eastAsia="en-US"/>
        </w:rPr>
        <w:t>g well</w:t>
      </w:r>
      <w:r w:rsidRPr="00AE1B1D">
        <w:rPr>
          <w:vertAlign w:val="superscript"/>
          <w:lang w:eastAsia="en-US"/>
        </w:rPr>
        <w:t>-1</w:t>
      </w:r>
      <w:r w:rsidRPr="00AE1B1D">
        <w:rPr>
          <w:lang w:eastAsia="en-US"/>
        </w:rPr>
        <w:t xml:space="preserve"> of Coum</w:t>
      </w:r>
      <w:r w:rsidR="009D0F39" w:rsidRPr="00AE1B1D">
        <w:rPr>
          <w:lang w:eastAsia="en-US"/>
        </w:rPr>
        <w:t>arin</w:t>
      </w:r>
      <w:r w:rsidRPr="00AE1B1D">
        <w:rPr>
          <w:lang w:eastAsia="en-US"/>
        </w:rPr>
        <w:t xml:space="preserve">-6-loaded nanocarriers for different time intervals (2, 4 and 6 h). After each time point, cells were fixed in 4% formaldehyde. After 6 h, fixed cells were washed three times with dPBS and then the cells cytoplasm was labelled with 50 </w:t>
      </w:r>
      <w:r w:rsidR="00FE6F1E" w:rsidRPr="00AE1B1D">
        <w:rPr>
          <w:rFonts w:ascii="Symbol" w:hAnsi="Symbol"/>
          <w:lang w:eastAsia="en-US"/>
        </w:rPr>
        <w:t></w:t>
      </w:r>
      <w:r w:rsidRPr="00AE1B1D">
        <w:rPr>
          <w:lang w:eastAsia="en-US"/>
        </w:rPr>
        <w:t>L of WGA Alexa Fluor</w:t>
      </w:r>
      <w:r w:rsidRPr="00AE1B1D">
        <w:rPr>
          <w:vertAlign w:val="superscript"/>
          <w:lang w:eastAsia="en-US"/>
        </w:rPr>
        <w:t>®</w:t>
      </w:r>
      <w:r w:rsidRPr="00AE1B1D">
        <w:rPr>
          <w:lang w:eastAsia="en-US"/>
        </w:rPr>
        <w:t xml:space="preserve"> 594 conjugate dye (0.2 mg mL</w:t>
      </w:r>
      <w:r w:rsidRPr="00AE1B1D">
        <w:rPr>
          <w:vertAlign w:val="superscript"/>
          <w:lang w:eastAsia="en-US"/>
        </w:rPr>
        <w:t>-1</w:t>
      </w:r>
      <w:r w:rsidRPr="00AE1B1D">
        <w:rPr>
          <w:lang w:eastAsia="en-US"/>
        </w:rPr>
        <w:t>) by incubating for 5 min in the dark. Afterwards, cells were rinsed three times in dPBS and maintained in dPBS until fluorescence microscopy analysis. CLSM and fluorescence microscopy (Axio Imager 2, Zeiss) were used to follow the kinetics of intracellular internalization of the nanocarriers. Image processing was performed using ZEN v2.3 blue edition software (Carl Zeiss Microscopy GmbH). Alternatively, the quantitative measurement of Coum</w:t>
      </w:r>
      <w:r w:rsidR="009D0F39" w:rsidRPr="00AE1B1D">
        <w:rPr>
          <w:lang w:eastAsia="en-US"/>
        </w:rPr>
        <w:t>arin</w:t>
      </w:r>
      <w:r w:rsidRPr="00AE1B1D">
        <w:rPr>
          <w:lang w:eastAsia="en-US"/>
        </w:rPr>
        <w:t>-6 fluorescence intensity was conducted using a flow cytometer. hASCs were seeded in 24-well plates overnight at a density of 50 and 40 x 10</w:t>
      </w:r>
      <w:r w:rsidRPr="00AE1B1D">
        <w:rPr>
          <w:vertAlign w:val="superscript"/>
          <w:lang w:eastAsia="en-US"/>
        </w:rPr>
        <w:t>3</w:t>
      </w:r>
      <w:r w:rsidRPr="00AE1B1D">
        <w:rPr>
          <w:lang w:eastAsia="en-US"/>
        </w:rPr>
        <w:t xml:space="preserve"> cells well</w:t>
      </w:r>
      <w:r w:rsidRPr="00AE1B1D">
        <w:rPr>
          <w:vertAlign w:val="superscript"/>
          <w:lang w:eastAsia="en-US"/>
        </w:rPr>
        <w:t>-1</w:t>
      </w:r>
      <w:r w:rsidRPr="00AE1B1D">
        <w:rPr>
          <w:lang w:eastAsia="en-US"/>
        </w:rPr>
        <w:t xml:space="preserve"> (</w:t>
      </w:r>
      <w:r w:rsidRPr="00AE1B1D">
        <w:rPr>
          <w:i/>
          <w:lang w:eastAsia="en-US"/>
        </w:rPr>
        <w:t>n=</w:t>
      </w:r>
      <w:r w:rsidRPr="00AE1B1D">
        <w:rPr>
          <w:lang w:eastAsia="en-US"/>
        </w:rPr>
        <w:t xml:space="preserve">4) respectively, in free-antibiotic BM. Then, cells were incubated with the 96-well plate equivalent of 25, 50 and 100 </w:t>
      </w:r>
      <w:r w:rsidR="00FE6F1E" w:rsidRPr="00AE1B1D">
        <w:rPr>
          <w:rFonts w:ascii="Symbol" w:hAnsi="Symbol"/>
          <w:lang w:eastAsia="en-US"/>
        </w:rPr>
        <w:t></w:t>
      </w:r>
      <w:r w:rsidRPr="00AE1B1D">
        <w:rPr>
          <w:lang w:eastAsia="en-US"/>
        </w:rPr>
        <w:t>g of Coum</w:t>
      </w:r>
      <w:r w:rsidR="009D0F39" w:rsidRPr="00AE1B1D">
        <w:rPr>
          <w:lang w:eastAsia="en-US"/>
        </w:rPr>
        <w:t>arin</w:t>
      </w:r>
      <w:r w:rsidRPr="00AE1B1D">
        <w:rPr>
          <w:lang w:eastAsia="en-US"/>
        </w:rPr>
        <w:t xml:space="preserve">-6- nanocarriers per well. Nanocarriers were previously concentrated by centrifuging for 30 min in Amicon® ultra centrifugal units (3000 Da MWCO) at 16600 g. </w:t>
      </w:r>
      <w:r w:rsidRPr="00AE1B1D">
        <w:rPr>
          <w:lang w:eastAsia="en-US"/>
        </w:rPr>
        <w:lastRenderedPageBreak/>
        <w:t xml:space="preserve">After 4 h incubation, cells were washed twice with dPBS, trypsinized (500 </w:t>
      </w:r>
      <w:r w:rsidR="00FE6F1E" w:rsidRPr="00AE1B1D">
        <w:rPr>
          <w:rFonts w:ascii="Symbol" w:hAnsi="Symbol"/>
          <w:lang w:eastAsia="en-US"/>
        </w:rPr>
        <w:t></w:t>
      </w:r>
      <w:r w:rsidRPr="00AE1B1D">
        <w:rPr>
          <w:lang w:eastAsia="en-US"/>
        </w:rPr>
        <w:t xml:space="preserve">L, 5 min incubation at 37ºC), neutralized with equal volume of dPBS and collected by centrifugation at 500 g for 5 min. Then, the supernatant was aspirated and cells were suspended in 200 </w:t>
      </w:r>
      <w:r w:rsidR="00FE6F1E" w:rsidRPr="00AE1B1D">
        <w:rPr>
          <w:rFonts w:ascii="Symbol" w:hAnsi="Symbol"/>
          <w:lang w:eastAsia="en-US"/>
        </w:rPr>
        <w:t></w:t>
      </w:r>
      <w:r w:rsidRPr="00AE1B1D">
        <w:rPr>
          <w:lang w:eastAsia="en-US"/>
        </w:rPr>
        <w:t>L of dPBS prior to fluorescent intensity measurements.</w:t>
      </w:r>
    </w:p>
    <w:p w14:paraId="36955863" w14:textId="77777777" w:rsidR="008F1248" w:rsidRPr="00AE1B1D" w:rsidRDefault="008F1248" w:rsidP="008F1248">
      <w:pPr>
        <w:spacing w:after="240" w:line="480" w:lineRule="auto"/>
        <w:ind w:firstLine="284"/>
        <w:jc w:val="both"/>
        <w:rPr>
          <w:lang w:eastAsia="en-US"/>
        </w:rPr>
      </w:pPr>
      <w:r w:rsidRPr="00AE1B1D">
        <w:rPr>
          <w:i/>
          <w:lang w:eastAsia="en-US"/>
        </w:rPr>
        <w:t>Cytotoxicity and Cellular Proliferation Assays</w:t>
      </w:r>
      <w:r w:rsidRPr="00AE1B1D">
        <w:rPr>
          <w:lang w:eastAsia="en-US"/>
        </w:rPr>
        <w:t xml:space="preserve">: </w:t>
      </w:r>
      <w:r w:rsidR="002A0911" w:rsidRPr="00AE1B1D">
        <w:rPr>
          <w:lang w:eastAsia="en-US"/>
        </w:rPr>
        <w:t>Assessment of hASCs cell metabolism was performed by using the AlamarBlue</w:t>
      </w:r>
      <w:r w:rsidR="002A0911" w:rsidRPr="00AE1B1D">
        <w:rPr>
          <w:vertAlign w:val="superscript"/>
          <w:lang w:eastAsia="en-US"/>
        </w:rPr>
        <w:t>®</w:t>
      </w:r>
      <w:r w:rsidR="002A0911" w:rsidRPr="00AE1B1D">
        <w:rPr>
          <w:lang w:eastAsia="en-US"/>
        </w:rPr>
        <w:t xml:space="preserve"> Cell Viability assay. Briefly, hASCs were seeded at a density of 3.5 x 10</w:t>
      </w:r>
      <w:r w:rsidR="002A0911" w:rsidRPr="00AE1B1D">
        <w:rPr>
          <w:vertAlign w:val="superscript"/>
          <w:lang w:eastAsia="en-US"/>
        </w:rPr>
        <w:t>3</w:t>
      </w:r>
      <w:r w:rsidR="002A0911" w:rsidRPr="00AE1B1D">
        <w:rPr>
          <w:lang w:eastAsia="en-US"/>
        </w:rPr>
        <w:t xml:space="preserve"> cells well</w:t>
      </w:r>
      <w:r w:rsidR="002A0911" w:rsidRPr="00AE1B1D">
        <w:rPr>
          <w:vertAlign w:val="superscript"/>
          <w:lang w:eastAsia="en-US"/>
        </w:rPr>
        <w:t>-1</w:t>
      </w:r>
      <w:r w:rsidR="002A0911" w:rsidRPr="00AE1B1D">
        <w:rPr>
          <w:lang w:eastAsia="en-US"/>
        </w:rPr>
        <w:t xml:space="preserve"> (</w:t>
      </w:r>
      <w:r w:rsidR="002A0911" w:rsidRPr="00AE1B1D">
        <w:rPr>
          <w:i/>
          <w:lang w:eastAsia="en-US"/>
        </w:rPr>
        <w:t>n=</w:t>
      </w:r>
      <w:r w:rsidR="002A0911" w:rsidRPr="00AE1B1D">
        <w:rPr>
          <w:lang w:eastAsia="en-US"/>
        </w:rPr>
        <w:t xml:space="preserve">5) in a 96-well plate overnight in BM. Then, cells were incubated with BM containing free Naringin or Naringin-loaded micelles at a final drug concentration of 0 (K-, negative control), 5, 10, 20 and 50 </w:t>
      </w:r>
      <w:r w:rsidR="00FE6F1E" w:rsidRPr="00AE1B1D">
        <w:rPr>
          <w:rFonts w:ascii="Symbol" w:hAnsi="Symbol"/>
          <w:lang w:eastAsia="en-US"/>
        </w:rPr>
        <w:t></w:t>
      </w:r>
      <w:r w:rsidR="002A0911" w:rsidRPr="00AE1B1D">
        <w:rPr>
          <w:lang w:eastAsia="en-US"/>
        </w:rPr>
        <w:t>g mL</w:t>
      </w:r>
      <w:r w:rsidR="002A0911" w:rsidRPr="00AE1B1D">
        <w:rPr>
          <w:vertAlign w:val="superscript"/>
          <w:lang w:eastAsia="en-US"/>
        </w:rPr>
        <w:t>-1</w:t>
      </w:r>
      <w:r w:rsidR="002A0911" w:rsidRPr="00AE1B1D">
        <w:rPr>
          <w:lang w:eastAsia="en-US"/>
        </w:rPr>
        <w:t xml:space="preserve"> of Naringin. For blank and Naringin-loaded micelles cytotoxicity evaluation, nanocarriers were concentrated in BM and diluted according to the different tested concentrations. For blank micelles experiments, cells were incubated with BM containing nanocarrier dosages of 25, 50, 75, 100, 200 </w:t>
      </w:r>
      <w:r w:rsidR="00FE6F1E" w:rsidRPr="00AE1B1D">
        <w:rPr>
          <w:rFonts w:ascii="Symbol" w:hAnsi="Symbol"/>
          <w:lang w:eastAsia="en-US"/>
        </w:rPr>
        <w:t></w:t>
      </w:r>
      <w:r w:rsidR="002A0911" w:rsidRPr="00AE1B1D">
        <w:rPr>
          <w:lang w:eastAsia="en-US"/>
        </w:rPr>
        <w:t>g nanocarriers well</w:t>
      </w:r>
      <w:r w:rsidR="002A0911" w:rsidRPr="00AE1B1D">
        <w:rPr>
          <w:vertAlign w:val="superscript"/>
          <w:lang w:eastAsia="en-US"/>
        </w:rPr>
        <w:t>-1</w:t>
      </w:r>
      <w:r w:rsidR="002A0911" w:rsidRPr="00AE1B1D">
        <w:rPr>
          <w:lang w:eastAsia="en-US"/>
        </w:rPr>
        <w:t xml:space="preserve">. For these assays, and different Naringin concentrations of 0 (K-, control), 5, 10, 20 and 50 </w:t>
      </w:r>
      <w:r w:rsidR="00FE6F1E" w:rsidRPr="00AE1B1D">
        <w:rPr>
          <w:rFonts w:ascii="Symbol" w:hAnsi="Symbol"/>
          <w:lang w:eastAsia="en-US"/>
        </w:rPr>
        <w:t></w:t>
      </w:r>
      <w:r w:rsidR="002A0911" w:rsidRPr="00AE1B1D">
        <w:rPr>
          <w:lang w:eastAsia="en-US"/>
        </w:rPr>
        <w:t>g mL</w:t>
      </w:r>
      <w:r w:rsidR="002A0911" w:rsidRPr="00AE1B1D">
        <w:rPr>
          <w:vertAlign w:val="superscript"/>
          <w:lang w:eastAsia="en-US"/>
        </w:rPr>
        <w:t>-1</w:t>
      </w:r>
      <w:r w:rsidR="002A0911" w:rsidRPr="00AE1B1D">
        <w:rPr>
          <w:lang w:eastAsia="en-US"/>
        </w:rPr>
        <w:t xml:space="preserve"> were used. During the assays, all cells were incubated for 24, 48 and 72 h. After each timepoint, the medium was exchanged to BM containing AlamarBlue according to manufacturer’s instructions. Following an overnight incubation period, the media was then transferred to a black clear bottom 96-well plate for analysis. AlamarBlue fluorescence was detected at an excitation/emission of λ</w:t>
      </w:r>
      <w:r w:rsidR="002A0911" w:rsidRPr="00AE1B1D">
        <w:rPr>
          <w:vertAlign w:val="subscript"/>
          <w:lang w:eastAsia="en-US"/>
        </w:rPr>
        <w:t>ex</w:t>
      </w:r>
      <w:r w:rsidR="002A0911" w:rsidRPr="00AE1B1D">
        <w:rPr>
          <w:lang w:eastAsia="en-US"/>
        </w:rPr>
        <w:t xml:space="preserve"> = 540 nm/ λ</w:t>
      </w:r>
      <w:r w:rsidR="002A0911" w:rsidRPr="00AE1B1D">
        <w:rPr>
          <w:vertAlign w:val="subscript"/>
          <w:lang w:eastAsia="en-US"/>
        </w:rPr>
        <w:t>em</w:t>
      </w:r>
      <w:r w:rsidR="002A0911" w:rsidRPr="00AE1B1D">
        <w:rPr>
          <w:lang w:eastAsia="en-US"/>
        </w:rPr>
        <w:t xml:space="preserve"> = 600 nm by using a multi-mode microplate reader. All conditions were normalized to the control group (BM) set at 100 % viability.</w:t>
      </w:r>
      <w:r w:rsidR="00F44E37" w:rsidRPr="00AE1B1D">
        <w:rPr>
          <w:lang w:eastAsia="en-US"/>
        </w:rPr>
        <w:t xml:space="preserve"> Then, s</w:t>
      </w:r>
      <w:r w:rsidRPr="00AE1B1D">
        <w:rPr>
          <w:lang w:eastAsia="en-US"/>
        </w:rPr>
        <w:t xml:space="preserve">amples from the previous cytotoxicity assays </w:t>
      </w:r>
      <w:r w:rsidR="00F44E37" w:rsidRPr="00AE1B1D">
        <w:rPr>
          <w:lang w:eastAsia="en-US"/>
        </w:rPr>
        <w:t xml:space="preserve">(regarding free drug groups) </w:t>
      </w:r>
      <w:r w:rsidRPr="00AE1B1D">
        <w:rPr>
          <w:lang w:eastAsia="en-US"/>
        </w:rPr>
        <w:t xml:space="preserve">were rinsed with dPBS, incubated with 200 </w:t>
      </w:r>
      <w:r w:rsidR="00FE6F1E" w:rsidRPr="00AE1B1D">
        <w:rPr>
          <w:rFonts w:ascii="Symbol" w:hAnsi="Symbol"/>
          <w:lang w:eastAsia="en-US"/>
        </w:rPr>
        <w:t></w:t>
      </w:r>
      <w:r w:rsidRPr="00AE1B1D">
        <w:rPr>
          <w:lang w:eastAsia="en-US"/>
        </w:rPr>
        <w:t xml:space="preserve">L of 2 % Triton X-100 in deionized water and sonicated for 7 min before plates were frozen at -20 ºC. This freeze-thaw cycle was repeated one more time before determining lysates dsDNA content with the PicoGreen kit according to the manufacturer’s instructions. Cell dsDNA content was then determined after incubation for </w:t>
      </w:r>
      <w:r w:rsidRPr="00AE1B1D">
        <w:rPr>
          <w:lang w:eastAsia="en-US"/>
        </w:rPr>
        <w:lastRenderedPageBreak/>
        <w:t>5 min in the dark at RT. The samples were excited at λ = 485 nm and fluorescence intensity was measured at λ = 520 nm in a microplate reader.</w:t>
      </w:r>
    </w:p>
    <w:p w14:paraId="1A6CAA34" w14:textId="13FC3A33" w:rsidR="00F44E37" w:rsidRPr="00AE1B1D" w:rsidRDefault="00F44E37" w:rsidP="00F44E37">
      <w:pPr>
        <w:spacing w:after="240" w:line="480" w:lineRule="auto"/>
        <w:ind w:firstLine="284"/>
        <w:jc w:val="both"/>
        <w:rPr>
          <w:lang w:eastAsia="en-US"/>
        </w:rPr>
      </w:pPr>
      <w:r w:rsidRPr="00AE1B1D">
        <w:rPr>
          <w:i/>
          <w:lang w:eastAsia="en-US"/>
        </w:rPr>
        <w:t xml:space="preserve">ALP Activity Measurement Assays: </w:t>
      </w:r>
      <w:r w:rsidRPr="00AE1B1D">
        <w:rPr>
          <w:lang w:eastAsia="en-US"/>
        </w:rPr>
        <w:t>The ability of Naringin to induce osteogenic differentiation of hASCs was evaluated in OS-Dex or rOS. hASCs were seeded overnight in a 48-well plate at a density of 3.5 x 10</w:t>
      </w:r>
      <w:r w:rsidRPr="00AE1B1D">
        <w:rPr>
          <w:vertAlign w:val="superscript"/>
          <w:lang w:eastAsia="en-US"/>
        </w:rPr>
        <w:t>3</w:t>
      </w:r>
      <w:r w:rsidRPr="00AE1B1D">
        <w:rPr>
          <w:lang w:eastAsia="en-US"/>
        </w:rPr>
        <w:t xml:space="preserve"> cells well</w:t>
      </w:r>
      <w:r w:rsidRPr="00AE1B1D">
        <w:rPr>
          <w:vertAlign w:val="superscript"/>
          <w:lang w:eastAsia="en-US"/>
        </w:rPr>
        <w:t>-1</w:t>
      </w:r>
      <w:r w:rsidRPr="00AE1B1D">
        <w:rPr>
          <w:lang w:eastAsia="en-US"/>
        </w:rPr>
        <w:t xml:space="preserve"> (</w:t>
      </w:r>
      <w:r w:rsidRPr="00AE1B1D">
        <w:rPr>
          <w:i/>
          <w:lang w:eastAsia="en-US"/>
        </w:rPr>
        <w:t>n</w:t>
      </w:r>
      <w:r w:rsidRPr="00AE1B1D">
        <w:rPr>
          <w:lang w:eastAsia="en-US"/>
        </w:rPr>
        <w:t>=</w:t>
      </w:r>
      <w:r w:rsidR="005A477B" w:rsidRPr="00AE1B1D">
        <w:rPr>
          <w:lang w:eastAsia="en-US"/>
        </w:rPr>
        <w:t>4</w:t>
      </w:r>
      <w:r w:rsidRPr="00AE1B1D">
        <w:rPr>
          <w:lang w:eastAsia="en-US"/>
        </w:rPr>
        <w:t xml:space="preserve">) in BM. Then, medium was replaced with BM and OS-Dex containing free Naringin or Naringin-loaded polymeric nanomicelles at a concentration of 0 (control), 5, 10, 20 and 50 </w:t>
      </w:r>
      <w:r w:rsidR="00FE6F1E" w:rsidRPr="00AE1B1D">
        <w:rPr>
          <w:rFonts w:ascii="Symbol" w:hAnsi="Symbol"/>
          <w:lang w:eastAsia="en-US"/>
        </w:rPr>
        <w:t></w:t>
      </w:r>
      <w:r w:rsidRPr="00AE1B1D">
        <w:rPr>
          <w:lang w:eastAsia="en-US"/>
        </w:rPr>
        <w:t>g mL</w:t>
      </w:r>
      <w:r w:rsidRPr="00AE1B1D">
        <w:rPr>
          <w:vertAlign w:val="superscript"/>
          <w:lang w:eastAsia="en-US"/>
        </w:rPr>
        <w:t>-1</w:t>
      </w:r>
      <w:r w:rsidRPr="00AE1B1D">
        <w:rPr>
          <w:lang w:eastAsia="en-US"/>
        </w:rPr>
        <w:t xml:space="preserve"> of Naringin, accordingly. All cells were incubated for 3, 7, 14 and 21 days and the respective differentiation medium was exchanged every 3 to 4 days. After each time point, cells were washed twice with dPBS and incubated with 300 </w:t>
      </w:r>
      <w:r w:rsidR="00FE6F1E" w:rsidRPr="00AE1B1D">
        <w:rPr>
          <w:rFonts w:ascii="Symbol" w:hAnsi="Symbol"/>
          <w:lang w:eastAsia="en-US"/>
        </w:rPr>
        <w:t></w:t>
      </w:r>
      <w:r w:rsidRPr="00AE1B1D">
        <w:rPr>
          <w:lang w:eastAsia="en-US"/>
        </w:rPr>
        <w:t xml:space="preserve">L of 2 % Triton X-100 solution in an ultrasound bath for 7 min (37 Hz, sweep field, 60% potency) before being frozen at -20 ºC. This freeze-thaw cycle was repeated one more time before determining ALP activity in the lysates by using 4NPhP ALP-mediated hydrolysis to quantify 4NPh release. For this quantification, 25 </w:t>
      </w:r>
      <w:r w:rsidR="00FE6F1E" w:rsidRPr="00AE1B1D">
        <w:rPr>
          <w:rFonts w:ascii="Symbol" w:hAnsi="Symbol"/>
          <w:lang w:eastAsia="en-US"/>
        </w:rPr>
        <w:t></w:t>
      </w:r>
      <w:r w:rsidRPr="00AE1B1D">
        <w:rPr>
          <w:lang w:eastAsia="en-US"/>
        </w:rPr>
        <w:t xml:space="preserve">L of each lysate sample were added to 75 </w:t>
      </w:r>
      <w:r w:rsidR="00FE6F1E" w:rsidRPr="00AE1B1D">
        <w:rPr>
          <w:rFonts w:ascii="Symbol" w:hAnsi="Symbol"/>
          <w:lang w:eastAsia="en-US"/>
        </w:rPr>
        <w:t></w:t>
      </w:r>
      <w:r w:rsidRPr="00AE1B1D">
        <w:rPr>
          <w:lang w:eastAsia="en-US"/>
        </w:rPr>
        <w:t>L of a freshly prepared 4NPhP solution (2 mg mL</w:t>
      </w:r>
      <w:r w:rsidRPr="00AE1B1D">
        <w:rPr>
          <w:vertAlign w:val="superscript"/>
          <w:lang w:eastAsia="en-US"/>
        </w:rPr>
        <w:t>-1</w:t>
      </w:r>
      <w:r w:rsidRPr="00AE1B1D">
        <w:rPr>
          <w:lang w:eastAsia="en-US"/>
        </w:rPr>
        <w:t>) in 1 M diethanolamine (DEA) buffer (pH 9.8, with 0.5 mM MgCl</w:t>
      </w:r>
      <w:r w:rsidRPr="00AE1B1D">
        <w:rPr>
          <w:vertAlign w:val="subscript"/>
          <w:lang w:eastAsia="en-US"/>
        </w:rPr>
        <w:t>2</w:t>
      </w:r>
      <w:r w:rsidRPr="00AE1B1D">
        <w:rPr>
          <w:lang w:eastAsia="en-US"/>
        </w:rPr>
        <w:t xml:space="preserve">). The samples were incubated in the dark at 37ºC for 1 h. Enzyme activity was then quantified by UV-VIS analysis at λ = 405 nm. A standard curve of 4NPh was used as reference (0, 15 30, 50, 75, 95 </w:t>
      </w:r>
      <w:r w:rsidR="00FE6F1E" w:rsidRPr="00AE1B1D">
        <w:rPr>
          <w:rFonts w:ascii="Symbol" w:hAnsi="Symbol"/>
          <w:lang w:eastAsia="en-US"/>
        </w:rPr>
        <w:t></w:t>
      </w:r>
      <w:r w:rsidRPr="00AE1B1D">
        <w:rPr>
          <w:lang w:eastAsia="en-US"/>
        </w:rPr>
        <w:t>M in DEA buffer). ALP activity was normalized according to the total DNA content in cell lysate determined by a PicoGreen</w:t>
      </w:r>
      <w:r w:rsidRPr="00AE1B1D">
        <w:rPr>
          <w:vertAlign w:val="superscript"/>
          <w:lang w:eastAsia="en-US"/>
        </w:rPr>
        <w:t>®</w:t>
      </w:r>
      <w:r w:rsidRPr="00AE1B1D">
        <w:rPr>
          <w:lang w:eastAsia="en-US"/>
        </w:rPr>
        <w:t xml:space="preserve"> DNA Quantification kit according to the aforementioned protocol, and ALP was expressed as nanomole of p-nitrophenol pg DNA</w:t>
      </w:r>
      <w:r w:rsidRPr="00AE1B1D">
        <w:rPr>
          <w:vertAlign w:val="superscript"/>
          <w:lang w:eastAsia="en-US"/>
        </w:rPr>
        <w:t>-1</w:t>
      </w:r>
      <w:r w:rsidRPr="00AE1B1D">
        <w:rPr>
          <w:lang w:eastAsia="en-US"/>
        </w:rPr>
        <w:t>.</w:t>
      </w:r>
    </w:p>
    <w:p w14:paraId="55CA575E" w14:textId="77777777" w:rsidR="001F21DB" w:rsidRPr="00AE1B1D" w:rsidRDefault="001F21DB" w:rsidP="001F21DB">
      <w:pPr>
        <w:spacing w:after="240" w:line="480" w:lineRule="auto"/>
        <w:ind w:firstLine="284"/>
        <w:jc w:val="both"/>
        <w:rPr>
          <w:lang w:eastAsia="en-US"/>
        </w:rPr>
      </w:pPr>
      <w:r w:rsidRPr="00AE1B1D">
        <w:rPr>
          <w:i/>
          <w:lang w:eastAsia="en-US"/>
        </w:rPr>
        <w:t>ALP Staining:</w:t>
      </w:r>
      <w:r w:rsidRPr="00AE1B1D">
        <w:rPr>
          <w:lang w:eastAsia="en-US"/>
        </w:rPr>
        <w:t xml:space="preserve"> To visualize the ALP activity in the cell monolayer, cells were stained with 1-Step™ NBT/BCIP Substrate Solution. Briefly, hASCs were seeded overnight in 48-well plates at a density of 3.5 x 10</w:t>
      </w:r>
      <w:r w:rsidRPr="00AE1B1D">
        <w:rPr>
          <w:vertAlign w:val="superscript"/>
          <w:lang w:eastAsia="en-US"/>
        </w:rPr>
        <w:t>3</w:t>
      </w:r>
      <w:r w:rsidRPr="00AE1B1D">
        <w:rPr>
          <w:lang w:eastAsia="en-US"/>
        </w:rPr>
        <w:t xml:space="preserve"> cells well</w:t>
      </w:r>
      <w:r w:rsidRPr="00AE1B1D">
        <w:rPr>
          <w:vertAlign w:val="superscript"/>
          <w:lang w:eastAsia="en-US"/>
        </w:rPr>
        <w:t>-1</w:t>
      </w:r>
      <w:r w:rsidRPr="00AE1B1D">
        <w:rPr>
          <w:lang w:eastAsia="en-US"/>
        </w:rPr>
        <w:t xml:space="preserve"> (</w:t>
      </w:r>
      <w:r w:rsidRPr="00AE1B1D">
        <w:rPr>
          <w:i/>
          <w:lang w:eastAsia="en-US"/>
        </w:rPr>
        <w:t>n=</w:t>
      </w:r>
      <w:r w:rsidRPr="00AE1B1D">
        <w:rPr>
          <w:lang w:eastAsia="en-US"/>
        </w:rPr>
        <w:t xml:space="preserve">3) in BM. Then, cells were treated with BM and OS-Dex containing free Naringin or Naringin-loaded polymeric nanomicelles at a concentration of 0 (K-, control), 5, 10, 20 and 50 </w:t>
      </w:r>
      <w:r w:rsidR="00FE6F1E" w:rsidRPr="00AE1B1D">
        <w:rPr>
          <w:rFonts w:ascii="Symbol" w:hAnsi="Symbol"/>
          <w:lang w:eastAsia="en-US"/>
        </w:rPr>
        <w:t></w:t>
      </w:r>
      <w:r w:rsidRPr="00AE1B1D">
        <w:rPr>
          <w:lang w:eastAsia="en-US"/>
        </w:rPr>
        <w:t>g mL</w:t>
      </w:r>
      <w:r w:rsidRPr="00AE1B1D">
        <w:rPr>
          <w:vertAlign w:val="superscript"/>
          <w:lang w:eastAsia="en-US"/>
        </w:rPr>
        <w:t>-1</w:t>
      </w:r>
      <w:r w:rsidRPr="00AE1B1D">
        <w:rPr>
          <w:lang w:eastAsia="en-US"/>
        </w:rPr>
        <w:t xml:space="preserve"> of Naringin. Cells were incubated for </w:t>
      </w:r>
      <w:r w:rsidRPr="00AE1B1D">
        <w:rPr>
          <w:lang w:eastAsia="en-US"/>
        </w:rPr>
        <w:lastRenderedPageBreak/>
        <w:t xml:space="preserve">14 days and differentiation medium was exchanged every 3 to 4 days. After each timepoint, cells were fixed as aforementioned and rinsed in dPBS before adding 200 </w:t>
      </w:r>
      <w:r w:rsidR="00FE6F1E" w:rsidRPr="00AE1B1D">
        <w:rPr>
          <w:rFonts w:ascii="Symbol" w:hAnsi="Symbol"/>
          <w:lang w:eastAsia="en-US"/>
        </w:rPr>
        <w:t></w:t>
      </w:r>
      <w:r w:rsidRPr="00AE1B1D">
        <w:rPr>
          <w:lang w:eastAsia="en-US"/>
        </w:rPr>
        <w:t>L of NBT/BCIP and incubating for 1 h at 37 ºC. Stained cells were imaged with a Stemi 508 Stereo Microscope (Zeiss, Taper, Sintra, Portugal).</w:t>
      </w:r>
    </w:p>
    <w:p w14:paraId="4E86A01E" w14:textId="77777777" w:rsidR="001F21DB" w:rsidRPr="00AE1B1D" w:rsidRDefault="001F21DB" w:rsidP="001F21DB">
      <w:pPr>
        <w:spacing w:after="240" w:line="480" w:lineRule="auto"/>
        <w:ind w:firstLine="284"/>
        <w:jc w:val="both"/>
        <w:rPr>
          <w:lang w:eastAsia="en-US"/>
        </w:rPr>
      </w:pPr>
      <w:r w:rsidRPr="00AE1B1D">
        <w:rPr>
          <w:i/>
          <w:lang w:eastAsia="en-US"/>
        </w:rPr>
        <w:t>ELISA Immunoassay Quantification of BMP-2 Secretion:</w:t>
      </w:r>
      <w:r w:rsidRPr="00AE1B1D">
        <w:rPr>
          <w:lang w:eastAsia="en-US"/>
        </w:rPr>
        <w:t xml:space="preserve"> BMP-2 secretion from hASCs was determined via ELISA kit for human BMP-2 according to the manufacturer’s instructions. For this assay, culture medium from the ALP activity experiments with OS-Dex at 14 and 21 days was collected and frozen at -20ºC. Then, BMP-2 levels were quantified by UV-VIS analysis at λ = 450 nm with the absorbance measured at λ = 550 nm serving as correction factor by using a microplate reader. BMP-2 levels were expressed in pg mL</w:t>
      </w:r>
      <w:r w:rsidRPr="00AE1B1D">
        <w:rPr>
          <w:vertAlign w:val="superscript"/>
          <w:lang w:eastAsia="en-US"/>
        </w:rPr>
        <w:t>-1</w:t>
      </w:r>
      <w:r w:rsidRPr="00AE1B1D">
        <w:rPr>
          <w:lang w:eastAsia="en-US"/>
        </w:rPr>
        <w:t xml:space="preserve"> of BMP-2 normalized to dsDNA content.</w:t>
      </w:r>
    </w:p>
    <w:p w14:paraId="1DB9791D" w14:textId="4E517FA8" w:rsidR="001F21DB" w:rsidRPr="00AE1B1D" w:rsidRDefault="001F21DB" w:rsidP="001F21DB">
      <w:pPr>
        <w:spacing w:after="240" w:line="480" w:lineRule="auto"/>
        <w:ind w:firstLine="284"/>
        <w:jc w:val="both"/>
        <w:rPr>
          <w:lang w:eastAsia="en-US"/>
        </w:rPr>
      </w:pPr>
      <w:r w:rsidRPr="00AE1B1D">
        <w:rPr>
          <w:i/>
          <w:lang w:eastAsia="en-US"/>
        </w:rPr>
        <w:t>Osteopontin Immunostaining:</w:t>
      </w:r>
      <w:r w:rsidRPr="00AE1B1D">
        <w:rPr>
          <w:lang w:eastAsia="en-US"/>
        </w:rPr>
        <w:t xml:space="preserve"> Osteopontin (OPN) expression was visualized via fluorescence imaging of the extracellular layer formed during </w:t>
      </w:r>
      <w:r w:rsidRPr="00AE1B1D">
        <w:rPr>
          <w:i/>
          <w:lang w:eastAsia="en-US"/>
        </w:rPr>
        <w:t>in vitro</w:t>
      </w:r>
      <w:r w:rsidRPr="00AE1B1D">
        <w:rPr>
          <w:lang w:eastAsia="en-US"/>
        </w:rPr>
        <w:t xml:space="preserve"> culture. Initially, hASCs were seeded in TCPS coverslips overnight at a density of 3.5 x 10</w:t>
      </w:r>
      <w:r w:rsidRPr="00AE1B1D">
        <w:rPr>
          <w:vertAlign w:val="superscript"/>
          <w:lang w:eastAsia="en-US"/>
        </w:rPr>
        <w:t>3</w:t>
      </w:r>
      <w:r w:rsidRPr="00AE1B1D">
        <w:rPr>
          <w:lang w:eastAsia="en-US"/>
        </w:rPr>
        <w:t xml:space="preserve"> cells</w:t>
      </w:r>
      <w:r w:rsidR="00F75B38" w:rsidRPr="00AE1B1D">
        <w:rPr>
          <w:lang w:eastAsia="en-US"/>
        </w:rPr>
        <w:t xml:space="preserve"> </w:t>
      </w:r>
      <w:r w:rsidRPr="00AE1B1D">
        <w:rPr>
          <w:lang w:eastAsia="en-US"/>
        </w:rPr>
        <w:t>well</w:t>
      </w:r>
      <w:r w:rsidR="00F75B38" w:rsidRPr="00AE1B1D">
        <w:rPr>
          <w:vertAlign w:val="superscript"/>
          <w:lang w:eastAsia="en-US"/>
        </w:rPr>
        <w:t>-1</w:t>
      </w:r>
      <w:r w:rsidRPr="00AE1B1D">
        <w:rPr>
          <w:lang w:eastAsia="en-US"/>
        </w:rPr>
        <w:t xml:space="preserve"> in BM. After, cells were treated with BM and OS-Dex containing free Naringin or Naringin-loaded polymeric nanomicelles at different concentrations. Cells were incubated for 14 days and differentiation medium was exchanged every 3 to 4 days. After each timepoint, cells were fixed as aforementioned and rinsed in dPBS. For immunostaining, cells were first incubated with 0.5 % Triton-X100 in dPBS for 5 min, at RT. Afterwards, cells were rinsed in dPBS and incubated with a 5 % FBS/dPBS blocking solution for 45 min, at RT. Then, cells were washed in dPBS and incubated with 20 </w:t>
      </w:r>
      <w:r w:rsidR="00FE6F1E" w:rsidRPr="00AE1B1D">
        <w:rPr>
          <w:rFonts w:ascii="Symbol" w:hAnsi="Symbol"/>
          <w:lang w:eastAsia="en-US"/>
        </w:rPr>
        <w:t></w:t>
      </w:r>
      <w:r w:rsidRPr="00AE1B1D">
        <w:rPr>
          <w:lang w:eastAsia="en-US"/>
        </w:rPr>
        <w:t xml:space="preserve">L of a mouse anti-human OPN antibody solution (dilution 1:100 in 5% FBS/dPBS; Biolegend, Taper, Sintra, Portugal) overnight at 4°C, in the dark. Cells were then washed with dPBS and incubated with 20 </w:t>
      </w:r>
      <w:r w:rsidR="00FE6F1E" w:rsidRPr="00AE1B1D">
        <w:rPr>
          <w:rFonts w:ascii="Symbol" w:hAnsi="Symbol"/>
          <w:lang w:eastAsia="en-US"/>
        </w:rPr>
        <w:t></w:t>
      </w:r>
      <w:r w:rsidRPr="00AE1B1D">
        <w:rPr>
          <w:lang w:eastAsia="en-US"/>
        </w:rPr>
        <w:t xml:space="preserve">L of an anti-mouse Alexa Fluor 647 conjugate dye solution (dilution 1:100 in 5 % FBS/dPBS) for 1 h, at RT, in the dark. Finally, cells were rinsed three times in dPBS before incubating for 5 min with 20 </w:t>
      </w:r>
      <w:r w:rsidR="00FE6F1E" w:rsidRPr="00AE1B1D">
        <w:rPr>
          <w:rFonts w:ascii="Symbol" w:hAnsi="Symbol"/>
          <w:lang w:eastAsia="en-US"/>
        </w:rPr>
        <w:t></w:t>
      </w:r>
      <w:r w:rsidRPr="00AE1B1D">
        <w:rPr>
          <w:lang w:eastAsia="en-US"/>
        </w:rPr>
        <w:t xml:space="preserve">L of a DAPI solution for nuclei </w:t>
      </w:r>
      <w:r w:rsidRPr="00AE1B1D">
        <w:rPr>
          <w:lang w:eastAsia="en-US"/>
        </w:rPr>
        <w:lastRenderedPageBreak/>
        <w:t>staining (dilution 1:500, original aliquot at 5 mg</w:t>
      </w:r>
      <w:r w:rsidR="00F75B38" w:rsidRPr="00AE1B1D">
        <w:rPr>
          <w:lang w:eastAsia="en-US"/>
        </w:rPr>
        <w:t xml:space="preserve"> </w:t>
      </w:r>
      <w:r w:rsidRPr="00AE1B1D">
        <w:rPr>
          <w:lang w:eastAsia="en-US"/>
        </w:rPr>
        <w:t>mL</w:t>
      </w:r>
      <w:r w:rsidR="00F75B38" w:rsidRPr="00AE1B1D">
        <w:rPr>
          <w:vertAlign w:val="superscript"/>
          <w:lang w:eastAsia="en-US"/>
        </w:rPr>
        <w:t>-1</w:t>
      </w:r>
      <w:r w:rsidRPr="00AE1B1D">
        <w:rPr>
          <w:lang w:eastAsia="en-US"/>
        </w:rPr>
        <w:t xml:space="preserve"> in H</w:t>
      </w:r>
      <w:r w:rsidRPr="00AE1B1D">
        <w:rPr>
          <w:vertAlign w:val="subscript"/>
          <w:lang w:eastAsia="en-US"/>
        </w:rPr>
        <w:t>2</w:t>
      </w:r>
      <w:r w:rsidRPr="00AE1B1D">
        <w:rPr>
          <w:lang w:eastAsia="en-US"/>
        </w:rPr>
        <w:t xml:space="preserve">O), in the dark, at RT. Cells fluorescence microscopy analysis was performed in a Axio Imager M2 widefield microscope (Carl Zeiss Microscopy GmbH). Image processing was performed by using ZEN v2.3 blue edition. For OPN quantification, </w:t>
      </w:r>
      <w:r w:rsidR="005A477B" w:rsidRPr="00AE1B1D">
        <w:rPr>
          <w:lang w:eastAsia="en-US"/>
        </w:rPr>
        <w:t>6</w:t>
      </w:r>
      <w:r w:rsidRPr="00AE1B1D">
        <w:rPr>
          <w:lang w:eastAsia="en-US"/>
        </w:rPr>
        <w:t xml:space="preserve"> random coverslip regions were imaged by using the 10x/0.25 NA Plan-Achromat objective.</w:t>
      </w:r>
    </w:p>
    <w:p w14:paraId="6F681BAF" w14:textId="77777777" w:rsidR="00F75B38" w:rsidRPr="00AE1B1D" w:rsidRDefault="00F75B38" w:rsidP="00F75B38">
      <w:pPr>
        <w:spacing w:after="240" w:line="480" w:lineRule="auto"/>
        <w:ind w:firstLine="284"/>
        <w:jc w:val="both"/>
        <w:rPr>
          <w:lang w:eastAsia="en-US"/>
        </w:rPr>
      </w:pPr>
      <w:r w:rsidRPr="00AE1B1D">
        <w:rPr>
          <w:i/>
        </w:rPr>
        <w:t xml:space="preserve">Alizarin </w:t>
      </w:r>
      <w:r w:rsidRPr="00AE1B1D">
        <w:rPr>
          <w:i/>
          <w:lang w:eastAsia="en-US"/>
        </w:rPr>
        <w:t>Red S Mineralization Assay:</w:t>
      </w:r>
      <w:r w:rsidRPr="00AE1B1D">
        <w:t xml:space="preserve"> In order to detect mineral accumulation in osteogenic cells, staining with Alizarin Red S dye was performed. For Alizarin Red S staining, hASCs were seeded overnight in 48-well TCPS coverslips at a density of 3.5 x 10</w:t>
      </w:r>
      <w:r w:rsidRPr="00AE1B1D">
        <w:rPr>
          <w:vertAlign w:val="superscript"/>
        </w:rPr>
        <w:t>3</w:t>
      </w:r>
      <w:r w:rsidRPr="00AE1B1D">
        <w:t xml:space="preserve"> cells well</w:t>
      </w:r>
      <w:r w:rsidRPr="00AE1B1D">
        <w:rPr>
          <w:vertAlign w:val="superscript"/>
        </w:rPr>
        <w:t>-1</w:t>
      </w:r>
      <w:r w:rsidRPr="00AE1B1D">
        <w:t xml:space="preserve"> (</w:t>
      </w:r>
      <w:r w:rsidRPr="00AE1B1D">
        <w:rPr>
          <w:i/>
        </w:rPr>
        <w:t>n</w:t>
      </w:r>
      <w:r w:rsidRPr="00AE1B1D">
        <w:t xml:space="preserve">=3) in BM. Cells were treated with BM and OS-Dex containing free Naringin or Naringin-loaded polymeric nanomicelles at different concentrations. Cells were incubated for 21 days and </w:t>
      </w:r>
      <w:r w:rsidRPr="00AE1B1D">
        <w:rPr>
          <w:lang w:eastAsia="en-US"/>
        </w:rPr>
        <w:t xml:space="preserve">differentiation medium was exchanged every 3 to 4 days. Afterwards, </w:t>
      </w:r>
      <w:r w:rsidRPr="00AE1B1D">
        <w:t xml:space="preserve">cells were fixed and washed as aforementioned, before incubation with 300 </w:t>
      </w:r>
      <w:r w:rsidR="00FE6F1E" w:rsidRPr="00AE1B1D">
        <w:rPr>
          <w:rFonts w:ascii="Symbol" w:hAnsi="Symbol"/>
        </w:rPr>
        <w:t></w:t>
      </w:r>
      <w:r w:rsidRPr="00AE1B1D">
        <w:t xml:space="preserve">L of Alizarin Red S (40 mM, pH = 4.2), for 1 h in the dark at RT. After incubation, the staining solution was removed and cells were rinsed three times with deionized water. Stained monolayers </w:t>
      </w:r>
      <w:r w:rsidRPr="00AE1B1D">
        <w:rPr>
          <w:lang w:eastAsia="en-US"/>
        </w:rPr>
        <w:t>were imaged with a Stemi 508 Stereo Microscope.</w:t>
      </w:r>
    </w:p>
    <w:p w14:paraId="07FAF3BA" w14:textId="3720CC87" w:rsidR="003C0D59" w:rsidRPr="00AE1B1D" w:rsidRDefault="00C90E56" w:rsidP="003C0D59">
      <w:pPr>
        <w:pStyle w:val="ExperimentalText"/>
        <w:spacing w:after="240"/>
        <w:ind w:firstLine="284"/>
        <w:jc w:val="both"/>
      </w:pPr>
      <w:r w:rsidRPr="00AE1B1D">
        <w:rPr>
          <w:i/>
          <w:lang w:eastAsia="en-US"/>
        </w:rPr>
        <w:t>Statistical Analysis:</w:t>
      </w:r>
      <w:r w:rsidRPr="00AE1B1D">
        <w:rPr>
          <w:lang w:eastAsia="en-US"/>
        </w:rPr>
        <w:t xml:space="preserve"> The data obtained is expressed as the mean ± standard deviation (</w:t>
      </w:r>
      <w:proofErr w:type="spellStart"/>
      <w:r w:rsidRPr="00AE1B1D">
        <w:rPr>
          <w:lang w:eastAsia="en-US"/>
        </w:rPr>
        <w:t>s.d.</w:t>
      </w:r>
      <w:proofErr w:type="spellEnd"/>
      <w:r w:rsidRPr="00AE1B1D">
        <w:rPr>
          <w:lang w:eastAsia="en-US"/>
        </w:rPr>
        <w:t>). One-way ANOVA was used to determine the significant differences among groups, followed by a Newman-</w:t>
      </w:r>
      <w:proofErr w:type="spellStart"/>
      <w:r w:rsidRPr="00AE1B1D">
        <w:rPr>
          <w:lang w:eastAsia="en-US"/>
        </w:rPr>
        <w:t>Keuls</w:t>
      </w:r>
      <w:proofErr w:type="spellEnd"/>
      <w:r w:rsidRPr="00AE1B1D">
        <w:rPr>
          <w:lang w:eastAsia="en-US"/>
        </w:rPr>
        <w:t xml:space="preserve"> multiple comparison </w:t>
      </w:r>
      <w:r w:rsidR="00282668" w:rsidRPr="00AE1B1D">
        <w:rPr>
          <w:shd w:val="clear" w:color="auto" w:fill="FFFFFF"/>
        </w:rPr>
        <w:t xml:space="preserve">post-hoc test </w:t>
      </w:r>
      <w:r w:rsidRPr="00AE1B1D">
        <w:rPr>
          <w:lang w:eastAsia="en-US"/>
        </w:rPr>
        <w:t>for pairwise comparison. Two-way ANOVA was used for statistical analysis between two groups, where</w:t>
      </w:r>
      <w:r w:rsidR="00282668" w:rsidRPr="00AE1B1D">
        <w:rPr>
          <w:lang w:eastAsia="en-US"/>
        </w:rPr>
        <w:t xml:space="preserve"> p</w:t>
      </w:r>
      <w:r w:rsidRPr="00AE1B1D">
        <w:rPr>
          <w:lang w:eastAsia="en-US"/>
        </w:rPr>
        <w:t xml:space="preserve"> &lt; 0.05 was </w:t>
      </w:r>
      <w:r w:rsidR="00282668" w:rsidRPr="00AE1B1D">
        <w:rPr>
          <w:lang w:eastAsia="en-US"/>
        </w:rPr>
        <w:t>considered</w:t>
      </w:r>
      <w:r w:rsidRPr="00AE1B1D">
        <w:rPr>
          <w:lang w:eastAsia="en-US"/>
        </w:rPr>
        <w:t xml:space="preserve"> significan</w:t>
      </w:r>
      <w:r w:rsidR="00282668" w:rsidRPr="00AE1B1D">
        <w:rPr>
          <w:lang w:eastAsia="en-US"/>
        </w:rPr>
        <w:t>t</w:t>
      </w:r>
      <w:r w:rsidRPr="00AE1B1D">
        <w:rPr>
          <w:lang w:eastAsia="en-US"/>
        </w:rPr>
        <w:t>.</w:t>
      </w:r>
      <w:r w:rsidR="00282668" w:rsidRPr="00AE1B1D">
        <w:rPr>
          <w:lang w:eastAsia="en-US"/>
        </w:rPr>
        <w:t xml:space="preserve"> Significant differences were analyzed by GraphPad Prism version 6.01.</w:t>
      </w:r>
    </w:p>
    <w:p w14:paraId="4164D075" w14:textId="77777777" w:rsidR="006267B9" w:rsidRPr="00AE1B1D" w:rsidRDefault="006267B9" w:rsidP="006267B9">
      <w:pPr>
        <w:pStyle w:val="Acknowledgements"/>
        <w:spacing w:line="480" w:lineRule="auto"/>
        <w:rPr>
          <w:i/>
        </w:rPr>
      </w:pPr>
      <w:r w:rsidRPr="00AE1B1D">
        <w:rPr>
          <w:b/>
        </w:rPr>
        <w:t>Supporting Information</w:t>
      </w:r>
    </w:p>
    <w:p w14:paraId="539DE096" w14:textId="77777777" w:rsidR="006267B9" w:rsidRPr="00AE1B1D" w:rsidRDefault="006267B9" w:rsidP="006267B9">
      <w:pPr>
        <w:pStyle w:val="Acknowledgements"/>
        <w:spacing w:after="240" w:line="480" w:lineRule="auto"/>
        <w:jc w:val="both"/>
      </w:pPr>
      <w:r w:rsidRPr="00AE1B1D">
        <w:t>Supporting Information is available from the Wiley Online Library or from the author.</w:t>
      </w:r>
    </w:p>
    <w:p w14:paraId="6ABDAA4A" w14:textId="77777777" w:rsidR="006267B9" w:rsidRPr="00AE1B1D" w:rsidRDefault="006267B9" w:rsidP="006267B9">
      <w:pPr>
        <w:pStyle w:val="Acknowledgements"/>
        <w:spacing w:line="480" w:lineRule="auto"/>
        <w:rPr>
          <w:i/>
        </w:rPr>
      </w:pPr>
      <w:r w:rsidRPr="00AE1B1D">
        <w:rPr>
          <w:b/>
        </w:rPr>
        <w:t>Acknowledgments</w:t>
      </w:r>
    </w:p>
    <w:p w14:paraId="093AC3E2" w14:textId="77777777" w:rsidR="00595C6E" w:rsidRPr="00AE1B1D" w:rsidRDefault="00595C6E" w:rsidP="00595C6E">
      <w:pPr>
        <w:spacing w:line="480" w:lineRule="auto"/>
        <w:jc w:val="both"/>
        <w:rPr>
          <w:rFonts w:cs="Arial"/>
        </w:rPr>
      </w:pPr>
      <w:r w:rsidRPr="00AE1B1D">
        <w:rPr>
          <w:rFonts w:cs="Arial"/>
        </w:rPr>
        <w:lastRenderedPageBreak/>
        <w:t xml:space="preserve">The authors would like to acknowledge the support of the European Research Council grant agreement ERC-2014-ADG-669858 for project ATLAS </w:t>
      </w:r>
      <w:r w:rsidRPr="00AE1B1D">
        <w:rPr>
          <w:rFonts w:cs="Arial"/>
          <w:lang w:val="en-US"/>
        </w:rPr>
        <w:t>and under the support of the project CICECO-Aveiro Institute of Materials, POCI-01-0145-FEDER-007679 (FCT Ref. UID /CTM /50011/2013), financed by national funds through the FCT/MEC and when appropriate co-financed by FEDER under the PT2020 Partnership Agreement.</w:t>
      </w:r>
      <w:r w:rsidRPr="00AE1B1D">
        <w:rPr>
          <w:rFonts w:cs="Arial"/>
        </w:rPr>
        <w:t xml:space="preserve"> The authors also acknowledge the financial support by the Portuguese Foundation for Science and Technology (FCT) through a Post-doctoral grant (SFRH/BPD/119983/2016, Vítor Gaspar). </w:t>
      </w:r>
    </w:p>
    <w:p w14:paraId="2E797744" w14:textId="77777777" w:rsidR="002D16A0" w:rsidRPr="00AE1B1D" w:rsidRDefault="002D16A0" w:rsidP="00595C6E">
      <w:pPr>
        <w:pStyle w:val="Acknowledgements"/>
        <w:spacing w:after="240" w:line="480" w:lineRule="auto"/>
        <w:jc w:val="both"/>
        <w:rPr>
          <w:lang w:val="de-DE"/>
        </w:rPr>
      </w:pPr>
    </w:p>
    <w:p w14:paraId="04E12E18" w14:textId="77777777" w:rsidR="00004A23" w:rsidRPr="00AE1B1D" w:rsidRDefault="00004A23" w:rsidP="00004A23">
      <w:pPr>
        <w:pStyle w:val="dates"/>
      </w:pPr>
      <w:r w:rsidRPr="00AE1B1D">
        <w:t>Received: ((will be filled in by the editorial staff))</w:t>
      </w:r>
      <w:r w:rsidRPr="00AE1B1D">
        <w:br/>
        <w:t>Revised: ((will be filled in by the editorial staff))</w:t>
      </w:r>
      <w:r w:rsidRPr="00AE1B1D">
        <w:br/>
        <w:t>Published online: ((will be filled in by the editorial staff))</w:t>
      </w:r>
    </w:p>
    <w:p w14:paraId="4DB1FFA5" w14:textId="77777777" w:rsidR="00004A23" w:rsidRPr="00AE1B1D" w:rsidRDefault="00004A23" w:rsidP="00004A23">
      <w:pPr>
        <w:pStyle w:val="MainText"/>
      </w:pPr>
    </w:p>
    <w:p w14:paraId="40A94E3C" w14:textId="77777777" w:rsidR="00FE4D5F" w:rsidRPr="00AE1B1D" w:rsidRDefault="00FE4D5F" w:rsidP="00503917">
      <w:pPr>
        <w:pStyle w:val="MainText"/>
      </w:pPr>
      <w:r w:rsidRPr="00AE1B1D">
        <w:t>References</w:t>
      </w:r>
    </w:p>
    <w:p w14:paraId="3A2B1FDA"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w:t>
      </w:r>
      <w:r w:rsidRPr="00AE1B1D">
        <w:rPr>
          <w:noProof/>
        </w:rPr>
        <w:tab/>
        <w:t xml:space="preserve">A. Uccelli, L. Moretta, V. Pistoia, </w:t>
      </w:r>
      <w:r w:rsidRPr="00AE1B1D">
        <w:rPr>
          <w:i/>
          <w:iCs/>
          <w:noProof/>
        </w:rPr>
        <w:t>Nat. Rev. Immunol.</w:t>
      </w:r>
      <w:r w:rsidRPr="00AE1B1D">
        <w:rPr>
          <w:noProof/>
        </w:rPr>
        <w:t xml:space="preserve"> </w:t>
      </w:r>
      <w:r w:rsidRPr="00AE1B1D">
        <w:rPr>
          <w:b/>
          <w:bCs/>
          <w:noProof/>
        </w:rPr>
        <w:t>2008</w:t>
      </w:r>
      <w:r w:rsidRPr="00AE1B1D">
        <w:rPr>
          <w:noProof/>
        </w:rPr>
        <w:t xml:space="preserve">, </w:t>
      </w:r>
      <w:r w:rsidRPr="00AE1B1D">
        <w:rPr>
          <w:i/>
          <w:iCs/>
          <w:noProof/>
        </w:rPr>
        <w:t>8</w:t>
      </w:r>
      <w:r w:rsidRPr="00AE1B1D">
        <w:rPr>
          <w:noProof/>
        </w:rPr>
        <w:t>, 726.</w:t>
      </w:r>
    </w:p>
    <w:p w14:paraId="2371AFAF"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w:t>
      </w:r>
      <w:r w:rsidRPr="00AE1B1D">
        <w:rPr>
          <w:noProof/>
        </w:rPr>
        <w:tab/>
        <w:t xml:space="preserve">L. Frese, P. E. Dijkman, S. P. Hoerstrup, </w:t>
      </w:r>
      <w:r w:rsidRPr="00AE1B1D">
        <w:rPr>
          <w:i/>
          <w:iCs/>
          <w:noProof/>
        </w:rPr>
        <w:t>Transfus. Med. Hemotherapy</w:t>
      </w:r>
      <w:r w:rsidRPr="00AE1B1D">
        <w:rPr>
          <w:noProof/>
        </w:rPr>
        <w:t xml:space="preserve"> </w:t>
      </w:r>
      <w:r w:rsidRPr="00AE1B1D">
        <w:rPr>
          <w:b/>
          <w:bCs/>
          <w:noProof/>
        </w:rPr>
        <w:t>2016</w:t>
      </w:r>
      <w:r w:rsidRPr="00AE1B1D">
        <w:rPr>
          <w:noProof/>
        </w:rPr>
        <w:t xml:space="preserve">, </w:t>
      </w:r>
      <w:r w:rsidRPr="00AE1B1D">
        <w:rPr>
          <w:i/>
          <w:iCs/>
          <w:noProof/>
        </w:rPr>
        <w:t>43</w:t>
      </w:r>
      <w:r w:rsidRPr="00AE1B1D">
        <w:rPr>
          <w:noProof/>
        </w:rPr>
        <w:t>, 268.</w:t>
      </w:r>
    </w:p>
    <w:p w14:paraId="5B6D9CF9"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w:t>
      </w:r>
      <w:r w:rsidRPr="00AE1B1D">
        <w:rPr>
          <w:noProof/>
        </w:rPr>
        <w:tab/>
        <w:t xml:space="preserve">O. Ghali, O. Broux, G. Falgayrac, N. Haren, J. P. T. M. van Leeuwen, G. Penel, P. Hardouin, C. Chauveau, </w:t>
      </w:r>
      <w:r w:rsidRPr="00AE1B1D">
        <w:rPr>
          <w:i/>
          <w:iCs/>
          <w:noProof/>
        </w:rPr>
        <w:t>BMC Cell Biol.</w:t>
      </w:r>
      <w:r w:rsidRPr="00AE1B1D">
        <w:rPr>
          <w:noProof/>
        </w:rPr>
        <w:t xml:space="preserve"> </w:t>
      </w:r>
      <w:r w:rsidRPr="00AE1B1D">
        <w:rPr>
          <w:b/>
          <w:bCs/>
          <w:noProof/>
        </w:rPr>
        <w:t>2015</w:t>
      </w:r>
      <w:r w:rsidRPr="00AE1B1D">
        <w:rPr>
          <w:noProof/>
        </w:rPr>
        <w:t xml:space="preserve">, </w:t>
      </w:r>
      <w:r w:rsidRPr="00AE1B1D">
        <w:rPr>
          <w:i/>
          <w:iCs/>
          <w:noProof/>
        </w:rPr>
        <w:t>16</w:t>
      </w:r>
      <w:r w:rsidRPr="00AE1B1D">
        <w:rPr>
          <w:noProof/>
        </w:rPr>
        <w:t>, 9.</w:t>
      </w:r>
    </w:p>
    <w:p w14:paraId="172BD27A"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Pr="00AE1B1D">
        <w:rPr>
          <w:noProof/>
        </w:rPr>
        <w:tab/>
        <w:t xml:space="preserve">R. Dimitriou, E. Jones, D. McGonagle, P. V Giannoudis, </w:t>
      </w:r>
      <w:r w:rsidRPr="00AE1B1D">
        <w:rPr>
          <w:i/>
          <w:iCs/>
          <w:noProof/>
        </w:rPr>
        <w:t>BMC Med.</w:t>
      </w:r>
      <w:r w:rsidRPr="00AE1B1D">
        <w:rPr>
          <w:noProof/>
        </w:rPr>
        <w:t xml:space="preserve"> </w:t>
      </w:r>
      <w:r w:rsidRPr="00AE1B1D">
        <w:rPr>
          <w:b/>
          <w:bCs/>
          <w:noProof/>
        </w:rPr>
        <w:t>2011</w:t>
      </w:r>
      <w:r w:rsidRPr="00AE1B1D">
        <w:rPr>
          <w:noProof/>
        </w:rPr>
        <w:t xml:space="preserve">, </w:t>
      </w:r>
      <w:r w:rsidRPr="00AE1B1D">
        <w:rPr>
          <w:i/>
          <w:iCs/>
          <w:noProof/>
        </w:rPr>
        <w:t>9</w:t>
      </w:r>
      <w:r w:rsidRPr="00AE1B1D">
        <w:rPr>
          <w:noProof/>
        </w:rPr>
        <w:t>, 66.</w:t>
      </w:r>
    </w:p>
    <w:p w14:paraId="073659E1"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[5]</w:t>
      </w:r>
      <w:r w:rsidRPr="00AE1B1D">
        <w:rPr>
          <w:noProof/>
        </w:rPr>
        <w:tab/>
        <w:t xml:space="preserve">I. El Bialy, W. Jiskoot, M. Reza Nejadnik, </w:t>
      </w:r>
      <w:r w:rsidRPr="00AE1B1D">
        <w:rPr>
          <w:i/>
          <w:iCs/>
          <w:noProof/>
        </w:rPr>
        <w:t>Pharm. Res.</w:t>
      </w:r>
      <w:r w:rsidRPr="00AE1B1D">
        <w:rPr>
          <w:noProof/>
        </w:rPr>
        <w:t xml:space="preserve"> </w:t>
      </w:r>
      <w:r w:rsidRPr="00AE1B1D">
        <w:rPr>
          <w:b/>
          <w:bCs/>
          <w:noProof/>
        </w:rPr>
        <w:t>2017</w:t>
      </w:r>
      <w:r w:rsidRPr="00AE1B1D">
        <w:rPr>
          <w:noProof/>
        </w:rPr>
        <w:t xml:space="preserve">, </w:t>
      </w:r>
      <w:r w:rsidRPr="00AE1B1D">
        <w:rPr>
          <w:i/>
          <w:iCs/>
          <w:noProof/>
        </w:rPr>
        <w:t>34</w:t>
      </w:r>
      <w:r w:rsidRPr="00AE1B1D">
        <w:rPr>
          <w:noProof/>
        </w:rPr>
        <w:t>, 1152.</w:t>
      </w:r>
    </w:p>
    <w:p w14:paraId="4B22D21F" w14:textId="2E2A9FDF"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[6]</w:t>
      </w:r>
      <w:r w:rsidRPr="00AE1B1D">
        <w:rPr>
          <w:noProof/>
        </w:rPr>
        <w:tab/>
      </w:r>
      <w:r w:rsidR="00F3551E" w:rsidRPr="00AE1B1D">
        <w:rPr>
          <w:noProof/>
        </w:rPr>
        <w:t>P. Lavrador, V. M. Gaspar, J. F. Mano,</w:t>
      </w:r>
      <w:r w:rsidRPr="00AE1B1D">
        <w:rPr>
          <w:noProof/>
        </w:rPr>
        <w:t xml:space="preserve"> </w:t>
      </w:r>
      <w:r w:rsidR="00633FE0" w:rsidRPr="00AE1B1D">
        <w:rPr>
          <w:i/>
          <w:noProof/>
        </w:rPr>
        <w:t>Drug Discov. Today</w:t>
      </w:r>
      <w:r w:rsidRPr="00AE1B1D">
        <w:rPr>
          <w:noProof/>
        </w:rPr>
        <w:t xml:space="preserve"> </w:t>
      </w:r>
      <w:r w:rsidRPr="00AE1B1D">
        <w:rPr>
          <w:b/>
          <w:bCs/>
          <w:noProof/>
        </w:rPr>
        <w:t>201</w:t>
      </w:r>
      <w:r w:rsidR="00F3551E" w:rsidRPr="00AE1B1D">
        <w:rPr>
          <w:b/>
          <w:bCs/>
          <w:noProof/>
        </w:rPr>
        <w:t>8</w:t>
      </w:r>
      <w:r w:rsidRPr="00AE1B1D">
        <w:rPr>
          <w:noProof/>
        </w:rPr>
        <w:t xml:space="preserve">, </w:t>
      </w:r>
      <w:r w:rsidR="00633FE0" w:rsidRPr="00AE1B1D">
        <w:rPr>
          <w:noProof/>
        </w:rPr>
        <w:t>In Press.</w:t>
      </w:r>
    </w:p>
    <w:p w14:paraId="11E3D0BF"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[7]</w:t>
      </w:r>
      <w:r w:rsidRPr="00AE1B1D">
        <w:rPr>
          <w:noProof/>
        </w:rPr>
        <w:tab/>
        <w:t xml:space="preserve">J. Fan, J. Li, Q. Fan, </w:t>
      </w:r>
      <w:r w:rsidRPr="00AE1B1D">
        <w:rPr>
          <w:i/>
          <w:iCs/>
          <w:noProof/>
        </w:rPr>
        <w:t>Mol. Med. Rep.</w:t>
      </w:r>
      <w:r w:rsidRPr="00AE1B1D">
        <w:rPr>
          <w:noProof/>
        </w:rPr>
        <w:t xml:space="preserve"> </w:t>
      </w:r>
      <w:r w:rsidRPr="00AE1B1D">
        <w:rPr>
          <w:b/>
          <w:bCs/>
          <w:noProof/>
        </w:rPr>
        <w:t>2015</w:t>
      </w:r>
      <w:r w:rsidRPr="00AE1B1D">
        <w:rPr>
          <w:noProof/>
        </w:rPr>
        <w:t xml:space="preserve">, </w:t>
      </w:r>
      <w:r w:rsidRPr="00AE1B1D">
        <w:rPr>
          <w:i/>
          <w:iCs/>
          <w:noProof/>
        </w:rPr>
        <w:t>12</w:t>
      </w:r>
      <w:r w:rsidRPr="00AE1B1D">
        <w:rPr>
          <w:noProof/>
        </w:rPr>
        <w:t>, 4759.</w:t>
      </w:r>
    </w:p>
    <w:p w14:paraId="6BCBEEEC"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[8]</w:t>
      </w:r>
      <w:r w:rsidRPr="00AE1B1D">
        <w:rPr>
          <w:noProof/>
        </w:rPr>
        <w:tab/>
        <w:t xml:space="preserve">G. Yu, G. Zheng, B. Chang, Q. Hu, F. Lin, D. Liu, C. Wu, S. Du, X. Li, </w:t>
      </w:r>
      <w:r w:rsidRPr="00AE1B1D">
        <w:rPr>
          <w:i/>
          <w:iCs/>
          <w:noProof/>
        </w:rPr>
        <w:t>Stem Cells Int.</w:t>
      </w:r>
      <w:r w:rsidRPr="00AE1B1D">
        <w:rPr>
          <w:noProof/>
        </w:rPr>
        <w:t xml:space="preserve"> </w:t>
      </w:r>
      <w:r w:rsidRPr="00AE1B1D">
        <w:rPr>
          <w:b/>
          <w:bCs/>
          <w:noProof/>
        </w:rPr>
        <w:t>2016</w:t>
      </w:r>
      <w:r w:rsidRPr="00AE1B1D">
        <w:rPr>
          <w:noProof/>
        </w:rPr>
        <w:t xml:space="preserve">, </w:t>
      </w:r>
      <w:r w:rsidRPr="00AE1B1D">
        <w:rPr>
          <w:i/>
          <w:iCs/>
          <w:noProof/>
        </w:rPr>
        <w:t>2016</w:t>
      </w:r>
      <w:r w:rsidRPr="00AE1B1D">
        <w:rPr>
          <w:noProof/>
        </w:rPr>
        <w:t>, 1.</w:t>
      </w:r>
    </w:p>
    <w:p w14:paraId="0999D524"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[9]</w:t>
      </w:r>
      <w:r w:rsidRPr="00AE1B1D">
        <w:rPr>
          <w:noProof/>
        </w:rPr>
        <w:tab/>
        <w:t xml:space="preserve">T. Osathanon, K. Subbalekha, P. Sastravaha, P. Pavasant, </w:t>
      </w:r>
      <w:r w:rsidRPr="00AE1B1D">
        <w:rPr>
          <w:i/>
          <w:iCs/>
          <w:noProof/>
        </w:rPr>
        <w:t>Cell Biol. Int.</w:t>
      </w:r>
      <w:r w:rsidRPr="00AE1B1D">
        <w:rPr>
          <w:noProof/>
        </w:rPr>
        <w:t xml:space="preserve"> </w:t>
      </w:r>
      <w:r w:rsidRPr="00AE1B1D">
        <w:rPr>
          <w:b/>
          <w:bCs/>
          <w:noProof/>
        </w:rPr>
        <w:t>2012</w:t>
      </w:r>
      <w:r w:rsidRPr="00AE1B1D">
        <w:rPr>
          <w:noProof/>
        </w:rPr>
        <w:t xml:space="preserve">, </w:t>
      </w:r>
      <w:r w:rsidRPr="00AE1B1D">
        <w:rPr>
          <w:i/>
          <w:iCs/>
          <w:noProof/>
        </w:rPr>
        <w:t>36</w:t>
      </w:r>
      <w:r w:rsidRPr="00AE1B1D">
        <w:rPr>
          <w:noProof/>
        </w:rPr>
        <w:t>, 1161.</w:t>
      </w:r>
    </w:p>
    <w:p w14:paraId="6D926DDD"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[10]</w:t>
      </w:r>
      <w:r w:rsidRPr="00AE1B1D">
        <w:rPr>
          <w:noProof/>
        </w:rPr>
        <w:tab/>
        <w:t xml:space="preserve">C. Hempen, E. Weiss, C. F. Hess, </w:t>
      </w:r>
      <w:r w:rsidRPr="00AE1B1D">
        <w:rPr>
          <w:i/>
          <w:iCs/>
          <w:noProof/>
        </w:rPr>
        <w:t>Support. Care Cancer</w:t>
      </w:r>
      <w:r w:rsidRPr="00AE1B1D">
        <w:rPr>
          <w:noProof/>
        </w:rPr>
        <w:t xml:space="preserve"> </w:t>
      </w:r>
      <w:r w:rsidRPr="00AE1B1D">
        <w:rPr>
          <w:b/>
          <w:bCs/>
          <w:noProof/>
        </w:rPr>
        <w:t>2002</w:t>
      </w:r>
      <w:r w:rsidRPr="00AE1B1D">
        <w:rPr>
          <w:noProof/>
        </w:rPr>
        <w:t xml:space="preserve">, </w:t>
      </w:r>
      <w:r w:rsidRPr="00AE1B1D">
        <w:rPr>
          <w:i/>
          <w:iCs/>
          <w:noProof/>
        </w:rPr>
        <w:t>10</w:t>
      </w:r>
      <w:r w:rsidRPr="00AE1B1D">
        <w:rPr>
          <w:noProof/>
        </w:rPr>
        <w:t>, 322.</w:t>
      </w:r>
    </w:p>
    <w:p w14:paraId="258DA26F"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[11]</w:t>
      </w:r>
      <w:r w:rsidRPr="00AE1B1D">
        <w:rPr>
          <w:noProof/>
        </w:rPr>
        <w:tab/>
        <w:t xml:space="preserve">K. Rao, M. Imran, T. Jabri, I. Ali, S. Perveen, Shafiullah, S. Ahmed, M. R. Shah, </w:t>
      </w:r>
      <w:r w:rsidRPr="00AE1B1D">
        <w:rPr>
          <w:i/>
          <w:iCs/>
          <w:noProof/>
        </w:rPr>
        <w:t>Carbohydr. Polym.</w:t>
      </w:r>
      <w:r w:rsidRPr="00AE1B1D">
        <w:rPr>
          <w:noProof/>
        </w:rPr>
        <w:t xml:space="preserve"> </w:t>
      </w:r>
      <w:r w:rsidRPr="00AE1B1D">
        <w:rPr>
          <w:b/>
          <w:bCs/>
          <w:noProof/>
        </w:rPr>
        <w:t>2017</w:t>
      </w:r>
      <w:r w:rsidRPr="00AE1B1D">
        <w:rPr>
          <w:noProof/>
        </w:rPr>
        <w:t xml:space="preserve">, </w:t>
      </w:r>
      <w:r w:rsidRPr="00AE1B1D">
        <w:rPr>
          <w:i/>
          <w:iCs/>
          <w:noProof/>
        </w:rPr>
        <w:t>174</w:t>
      </w:r>
      <w:r w:rsidRPr="00AE1B1D">
        <w:rPr>
          <w:noProof/>
        </w:rPr>
        <w:t>, 243.</w:t>
      </w:r>
    </w:p>
    <w:p w14:paraId="459D4C93"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lastRenderedPageBreak/>
        <w:t>[12]</w:t>
      </w:r>
      <w:r w:rsidRPr="00AE1B1D">
        <w:rPr>
          <w:noProof/>
        </w:rPr>
        <w:tab/>
        <w:t xml:space="preserve">J. Bin Wu, Y. C. Fong, H. Y. Tsai, Y. F. Chen, M. Tsuzuki, C. H. Tang, </w:t>
      </w:r>
      <w:r w:rsidRPr="00AE1B1D">
        <w:rPr>
          <w:i/>
          <w:iCs/>
          <w:noProof/>
        </w:rPr>
        <w:t>Eur. J. Pharmacol.</w:t>
      </w:r>
      <w:r w:rsidRPr="00AE1B1D">
        <w:rPr>
          <w:noProof/>
        </w:rPr>
        <w:t xml:space="preserve"> </w:t>
      </w:r>
      <w:r w:rsidRPr="00AE1B1D">
        <w:rPr>
          <w:b/>
          <w:bCs/>
          <w:noProof/>
        </w:rPr>
        <w:t>2008</w:t>
      </w:r>
      <w:r w:rsidRPr="00AE1B1D">
        <w:rPr>
          <w:noProof/>
        </w:rPr>
        <w:t xml:space="preserve">, </w:t>
      </w:r>
      <w:r w:rsidRPr="00AE1B1D">
        <w:rPr>
          <w:i/>
          <w:iCs/>
          <w:noProof/>
        </w:rPr>
        <w:t>588</w:t>
      </w:r>
      <w:r w:rsidRPr="00AE1B1D">
        <w:rPr>
          <w:noProof/>
        </w:rPr>
        <w:t>, 333.</w:t>
      </w:r>
    </w:p>
    <w:p w14:paraId="3E8F6B7C"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[13]</w:t>
      </w:r>
      <w:r w:rsidRPr="00AE1B1D">
        <w:rPr>
          <w:noProof/>
        </w:rPr>
        <w:tab/>
        <w:t xml:space="preserve">X. Gaoli, L. Yi, W. Lili, S. Qiutao, H. Guang, G. Zhiyuan, </w:t>
      </w:r>
      <w:r w:rsidRPr="00AE1B1D">
        <w:rPr>
          <w:i/>
          <w:iCs/>
          <w:noProof/>
        </w:rPr>
        <w:t>West China J. Stomatol.</w:t>
      </w:r>
      <w:r w:rsidRPr="00AE1B1D">
        <w:rPr>
          <w:noProof/>
        </w:rPr>
        <w:t xml:space="preserve"> </w:t>
      </w:r>
      <w:r w:rsidRPr="00AE1B1D">
        <w:rPr>
          <w:b/>
          <w:bCs/>
          <w:noProof/>
        </w:rPr>
        <w:t>2017</w:t>
      </w:r>
      <w:r w:rsidRPr="00AE1B1D">
        <w:rPr>
          <w:noProof/>
        </w:rPr>
        <w:t xml:space="preserve">, </w:t>
      </w:r>
      <w:r w:rsidRPr="00AE1B1D">
        <w:rPr>
          <w:i/>
          <w:iCs/>
          <w:noProof/>
        </w:rPr>
        <w:t>35</w:t>
      </w:r>
      <w:r w:rsidRPr="00AE1B1D">
        <w:rPr>
          <w:noProof/>
        </w:rPr>
        <w:t>, 275.</w:t>
      </w:r>
    </w:p>
    <w:p w14:paraId="1F1B43D9"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[14]</w:t>
      </w:r>
      <w:r w:rsidRPr="00AE1B1D">
        <w:rPr>
          <w:noProof/>
        </w:rPr>
        <w:tab/>
        <w:t xml:space="preserve">T. Walle, </w:t>
      </w:r>
      <w:r w:rsidRPr="00AE1B1D">
        <w:rPr>
          <w:i/>
          <w:iCs/>
          <w:noProof/>
        </w:rPr>
        <w:t>Free Radic. Biol. Med.</w:t>
      </w:r>
      <w:r w:rsidRPr="00AE1B1D">
        <w:rPr>
          <w:noProof/>
        </w:rPr>
        <w:t xml:space="preserve"> </w:t>
      </w:r>
      <w:r w:rsidRPr="00AE1B1D">
        <w:rPr>
          <w:b/>
          <w:bCs/>
          <w:noProof/>
        </w:rPr>
        <w:t>2004</w:t>
      </w:r>
      <w:r w:rsidRPr="00AE1B1D">
        <w:rPr>
          <w:noProof/>
        </w:rPr>
        <w:t xml:space="preserve">, </w:t>
      </w:r>
      <w:r w:rsidRPr="00AE1B1D">
        <w:rPr>
          <w:i/>
          <w:iCs/>
          <w:noProof/>
        </w:rPr>
        <w:t>36</w:t>
      </w:r>
      <w:r w:rsidRPr="00AE1B1D">
        <w:rPr>
          <w:noProof/>
        </w:rPr>
        <w:t>, 829.</w:t>
      </w:r>
    </w:p>
    <w:p w14:paraId="7406A077"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[15]</w:t>
      </w:r>
      <w:r w:rsidRPr="00AE1B1D">
        <w:rPr>
          <w:noProof/>
        </w:rPr>
        <w:tab/>
        <w:t xml:space="preserve">A. Cassidy, A.-M. Minihane, </w:t>
      </w:r>
      <w:r w:rsidRPr="00AE1B1D">
        <w:rPr>
          <w:i/>
          <w:iCs/>
          <w:noProof/>
        </w:rPr>
        <w:t>Am. J. Clin. Nutr.</w:t>
      </w:r>
      <w:r w:rsidRPr="00AE1B1D">
        <w:rPr>
          <w:noProof/>
        </w:rPr>
        <w:t xml:space="preserve"> </w:t>
      </w:r>
      <w:r w:rsidRPr="00AE1B1D">
        <w:rPr>
          <w:b/>
          <w:bCs/>
          <w:noProof/>
        </w:rPr>
        <w:t>2017</w:t>
      </w:r>
      <w:r w:rsidRPr="00AE1B1D">
        <w:rPr>
          <w:noProof/>
        </w:rPr>
        <w:t xml:space="preserve">, </w:t>
      </w:r>
      <w:r w:rsidRPr="00AE1B1D">
        <w:rPr>
          <w:i/>
          <w:iCs/>
          <w:noProof/>
        </w:rPr>
        <w:t>105</w:t>
      </w:r>
      <w:r w:rsidRPr="00AE1B1D">
        <w:rPr>
          <w:noProof/>
        </w:rPr>
        <w:t>, 10.</w:t>
      </w:r>
    </w:p>
    <w:p w14:paraId="3D46DDC2"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[16]</w:t>
      </w:r>
      <w:r w:rsidRPr="00AE1B1D">
        <w:rPr>
          <w:noProof/>
        </w:rPr>
        <w:tab/>
        <w:t xml:space="preserve">D. Sanver, </w:t>
      </w:r>
      <w:r w:rsidR="00343410" w:rsidRPr="00AE1B1D">
        <w:rPr>
          <w:i/>
          <w:noProof/>
        </w:rPr>
        <w:t>PhD Thesis</w:t>
      </w:r>
      <w:r w:rsidR="00343410" w:rsidRPr="00AE1B1D">
        <w:rPr>
          <w:noProof/>
        </w:rPr>
        <w:t xml:space="preserve">, </w:t>
      </w:r>
      <w:r w:rsidRPr="00AE1B1D">
        <w:rPr>
          <w:noProof/>
        </w:rPr>
        <w:t>Experimental Modelling of Flavonoid Membrane Interactions, The University of Leeds,</w:t>
      </w:r>
      <w:r w:rsidR="00343410" w:rsidRPr="00AE1B1D">
        <w:rPr>
          <w:noProof/>
        </w:rPr>
        <w:t xml:space="preserve"> March,</w:t>
      </w:r>
      <w:r w:rsidRPr="00AE1B1D">
        <w:rPr>
          <w:noProof/>
        </w:rPr>
        <w:t xml:space="preserve"> </w:t>
      </w:r>
      <w:r w:rsidRPr="00AE1B1D">
        <w:rPr>
          <w:b/>
          <w:bCs/>
          <w:noProof/>
        </w:rPr>
        <w:t>2017</w:t>
      </w:r>
      <w:r w:rsidRPr="00AE1B1D">
        <w:rPr>
          <w:noProof/>
        </w:rPr>
        <w:t>.</w:t>
      </w:r>
    </w:p>
    <w:p w14:paraId="62B61DF0"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[17]</w:t>
      </w:r>
      <w:r w:rsidRPr="00AE1B1D">
        <w:rPr>
          <w:noProof/>
        </w:rPr>
        <w:tab/>
        <w:t xml:space="preserve">H.-H. Yan, J.-Q. Zhang, S.-H. Ren, X.-G. Xie, R. Huang, Y. Jin, J. Lin, </w:t>
      </w:r>
      <w:r w:rsidRPr="00AE1B1D">
        <w:rPr>
          <w:i/>
          <w:iCs/>
          <w:noProof/>
        </w:rPr>
        <w:t>J. Incl. Phenom. Macrocycl. Chem.</w:t>
      </w:r>
      <w:r w:rsidRPr="00AE1B1D">
        <w:rPr>
          <w:noProof/>
        </w:rPr>
        <w:t xml:space="preserve"> </w:t>
      </w:r>
      <w:r w:rsidRPr="00AE1B1D">
        <w:rPr>
          <w:b/>
          <w:bCs/>
          <w:noProof/>
        </w:rPr>
        <w:t>2017</w:t>
      </w:r>
      <w:r w:rsidRPr="00AE1B1D">
        <w:rPr>
          <w:noProof/>
        </w:rPr>
        <w:t xml:space="preserve">, </w:t>
      </w:r>
      <w:r w:rsidRPr="00AE1B1D">
        <w:rPr>
          <w:i/>
          <w:iCs/>
          <w:noProof/>
        </w:rPr>
        <w:t>88</w:t>
      </w:r>
      <w:r w:rsidRPr="00AE1B1D">
        <w:rPr>
          <w:noProof/>
        </w:rPr>
        <w:t>, 15.</w:t>
      </w:r>
    </w:p>
    <w:p w14:paraId="7FA75E72"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[18]</w:t>
      </w:r>
      <w:r w:rsidRPr="00AE1B1D">
        <w:rPr>
          <w:noProof/>
        </w:rPr>
        <w:tab/>
        <w:t xml:space="preserve">F. I. Kanaze, E. Kokkalou, I. Niopas, M. Georgarakis, A. Stergiou, D. Bikiaris, </w:t>
      </w:r>
      <w:r w:rsidRPr="00AE1B1D">
        <w:rPr>
          <w:i/>
          <w:iCs/>
          <w:noProof/>
        </w:rPr>
        <w:t>J. Appl. Polym. Sci.</w:t>
      </w:r>
      <w:r w:rsidRPr="00AE1B1D">
        <w:rPr>
          <w:noProof/>
        </w:rPr>
        <w:t xml:space="preserve"> </w:t>
      </w:r>
      <w:r w:rsidRPr="00AE1B1D">
        <w:rPr>
          <w:b/>
          <w:bCs/>
          <w:noProof/>
        </w:rPr>
        <w:t>2006</w:t>
      </w:r>
      <w:r w:rsidRPr="00AE1B1D">
        <w:rPr>
          <w:noProof/>
        </w:rPr>
        <w:t xml:space="preserve">, </w:t>
      </w:r>
      <w:r w:rsidRPr="00AE1B1D">
        <w:rPr>
          <w:i/>
          <w:iCs/>
          <w:noProof/>
        </w:rPr>
        <w:t>102</w:t>
      </w:r>
      <w:r w:rsidRPr="00AE1B1D">
        <w:rPr>
          <w:noProof/>
        </w:rPr>
        <w:t>, 460.</w:t>
      </w:r>
    </w:p>
    <w:p w14:paraId="52DF2895"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[19]</w:t>
      </w:r>
      <w:r w:rsidRPr="00AE1B1D">
        <w:rPr>
          <w:noProof/>
        </w:rPr>
        <w:tab/>
        <w:t xml:space="preserve">F. Trotta, E. Drioli, C. Baggiani, D. Lacopo, </w:t>
      </w:r>
      <w:r w:rsidRPr="00AE1B1D">
        <w:rPr>
          <w:i/>
          <w:iCs/>
          <w:noProof/>
        </w:rPr>
        <w:t>J. Memb. Sci.</w:t>
      </w:r>
      <w:r w:rsidRPr="00AE1B1D">
        <w:rPr>
          <w:noProof/>
        </w:rPr>
        <w:t xml:space="preserve"> </w:t>
      </w:r>
      <w:r w:rsidRPr="00AE1B1D">
        <w:rPr>
          <w:b/>
          <w:bCs/>
          <w:noProof/>
        </w:rPr>
        <w:t>2002</w:t>
      </w:r>
      <w:r w:rsidRPr="00AE1B1D">
        <w:rPr>
          <w:noProof/>
        </w:rPr>
        <w:t xml:space="preserve">, </w:t>
      </w:r>
      <w:r w:rsidRPr="00AE1B1D">
        <w:rPr>
          <w:i/>
          <w:iCs/>
          <w:noProof/>
        </w:rPr>
        <w:t>201</w:t>
      </w:r>
      <w:r w:rsidRPr="00AE1B1D">
        <w:rPr>
          <w:noProof/>
        </w:rPr>
        <w:t>, 77.</w:t>
      </w:r>
    </w:p>
    <w:p w14:paraId="5624CEFE"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[20]</w:t>
      </w:r>
      <w:r w:rsidRPr="00AE1B1D">
        <w:rPr>
          <w:noProof/>
        </w:rPr>
        <w:tab/>
        <w:t xml:space="preserve">E. Blanco, H. Shen, M. Ferrari, </w:t>
      </w:r>
      <w:r w:rsidRPr="00AE1B1D">
        <w:rPr>
          <w:i/>
          <w:iCs/>
          <w:noProof/>
        </w:rPr>
        <w:t>Nat. Biotechnol.</w:t>
      </w:r>
      <w:r w:rsidRPr="00AE1B1D">
        <w:rPr>
          <w:noProof/>
        </w:rPr>
        <w:t xml:space="preserve"> </w:t>
      </w:r>
      <w:r w:rsidRPr="00AE1B1D">
        <w:rPr>
          <w:b/>
          <w:bCs/>
          <w:noProof/>
        </w:rPr>
        <w:t>2015</w:t>
      </w:r>
      <w:r w:rsidRPr="00AE1B1D">
        <w:rPr>
          <w:noProof/>
        </w:rPr>
        <w:t xml:space="preserve">, </w:t>
      </w:r>
      <w:r w:rsidRPr="00AE1B1D">
        <w:rPr>
          <w:i/>
          <w:iCs/>
          <w:noProof/>
        </w:rPr>
        <w:t>33</w:t>
      </w:r>
      <w:r w:rsidRPr="00AE1B1D">
        <w:rPr>
          <w:noProof/>
        </w:rPr>
        <w:t>, 941.</w:t>
      </w:r>
    </w:p>
    <w:p w14:paraId="5D25D192" w14:textId="3A013D02"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[21]</w:t>
      </w:r>
      <w:r w:rsidRPr="00AE1B1D">
        <w:rPr>
          <w:noProof/>
        </w:rPr>
        <w:tab/>
      </w:r>
      <w:r w:rsidR="00D83B80" w:rsidRPr="00AE1B1D">
        <w:rPr>
          <w:noProof/>
        </w:rPr>
        <w:t xml:space="preserve">P. Lavrador, V. M. Gaspar, J. F. Mano, </w:t>
      </w:r>
      <w:r w:rsidR="00D83B80" w:rsidRPr="00AE1B1D">
        <w:rPr>
          <w:i/>
          <w:iCs/>
          <w:noProof/>
        </w:rPr>
        <w:t>J. Control. Release</w:t>
      </w:r>
      <w:r w:rsidR="00D83B80" w:rsidRPr="00AE1B1D">
        <w:rPr>
          <w:noProof/>
        </w:rPr>
        <w:t xml:space="preserve"> </w:t>
      </w:r>
      <w:r w:rsidR="00D83B80" w:rsidRPr="00AE1B1D">
        <w:rPr>
          <w:b/>
          <w:noProof/>
        </w:rPr>
        <w:t>2018</w:t>
      </w:r>
      <w:r w:rsidR="00D83B80" w:rsidRPr="00AE1B1D">
        <w:rPr>
          <w:noProof/>
        </w:rPr>
        <w:t>, 273, 51.</w:t>
      </w:r>
    </w:p>
    <w:p w14:paraId="0EE5AC14"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[22]</w:t>
      </w:r>
      <w:r w:rsidRPr="00AE1B1D">
        <w:rPr>
          <w:noProof/>
        </w:rPr>
        <w:tab/>
        <w:t xml:space="preserve">J. G. Marques, V. M. Gaspar, D. Markl, E. C. Costa, E. Gallardo, I. J. Correia, </w:t>
      </w:r>
      <w:r w:rsidRPr="00AE1B1D">
        <w:rPr>
          <w:i/>
          <w:iCs/>
          <w:noProof/>
        </w:rPr>
        <w:t>Pharm. Res.</w:t>
      </w:r>
      <w:r w:rsidRPr="00AE1B1D">
        <w:rPr>
          <w:noProof/>
        </w:rPr>
        <w:t xml:space="preserve"> </w:t>
      </w:r>
      <w:r w:rsidRPr="00AE1B1D">
        <w:rPr>
          <w:b/>
          <w:bCs/>
          <w:noProof/>
        </w:rPr>
        <w:t>2014</w:t>
      </w:r>
      <w:r w:rsidRPr="00AE1B1D">
        <w:rPr>
          <w:noProof/>
        </w:rPr>
        <w:t xml:space="preserve">, </w:t>
      </w:r>
      <w:r w:rsidRPr="00AE1B1D">
        <w:rPr>
          <w:i/>
          <w:iCs/>
          <w:noProof/>
        </w:rPr>
        <w:t>31</w:t>
      </w:r>
      <w:r w:rsidRPr="00AE1B1D">
        <w:rPr>
          <w:noProof/>
        </w:rPr>
        <w:t>, 2516.</w:t>
      </w:r>
    </w:p>
    <w:p w14:paraId="1C072D2C"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[23]</w:t>
      </w:r>
      <w:r w:rsidRPr="00AE1B1D">
        <w:rPr>
          <w:noProof/>
        </w:rPr>
        <w:tab/>
        <w:t xml:space="preserve">A. Vila, H. Gill, O. McCallion, M. J. Alonso, </w:t>
      </w:r>
      <w:r w:rsidRPr="00AE1B1D">
        <w:rPr>
          <w:i/>
          <w:iCs/>
          <w:noProof/>
        </w:rPr>
        <w:t>J. Control. Release</w:t>
      </w:r>
      <w:r w:rsidRPr="00AE1B1D">
        <w:rPr>
          <w:noProof/>
        </w:rPr>
        <w:t xml:space="preserve"> </w:t>
      </w:r>
      <w:r w:rsidRPr="00AE1B1D">
        <w:rPr>
          <w:b/>
          <w:bCs/>
          <w:noProof/>
        </w:rPr>
        <w:t>2004</w:t>
      </w:r>
      <w:r w:rsidRPr="00AE1B1D">
        <w:rPr>
          <w:noProof/>
        </w:rPr>
        <w:t xml:space="preserve">, </w:t>
      </w:r>
      <w:r w:rsidRPr="00AE1B1D">
        <w:rPr>
          <w:i/>
          <w:iCs/>
          <w:noProof/>
        </w:rPr>
        <w:t>98</w:t>
      </w:r>
      <w:r w:rsidRPr="00AE1B1D">
        <w:rPr>
          <w:noProof/>
        </w:rPr>
        <w:t>, 231.</w:t>
      </w:r>
    </w:p>
    <w:p w14:paraId="5A5CA369"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[24]</w:t>
      </w:r>
      <w:r w:rsidRPr="00AE1B1D">
        <w:rPr>
          <w:noProof/>
        </w:rPr>
        <w:tab/>
        <w:t xml:space="preserve">A. E. Nel, L. Mädler, D. Velegol, T. Xia, E. M. V. Hoek, P. Somasundaran, F. Klaessig, V. Castranova, M. Thompson, </w:t>
      </w:r>
      <w:r w:rsidRPr="00AE1B1D">
        <w:rPr>
          <w:i/>
          <w:iCs/>
          <w:noProof/>
        </w:rPr>
        <w:t>Nat. Mater.</w:t>
      </w:r>
      <w:r w:rsidRPr="00AE1B1D">
        <w:rPr>
          <w:noProof/>
        </w:rPr>
        <w:t xml:space="preserve"> </w:t>
      </w:r>
      <w:r w:rsidRPr="00AE1B1D">
        <w:rPr>
          <w:b/>
          <w:bCs/>
          <w:noProof/>
        </w:rPr>
        <w:t>2009</w:t>
      </w:r>
      <w:r w:rsidRPr="00AE1B1D">
        <w:rPr>
          <w:noProof/>
        </w:rPr>
        <w:t xml:space="preserve">, </w:t>
      </w:r>
      <w:r w:rsidRPr="00AE1B1D">
        <w:rPr>
          <w:i/>
          <w:iCs/>
          <w:noProof/>
        </w:rPr>
        <w:t>8</w:t>
      </w:r>
      <w:r w:rsidRPr="00AE1B1D">
        <w:rPr>
          <w:noProof/>
        </w:rPr>
        <w:t>, 543.</w:t>
      </w:r>
    </w:p>
    <w:p w14:paraId="2EF5D65A"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[25]</w:t>
      </w:r>
      <w:r w:rsidRPr="00AE1B1D">
        <w:rPr>
          <w:noProof/>
        </w:rPr>
        <w:tab/>
        <w:t xml:space="preserve">A. Albanese, P. S. Tang, W. C. W. Chan, </w:t>
      </w:r>
      <w:r w:rsidRPr="00AE1B1D">
        <w:rPr>
          <w:i/>
          <w:iCs/>
          <w:noProof/>
        </w:rPr>
        <w:t>Annu. Rev. Biomed. Eng.</w:t>
      </w:r>
      <w:r w:rsidRPr="00AE1B1D">
        <w:rPr>
          <w:noProof/>
        </w:rPr>
        <w:t xml:space="preserve"> </w:t>
      </w:r>
      <w:r w:rsidRPr="00AE1B1D">
        <w:rPr>
          <w:b/>
          <w:bCs/>
          <w:noProof/>
        </w:rPr>
        <w:t>2012</w:t>
      </w:r>
      <w:r w:rsidRPr="00AE1B1D">
        <w:rPr>
          <w:noProof/>
        </w:rPr>
        <w:t xml:space="preserve">, </w:t>
      </w:r>
      <w:r w:rsidRPr="00AE1B1D">
        <w:rPr>
          <w:i/>
          <w:iCs/>
          <w:noProof/>
        </w:rPr>
        <w:t>14</w:t>
      </w:r>
      <w:r w:rsidRPr="00AE1B1D">
        <w:rPr>
          <w:noProof/>
        </w:rPr>
        <w:t>, 1.</w:t>
      </w:r>
    </w:p>
    <w:p w14:paraId="282D010E"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[26]</w:t>
      </w:r>
      <w:r w:rsidRPr="00AE1B1D">
        <w:rPr>
          <w:noProof/>
        </w:rPr>
        <w:tab/>
        <w:t xml:space="preserve">Y. Ji, L. Wang, D. C. Watts, H. Qiu, T. You, F. Deng, X. Wu, </w:t>
      </w:r>
      <w:r w:rsidRPr="00AE1B1D">
        <w:rPr>
          <w:i/>
          <w:iCs/>
          <w:noProof/>
        </w:rPr>
        <w:t>Dent. Mater.</w:t>
      </w:r>
      <w:r w:rsidRPr="00AE1B1D">
        <w:rPr>
          <w:noProof/>
        </w:rPr>
        <w:t xml:space="preserve"> </w:t>
      </w:r>
      <w:r w:rsidRPr="00AE1B1D">
        <w:rPr>
          <w:b/>
          <w:bCs/>
          <w:noProof/>
        </w:rPr>
        <w:t>2014</w:t>
      </w:r>
      <w:r w:rsidRPr="00AE1B1D">
        <w:rPr>
          <w:noProof/>
        </w:rPr>
        <w:t xml:space="preserve">, </w:t>
      </w:r>
      <w:r w:rsidRPr="00AE1B1D">
        <w:rPr>
          <w:i/>
          <w:iCs/>
          <w:noProof/>
        </w:rPr>
        <w:t>30</w:t>
      </w:r>
      <w:r w:rsidRPr="00AE1B1D">
        <w:rPr>
          <w:noProof/>
        </w:rPr>
        <w:t>, 1263.</w:t>
      </w:r>
    </w:p>
    <w:p w14:paraId="618E3F10"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[27]</w:t>
      </w:r>
      <w:r w:rsidRPr="00AE1B1D">
        <w:rPr>
          <w:noProof/>
        </w:rPr>
        <w:tab/>
        <w:t xml:space="preserve">K.-Y. Chen, K. Lin, Y. Chen, C. Yao, </w:t>
      </w:r>
      <w:r w:rsidRPr="00AE1B1D">
        <w:rPr>
          <w:i/>
          <w:iCs/>
          <w:noProof/>
        </w:rPr>
        <w:t>Evidence-Based Complement. Altern. Med.</w:t>
      </w:r>
      <w:r w:rsidRPr="00AE1B1D">
        <w:rPr>
          <w:noProof/>
        </w:rPr>
        <w:t xml:space="preserve"> </w:t>
      </w:r>
      <w:r w:rsidRPr="00AE1B1D">
        <w:rPr>
          <w:b/>
          <w:bCs/>
          <w:noProof/>
        </w:rPr>
        <w:t>2013</w:t>
      </w:r>
      <w:r w:rsidRPr="00AE1B1D">
        <w:rPr>
          <w:noProof/>
        </w:rPr>
        <w:t xml:space="preserve">, </w:t>
      </w:r>
      <w:r w:rsidRPr="00AE1B1D">
        <w:rPr>
          <w:i/>
          <w:iCs/>
          <w:noProof/>
        </w:rPr>
        <w:t>2013</w:t>
      </w:r>
      <w:r w:rsidRPr="00AE1B1D">
        <w:rPr>
          <w:noProof/>
        </w:rPr>
        <w:t>, 1.</w:t>
      </w:r>
    </w:p>
    <w:p w14:paraId="291645DF"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[28]</w:t>
      </w:r>
      <w:r w:rsidRPr="00AE1B1D">
        <w:rPr>
          <w:noProof/>
        </w:rPr>
        <w:tab/>
        <w:t xml:space="preserve">M. Yu, D. You, J. Zhuang, S. Lin, L. Dong, S. Weng, B. Zhang, K. Cheng, W. Weng, H. </w:t>
      </w:r>
      <w:r w:rsidRPr="00AE1B1D">
        <w:rPr>
          <w:noProof/>
        </w:rPr>
        <w:lastRenderedPageBreak/>
        <w:t xml:space="preserve">Wang, </w:t>
      </w:r>
      <w:r w:rsidRPr="00AE1B1D">
        <w:rPr>
          <w:i/>
          <w:iCs/>
          <w:noProof/>
        </w:rPr>
        <w:t>ACS Appl. Mater. Interfaces</w:t>
      </w:r>
      <w:r w:rsidRPr="00AE1B1D">
        <w:rPr>
          <w:noProof/>
        </w:rPr>
        <w:t xml:space="preserve"> </w:t>
      </w:r>
      <w:r w:rsidRPr="00AE1B1D">
        <w:rPr>
          <w:b/>
          <w:bCs/>
          <w:noProof/>
        </w:rPr>
        <w:t>2017</w:t>
      </w:r>
      <w:r w:rsidRPr="00AE1B1D">
        <w:rPr>
          <w:noProof/>
        </w:rPr>
        <w:t xml:space="preserve">, </w:t>
      </w:r>
      <w:r w:rsidRPr="00AE1B1D">
        <w:rPr>
          <w:i/>
          <w:iCs/>
          <w:noProof/>
        </w:rPr>
        <w:t>9</w:t>
      </w:r>
      <w:r w:rsidRPr="00AE1B1D">
        <w:rPr>
          <w:noProof/>
        </w:rPr>
        <w:t>, 19698.</w:t>
      </w:r>
    </w:p>
    <w:p w14:paraId="5683358E"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[29]</w:t>
      </w:r>
      <w:r w:rsidRPr="00AE1B1D">
        <w:rPr>
          <w:noProof/>
        </w:rPr>
        <w:tab/>
        <w:t xml:space="preserve">Z. Guo, D. Bo, P. He, H. Li, G. Wu, Z. Li, C. Zhou, Q. Li, </w:t>
      </w:r>
      <w:r w:rsidRPr="00AE1B1D">
        <w:rPr>
          <w:i/>
          <w:iCs/>
          <w:noProof/>
        </w:rPr>
        <w:t>J. Mater. Chem. B</w:t>
      </w:r>
      <w:r w:rsidRPr="00AE1B1D">
        <w:rPr>
          <w:noProof/>
        </w:rPr>
        <w:t xml:space="preserve"> </w:t>
      </w:r>
      <w:r w:rsidRPr="00AE1B1D">
        <w:rPr>
          <w:b/>
          <w:bCs/>
          <w:noProof/>
        </w:rPr>
        <w:t>2017</w:t>
      </w:r>
      <w:r w:rsidRPr="00AE1B1D">
        <w:rPr>
          <w:noProof/>
        </w:rPr>
        <w:t xml:space="preserve">, </w:t>
      </w:r>
      <w:r w:rsidRPr="00AE1B1D">
        <w:rPr>
          <w:i/>
          <w:iCs/>
          <w:noProof/>
        </w:rPr>
        <w:t>5</w:t>
      </w:r>
      <w:r w:rsidRPr="00AE1B1D">
        <w:rPr>
          <w:noProof/>
        </w:rPr>
        <w:t>, 7701.</w:t>
      </w:r>
    </w:p>
    <w:p w14:paraId="02AA759C"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[30]</w:t>
      </w:r>
      <w:r w:rsidRPr="00AE1B1D">
        <w:rPr>
          <w:noProof/>
        </w:rPr>
        <w:tab/>
        <w:t xml:space="preserve">T. Feng, K. Wang, F. Liu, R. Ye, X. Zhu, H. Zhuang, Z. Xu, </w:t>
      </w:r>
      <w:r w:rsidRPr="00AE1B1D">
        <w:rPr>
          <w:i/>
          <w:iCs/>
          <w:noProof/>
        </w:rPr>
        <w:t>Int. J. Biol. Macromol.</w:t>
      </w:r>
      <w:r w:rsidRPr="00AE1B1D">
        <w:rPr>
          <w:noProof/>
        </w:rPr>
        <w:t xml:space="preserve"> </w:t>
      </w:r>
      <w:r w:rsidRPr="00AE1B1D">
        <w:rPr>
          <w:b/>
          <w:bCs/>
          <w:noProof/>
        </w:rPr>
        <w:t>2017</w:t>
      </w:r>
      <w:r w:rsidRPr="00AE1B1D">
        <w:rPr>
          <w:noProof/>
        </w:rPr>
        <w:t xml:space="preserve">, </w:t>
      </w:r>
      <w:r w:rsidRPr="00AE1B1D">
        <w:rPr>
          <w:i/>
          <w:iCs/>
          <w:noProof/>
        </w:rPr>
        <w:t>99</w:t>
      </w:r>
      <w:r w:rsidRPr="00AE1B1D">
        <w:rPr>
          <w:noProof/>
        </w:rPr>
        <w:t>, 365.</w:t>
      </w:r>
    </w:p>
    <w:p w14:paraId="606EA029"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[31]</w:t>
      </w:r>
      <w:r w:rsidRPr="00AE1B1D">
        <w:rPr>
          <w:noProof/>
        </w:rPr>
        <w:tab/>
        <w:t xml:space="preserve">D. Schmaljohann, </w:t>
      </w:r>
      <w:r w:rsidRPr="00AE1B1D">
        <w:rPr>
          <w:i/>
          <w:iCs/>
          <w:noProof/>
        </w:rPr>
        <w:t>Adv. Drug Deliv. Rev.</w:t>
      </w:r>
      <w:r w:rsidRPr="00AE1B1D">
        <w:rPr>
          <w:noProof/>
        </w:rPr>
        <w:t xml:space="preserve"> </w:t>
      </w:r>
      <w:r w:rsidRPr="00AE1B1D">
        <w:rPr>
          <w:b/>
          <w:bCs/>
          <w:noProof/>
        </w:rPr>
        <w:t>2006</w:t>
      </w:r>
      <w:r w:rsidRPr="00AE1B1D">
        <w:rPr>
          <w:noProof/>
        </w:rPr>
        <w:t xml:space="preserve">, </w:t>
      </w:r>
      <w:r w:rsidRPr="00AE1B1D">
        <w:rPr>
          <w:i/>
          <w:iCs/>
          <w:noProof/>
        </w:rPr>
        <w:t>58</w:t>
      </w:r>
      <w:r w:rsidRPr="00AE1B1D">
        <w:rPr>
          <w:noProof/>
        </w:rPr>
        <w:t>, 1655.</w:t>
      </w:r>
    </w:p>
    <w:p w14:paraId="0F033179"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[32]</w:t>
      </w:r>
      <w:r w:rsidRPr="00AE1B1D">
        <w:rPr>
          <w:noProof/>
        </w:rPr>
        <w:tab/>
        <w:t xml:space="preserve">Z. Zhang, X. Xiong, J. Wan, L. Xiao, L. Gan, Y. Feng, H. Xu, X. Yang, </w:t>
      </w:r>
      <w:r w:rsidRPr="00AE1B1D">
        <w:rPr>
          <w:i/>
          <w:iCs/>
          <w:noProof/>
        </w:rPr>
        <w:t>Biomaterials</w:t>
      </w:r>
      <w:r w:rsidRPr="00AE1B1D">
        <w:rPr>
          <w:noProof/>
        </w:rPr>
        <w:t xml:space="preserve"> </w:t>
      </w:r>
      <w:r w:rsidRPr="00AE1B1D">
        <w:rPr>
          <w:b/>
          <w:bCs/>
          <w:noProof/>
        </w:rPr>
        <w:t>2012</w:t>
      </w:r>
      <w:r w:rsidRPr="00AE1B1D">
        <w:rPr>
          <w:noProof/>
        </w:rPr>
        <w:t xml:space="preserve">, </w:t>
      </w:r>
      <w:r w:rsidRPr="00AE1B1D">
        <w:rPr>
          <w:i/>
          <w:iCs/>
          <w:noProof/>
        </w:rPr>
        <w:t>33</w:t>
      </w:r>
      <w:r w:rsidRPr="00AE1B1D">
        <w:rPr>
          <w:noProof/>
        </w:rPr>
        <w:t>, 7233.</w:t>
      </w:r>
    </w:p>
    <w:p w14:paraId="088D9AA5"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[33]</w:t>
      </w:r>
      <w:r w:rsidRPr="00AE1B1D">
        <w:rPr>
          <w:noProof/>
        </w:rPr>
        <w:tab/>
        <w:t xml:space="preserve">U. Kedar, P. Phutane, S. Shidhaye, V. Kadam, </w:t>
      </w:r>
      <w:r w:rsidRPr="00AE1B1D">
        <w:rPr>
          <w:i/>
          <w:iCs/>
          <w:noProof/>
        </w:rPr>
        <w:t>Nanomedicine Nanotechnology, Biol. Med.</w:t>
      </w:r>
      <w:r w:rsidRPr="00AE1B1D">
        <w:rPr>
          <w:noProof/>
        </w:rPr>
        <w:t xml:space="preserve"> </w:t>
      </w:r>
      <w:r w:rsidRPr="00AE1B1D">
        <w:rPr>
          <w:b/>
          <w:bCs/>
          <w:noProof/>
        </w:rPr>
        <w:t>2010</w:t>
      </w:r>
      <w:r w:rsidRPr="00AE1B1D">
        <w:rPr>
          <w:noProof/>
        </w:rPr>
        <w:t xml:space="preserve">, </w:t>
      </w:r>
      <w:r w:rsidRPr="00AE1B1D">
        <w:rPr>
          <w:i/>
          <w:iCs/>
          <w:noProof/>
        </w:rPr>
        <w:t>6</w:t>
      </w:r>
      <w:r w:rsidRPr="00AE1B1D">
        <w:rPr>
          <w:noProof/>
        </w:rPr>
        <w:t>, 714.</w:t>
      </w:r>
    </w:p>
    <w:p w14:paraId="3B725B72"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[34]</w:t>
      </w:r>
      <w:r w:rsidRPr="00AE1B1D">
        <w:rPr>
          <w:noProof/>
        </w:rPr>
        <w:tab/>
        <w:t xml:space="preserve">Q. Zhang, N. Re Ko, J. Kwon Oh, </w:t>
      </w:r>
      <w:r w:rsidRPr="00AE1B1D">
        <w:rPr>
          <w:i/>
          <w:iCs/>
          <w:noProof/>
        </w:rPr>
        <w:t>Chem. Commun.</w:t>
      </w:r>
      <w:r w:rsidRPr="00AE1B1D">
        <w:rPr>
          <w:noProof/>
        </w:rPr>
        <w:t xml:space="preserve"> </w:t>
      </w:r>
      <w:r w:rsidRPr="00AE1B1D">
        <w:rPr>
          <w:b/>
          <w:bCs/>
          <w:noProof/>
        </w:rPr>
        <w:t>2012</w:t>
      </w:r>
      <w:r w:rsidRPr="00AE1B1D">
        <w:rPr>
          <w:noProof/>
        </w:rPr>
        <w:t xml:space="preserve">, </w:t>
      </w:r>
      <w:r w:rsidRPr="00AE1B1D">
        <w:rPr>
          <w:i/>
          <w:iCs/>
          <w:noProof/>
        </w:rPr>
        <w:t>48</w:t>
      </w:r>
      <w:r w:rsidRPr="00AE1B1D">
        <w:rPr>
          <w:noProof/>
        </w:rPr>
        <w:t>, 7542.</w:t>
      </w:r>
    </w:p>
    <w:p w14:paraId="2D2B0466" w14:textId="77777777" w:rsidR="00587D36" w:rsidRPr="00AE1B1D" w:rsidRDefault="00075044" w:rsidP="00343410">
      <w:pPr>
        <w:widowControl w:val="0"/>
        <w:autoSpaceDE w:val="0"/>
        <w:autoSpaceDN w:val="0"/>
        <w:adjustRightInd w:val="0"/>
        <w:spacing w:line="480" w:lineRule="auto"/>
        <w:ind w:left="640" w:hanging="640"/>
        <w:jc w:val="both"/>
        <w:rPr>
          <w:noProof/>
        </w:rPr>
      </w:pPr>
      <w:r w:rsidRPr="00AE1B1D">
        <w:rPr>
          <w:noProof/>
        </w:rPr>
        <w:t>[35</w:t>
      </w:r>
      <w:r w:rsidR="00587D36" w:rsidRPr="00AE1B1D">
        <w:rPr>
          <w:noProof/>
        </w:rPr>
        <w:t>]</w:t>
      </w:r>
      <w:r w:rsidR="00587D36" w:rsidRPr="00AE1B1D">
        <w:rPr>
          <w:noProof/>
        </w:rPr>
        <w:tab/>
        <w:t xml:space="preserve">X. Sun, F. Li, Y. Wang, W. Liang, </w:t>
      </w:r>
      <w:r w:rsidR="00587D36" w:rsidRPr="00AE1B1D">
        <w:rPr>
          <w:i/>
          <w:iCs/>
          <w:noProof/>
        </w:rPr>
        <w:t>Pharmazie</w:t>
      </w:r>
      <w:r w:rsidR="00587D36" w:rsidRPr="00AE1B1D">
        <w:rPr>
          <w:noProof/>
        </w:rPr>
        <w:t xml:space="preserve"> </w:t>
      </w:r>
      <w:r w:rsidR="00587D36" w:rsidRPr="00AE1B1D">
        <w:rPr>
          <w:b/>
          <w:bCs/>
          <w:noProof/>
        </w:rPr>
        <w:t>2010</w:t>
      </w:r>
      <w:r w:rsidR="00587D36" w:rsidRPr="00AE1B1D">
        <w:rPr>
          <w:noProof/>
        </w:rPr>
        <w:t xml:space="preserve">, </w:t>
      </w:r>
      <w:r w:rsidR="00587D36" w:rsidRPr="00AE1B1D">
        <w:rPr>
          <w:i/>
          <w:iCs/>
          <w:noProof/>
        </w:rPr>
        <w:t>65</w:t>
      </w:r>
      <w:r w:rsidR="00587D36" w:rsidRPr="00AE1B1D">
        <w:rPr>
          <w:noProof/>
        </w:rPr>
        <w:t>, 737.</w:t>
      </w:r>
    </w:p>
    <w:p w14:paraId="66548AAE"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w:t>
      </w:r>
      <w:r w:rsidR="00075044" w:rsidRPr="00AE1B1D">
        <w:rPr>
          <w:noProof/>
        </w:rPr>
        <w:t>6</w:t>
      </w:r>
      <w:r w:rsidRPr="00AE1B1D">
        <w:rPr>
          <w:noProof/>
        </w:rPr>
        <w:t>]</w:t>
      </w:r>
      <w:r w:rsidRPr="00AE1B1D">
        <w:rPr>
          <w:noProof/>
        </w:rPr>
        <w:tab/>
        <w:t xml:space="preserve">L. Li, Z. Zeng, G. Cai, </w:t>
      </w:r>
      <w:r w:rsidRPr="00AE1B1D">
        <w:rPr>
          <w:i/>
          <w:iCs/>
          <w:noProof/>
        </w:rPr>
        <w:t>Phytomedicine</w:t>
      </w:r>
      <w:r w:rsidRPr="00AE1B1D">
        <w:rPr>
          <w:noProof/>
        </w:rPr>
        <w:t xml:space="preserve"> </w:t>
      </w:r>
      <w:r w:rsidRPr="00AE1B1D">
        <w:rPr>
          <w:b/>
          <w:bCs/>
          <w:noProof/>
        </w:rPr>
        <w:t>2011</w:t>
      </w:r>
      <w:r w:rsidRPr="00AE1B1D">
        <w:rPr>
          <w:noProof/>
        </w:rPr>
        <w:t xml:space="preserve">, </w:t>
      </w:r>
      <w:r w:rsidRPr="00AE1B1D">
        <w:rPr>
          <w:i/>
          <w:iCs/>
          <w:noProof/>
        </w:rPr>
        <w:t>18</w:t>
      </w:r>
      <w:r w:rsidRPr="00AE1B1D">
        <w:rPr>
          <w:noProof/>
        </w:rPr>
        <w:t>, 985.</w:t>
      </w:r>
    </w:p>
    <w:p w14:paraId="545915F1" w14:textId="77777777"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[3</w:t>
      </w:r>
      <w:r w:rsidR="00075044" w:rsidRPr="00AE1B1D">
        <w:rPr>
          <w:noProof/>
        </w:rPr>
        <w:t>7</w:t>
      </w:r>
      <w:r w:rsidRPr="00AE1B1D">
        <w:rPr>
          <w:noProof/>
        </w:rPr>
        <w:t>]</w:t>
      </w:r>
      <w:r w:rsidRPr="00AE1B1D">
        <w:rPr>
          <w:noProof/>
        </w:rPr>
        <w:tab/>
        <w:t xml:space="preserve">Peng-Zhang, K. Dai, S. Yan, W. Yan, Chao-Zhang, D. Chen, Bo-Xu, Z. Xu, </w:t>
      </w:r>
      <w:r w:rsidRPr="00AE1B1D">
        <w:rPr>
          <w:i/>
          <w:iCs/>
          <w:noProof/>
        </w:rPr>
        <w:t>Eur. J. Pharmacol.</w:t>
      </w:r>
      <w:r w:rsidRPr="00AE1B1D">
        <w:rPr>
          <w:noProof/>
        </w:rPr>
        <w:t xml:space="preserve"> </w:t>
      </w:r>
      <w:r w:rsidRPr="00AE1B1D">
        <w:rPr>
          <w:b/>
          <w:bCs/>
          <w:noProof/>
        </w:rPr>
        <w:t>2009</w:t>
      </w:r>
      <w:r w:rsidRPr="00AE1B1D">
        <w:rPr>
          <w:noProof/>
        </w:rPr>
        <w:t xml:space="preserve">, </w:t>
      </w:r>
      <w:r w:rsidRPr="00AE1B1D">
        <w:rPr>
          <w:i/>
          <w:iCs/>
          <w:noProof/>
        </w:rPr>
        <w:t>607</w:t>
      </w:r>
      <w:r w:rsidRPr="00AE1B1D">
        <w:rPr>
          <w:noProof/>
        </w:rPr>
        <w:t>, 1.</w:t>
      </w:r>
    </w:p>
    <w:p w14:paraId="78ABAB7E" w14:textId="2C2D2E68"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w:t>
      </w:r>
      <w:r w:rsidR="009953C0" w:rsidRPr="00AE1B1D">
        <w:rPr>
          <w:noProof/>
        </w:rPr>
        <w:t>38</w:t>
      </w:r>
      <w:r w:rsidRPr="00AE1B1D">
        <w:rPr>
          <w:noProof/>
        </w:rPr>
        <w:t>]</w:t>
      </w:r>
      <w:r w:rsidRPr="00AE1B1D">
        <w:rPr>
          <w:noProof/>
        </w:rPr>
        <w:tab/>
        <w:t xml:space="preserve">H. Wang, C. Li, J. Li, Y. Zhu, Y. Jia, Y. Zhang, W. Li, L. Cui, W. Li, Y. Liu, </w:t>
      </w:r>
      <w:r w:rsidRPr="00AE1B1D">
        <w:rPr>
          <w:i/>
          <w:iCs/>
          <w:noProof/>
        </w:rPr>
        <w:t>Iran. J. Basic Med. Sci.</w:t>
      </w:r>
      <w:r w:rsidRPr="00AE1B1D">
        <w:rPr>
          <w:noProof/>
        </w:rPr>
        <w:t xml:space="preserve"> </w:t>
      </w:r>
      <w:r w:rsidRPr="00AE1B1D">
        <w:rPr>
          <w:b/>
          <w:bCs/>
          <w:noProof/>
        </w:rPr>
        <w:t>2017</w:t>
      </w:r>
      <w:r w:rsidRPr="00AE1B1D">
        <w:rPr>
          <w:noProof/>
        </w:rPr>
        <w:t xml:space="preserve">, </w:t>
      </w:r>
      <w:r w:rsidRPr="00AE1B1D">
        <w:rPr>
          <w:i/>
          <w:iCs/>
          <w:noProof/>
        </w:rPr>
        <w:t>20</w:t>
      </w:r>
      <w:r w:rsidRPr="00AE1B1D">
        <w:rPr>
          <w:noProof/>
        </w:rPr>
        <w:t>, 407.</w:t>
      </w:r>
    </w:p>
    <w:p w14:paraId="6CDF0505" w14:textId="39ED8EF0" w:rsidR="00587D36" w:rsidRPr="00AE1B1D" w:rsidRDefault="00C85D06" w:rsidP="00343410">
      <w:pPr>
        <w:widowControl w:val="0"/>
        <w:autoSpaceDE w:val="0"/>
        <w:autoSpaceDN w:val="0"/>
        <w:adjustRightInd w:val="0"/>
        <w:spacing w:line="480" w:lineRule="auto"/>
        <w:ind w:left="640" w:hanging="640"/>
        <w:jc w:val="both"/>
        <w:rPr>
          <w:noProof/>
        </w:rPr>
      </w:pPr>
      <w:r w:rsidRPr="00AE1B1D">
        <w:rPr>
          <w:noProof/>
        </w:rPr>
        <w:t>[39</w:t>
      </w:r>
      <w:r w:rsidR="00587D36" w:rsidRPr="00AE1B1D">
        <w:rPr>
          <w:noProof/>
        </w:rPr>
        <w:t>]</w:t>
      </w:r>
      <w:r w:rsidR="00587D36" w:rsidRPr="00AE1B1D">
        <w:rPr>
          <w:noProof/>
        </w:rPr>
        <w:tab/>
        <w:t xml:space="preserve">F. Li, F. Meng, Z. Xiong, Y. Li, R. Liu, H. Liu, </w:t>
      </w:r>
      <w:r w:rsidR="00587D36" w:rsidRPr="00AE1B1D">
        <w:rPr>
          <w:i/>
          <w:iCs/>
          <w:noProof/>
        </w:rPr>
        <w:t>Pharmazie</w:t>
      </w:r>
      <w:r w:rsidR="00587D36" w:rsidRPr="00AE1B1D">
        <w:rPr>
          <w:noProof/>
        </w:rPr>
        <w:t xml:space="preserve"> </w:t>
      </w:r>
      <w:r w:rsidR="00587D36" w:rsidRPr="00AE1B1D">
        <w:rPr>
          <w:b/>
          <w:bCs/>
          <w:noProof/>
        </w:rPr>
        <w:t>2006</w:t>
      </w:r>
      <w:r w:rsidR="00587D36" w:rsidRPr="00AE1B1D">
        <w:rPr>
          <w:noProof/>
        </w:rPr>
        <w:t xml:space="preserve">, </w:t>
      </w:r>
      <w:r w:rsidR="00587D36" w:rsidRPr="00AE1B1D">
        <w:rPr>
          <w:i/>
          <w:iCs/>
          <w:noProof/>
        </w:rPr>
        <w:t>61</w:t>
      </w:r>
      <w:r w:rsidR="00587D36" w:rsidRPr="00AE1B1D">
        <w:rPr>
          <w:noProof/>
        </w:rPr>
        <w:t>, 962.</w:t>
      </w:r>
    </w:p>
    <w:p w14:paraId="42D08195" w14:textId="7DDFF602"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00C85D06" w:rsidRPr="00AE1B1D">
        <w:rPr>
          <w:noProof/>
        </w:rPr>
        <w:t>0</w:t>
      </w:r>
      <w:r w:rsidRPr="00AE1B1D">
        <w:rPr>
          <w:noProof/>
        </w:rPr>
        <w:t>]</w:t>
      </w:r>
      <w:r w:rsidRPr="00AE1B1D">
        <w:rPr>
          <w:noProof/>
        </w:rPr>
        <w:tab/>
        <w:t xml:space="preserve">V. M. C. Quent, D. Loessner, T. Friis, J. C. Reichert, D. W. Hutmacher, </w:t>
      </w:r>
      <w:r w:rsidRPr="00AE1B1D">
        <w:rPr>
          <w:i/>
          <w:iCs/>
          <w:noProof/>
        </w:rPr>
        <w:t>J. Cell. Mol. Med.</w:t>
      </w:r>
      <w:r w:rsidRPr="00AE1B1D">
        <w:rPr>
          <w:noProof/>
        </w:rPr>
        <w:t xml:space="preserve"> </w:t>
      </w:r>
      <w:r w:rsidRPr="00AE1B1D">
        <w:rPr>
          <w:b/>
          <w:bCs/>
          <w:noProof/>
        </w:rPr>
        <w:t>2010</w:t>
      </w:r>
      <w:r w:rsidRPr="00AE1B1D">
        <w:rPr>
          <w:noProof/>
        </w:rPr>
        <w:t xml:space="preserve">, </w:t>
      </w:r>
      <w:r w:rsidRPr="00AE1B1D">
        <w:rPr>
          <w:i/>
          <w:iCs/>
          <w:noProof/>
        </w:rPr>
        <w:t>14</w:t>
      </w:r>
      <w:r w:rsidRPr="00AE1B1D">
        <w:rPr>
          <w:noProof/>
        </w:rPr>
        <w:t>, 1003.</w:t>
      </w:r>
    </w:p>
    <w:p w14:paraId="54081934" w14:textId="6791FD5A"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00C85D06" w:rsidRPr="00AE1B1D">
        <w:rPr>
          <w:noProof/>
        </w:rPr>
        <w:t>1</w:t>
      </w:r>
      <w:r w:rsidRPr="00AE1B1D">
        <w:rPr>
          <w:noProof/>
        </w:rPr>
        <w:t>]</w:t>
      </w:r>
      <w:r w:rsidRPr="00AE1B1D">
        <w:rPr>
          <w:noProof/>
        </w:rPr>
        <w:tab/>
        <w:t xml:space="preserve">T. P. N. Talorete, M. Bouaziz, S. Sayadi, H. Isoda, </w:t>
      </w:r>
      <w:r w:rsidRPr="00AE1B1D">
        <w:rPr>
          <w:i/>
          <w:iCs/>
          <w:noProof/>
        </w:rPr>
        <w:t>Cytotechnology</w:t>
      </w:r>
      <w:r w:rsidRPr="00AE1B1D">
        <w:rPr>
          <w:noProof/>
        </w:rPr>
        <w:t xml:space="preserve"> </w:t>
      </w:r>
      <w:r w:rsidRPr="00AE1B1D">
        <w:rPr>
          <w:b/>
          <w:bCs/>
          <w:noProof/>
        </w:rPr>
        <w:t>2007</w:t>
      </w:r>
      <w:r w:rsidRPr="00AE1B1D">
        <w:rPr>
          <w:noProof/>
        </w:rPr>
        <w:t xml:space="preserve">, </w:t>
      </w:r>
      <w:r w:rsidRPr="00AE1B1D">
        <w:rPr>
          <w:i/>
          <w:iCs/>
          <w:noProof/>
        </w:rPr>
        <w:t>52</w:t>
      </w:r>
      <w:r w:rsidRPr="00AE1B1D">
        <w:rPr>
          <w:noProof/>
        </w:rPr>
        <w:t>, 189.</w:t>
      </w:r>
    </w:p>
    <w:p w14:paraId="55BBC531" w14:textId="2EECD9AB"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00C85D06" w:rsidRPr="00AE1B1D">
        <w:rPr>
          <w:noProof/>
        </w:rPr>
        <w:t>2</w:t>
      </w:r>
      <w:r w:rsidRPr="00AE1B1D">
        <w:rPr>
          <w:noProof/>
        </w:rPr>
        <w:t>]</w:t>
      </w:r>
      <w:r w:rsidRPr="00AE1B1D">
        <w:rPr>
          <w:noProof/>
        </w:rPr>
        <w:tab/>
        <w:t xml:space="preserve">A. A. Leto Barone, S. Khalifian, W. P. A. Lee, G. Brandacher, </w:t>
      </w:r>
      <w:r w:rsidRPr="00AE1B1D">
        <w:rPr>
          <w:i/>
          <w:iCs/>
          <w:noProof/>
        </w:rPr>
        <w:t>Biomed Res. Int.</w:t>
      </w:r>
      <w:r w:rsidRPr="00AE1B1D">
        <w:rPr>
          <w:noProof/>
        </w:rPr>
        <w:t xml:space="preserve"> </w:t>
      </w:r>
      <w:r w:rsidRPr="00AE1B1D">
        <w:rPr>
          <w:b/>
          <w:bCs/>
          <w:noProof/>
        </w:rPr>
        <w:t>2013</w:t>
      </w:r>
      <w:r w:rsidRPr="00AE1B1D">
        <w:rPr>
          <w:noProof/>
        </w:rPr>
        <w:t xml:space="preserve">, </w:t>
      </w:r>
      <w:r w:rsidRPr="00AE1B1D">
        <w:rPr>
          <w:i/>
          <w:iCs/>
          <w:noProof/>
        </w:rPr>
        <w:t>2013</w:t>
      </w:r>
      <w:r w:rsidRPr="00AE1B1D">
        <w:rPr>
          <w:noProof/>
        </w:rPr>
        <w:t>, 1.</w:t>
      </w:r>
    </w:p>
    <w:p w14:paraId="1F88D8D2" w14:textId="3DFA763F"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00C85D06" w:rsidRPr="00AE1B1D">
        <w:rPr>
          <w:noProof/>
        </w:rPr>
        <w:t>3</w:t>
      </w:r>
      <w:r w:rsidRPr="00AE1B1D">
        <w:rPr>
          <w:noProof/>
        </w:rPr>
        <w:t>]</w:t>
      </w:r>
      <w:r w:rsidRPr="00AE1B1D">
        <w:rPr>
          <w:noProof/>
        </w:rPr>
        <w:tab/>
        <w:t xml:space="preserve">X. Zhu, J. Du, G. Liu, </w:t>
      </w:r>
      <w:r w:rsidRPr="00AE1B1D">
        <w:rPr>
          <w:i/>
          <w:iCs/>
          <w:noProof/>
        </w:rPr>
        <w:t>Clin. Lab.</w:t>
      </w:r>
      <w:r w:rsidRPr="00AE1B1D">
        <w:rPr>
          <w:noProof/>
        </w:rPr>
        <w:t xml:space="preserve"> </w:t>
      </w:r>
      <w:r w:rsidRPr="00AE1B1D">
        <w:rPr>
          <w:b/>
          <w:bCs/>
          <w:noProof/>
        </w:rPr>
        <w:t>2012</w:t>
      </w:r>
      <w:r w:rsidRPr="00AE1B1D">
        <w:rPr>
          <w:noProof/>
        </w:rPr>
        <w:t xml:space="preserve">, </w:t>
      </w:r>
      <w:r w:rsidRPr="00AE1B1D">
        <w:rPr>
          <w:i/>
          <w:iCs/>
          <w:noProof/>
        </w:rPr>
        <w:t>58</w:t>
      </w:r>
      <w:r w:rsidRPr="00AE1B1D">
        <w:rPr>
          <w:noProof/>
        </w:rPr>
        <w:t>, 897.</w:t>
      </w:r>
    </w:p>
    <w:p w14:paraId="5FF2B8F8" w14:textId="711C7B73"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00C85D06" w:rsidRPr="00AE1B1D">
        <w:rPr>
          <w:noProof/>
        </w:rPr>
        <w:t>4</w:t>
      </w:r>
      <w:r w:rsidRPr="00AE1B1D">
        <w:rPr>
          <w:noProof/>
        </w:rPr>
        <w:t>]</w:t>
      </w:r>
      <w:r w:rsidRPr="00AE1B1D">
        <w:rPr>
          <w:noProof/>
        </w:rPr>
        <w:tab/>
        <w:t xml:space="preserve">A. C. C. Cruz, M. L. Silva, T. Caon, C. M. O. Simões, </w:t>
      </w:r>
      <w:r w:rsidRPr="00AE1B1D">
        <w:rPr>
          <w:i/>
          <w:iCs/>
          <w:noProof/>
        </w:rPr>
        <w:t>J. Appl. Oral Sci.</w:t>
      </w:r>
      <w:r w:rsidRPr="00AE1B1D">
        <w:rPr>
          <w:noProof/>
        </w:rPr>
        <w:t xml:space="preserve"> </w:t>
      </w:r>
      <w:r w:rsidRPr="00AE1B1D">
        <w:rPr>
          <w:b/>
          <w:bCs/>
          <w:noProof/>
        </w:rPr>
        <w:t>2012</w:t>
      </w:r>
      <w:r w:rsidRPr="00AE1B1D">
        <w:rPr>
          <w:noProof/>
        </w:rPr>
        <w:t xml:space="preserve">, </w:t>
      </w:r>
      <w:r w:rsidRPr="00AE1B1D">
        <w:rPr>
          <w:i/>
          <w:iCs/>
          <w:noProof/>
        </w:rPr>
        <w:t>20</w:t>
      </w:r>
      <w:r w:rsidRPr="00AE1B1D">
        <w:rPr>
          <w:noProof/>
        </w:rPr>
        <w:t>, 628.</w:t>
      </w:r>
    </w:p>
    <w:p w14:paraId="7DAEE346" w14:textId="12ADC908"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00C85D06" w:rsidRPr="00AE1B1D">
        <w:rPr>
          <w:noProof/>
        </w:rPr>
        <w:t>5</w:t>
      </w:r>
      <w:r w:rsidRPr="00AE1B1D">
        <w:rPr>
          <w:noProof/>
        </w:rPr>
        <w:t>]</w:t>
      </w:r>
      <w:r w:rsidRPr="00AE1B1D">
        <w:rPr>
          <w:noProof/>
        </w:rPr>
        <w:tab/>
        <w:t xml:space="preserve">E. A. Wang, D. I. Israel, S. Kelly, D. P. Luxenberg, </w:t>
      </w:r>
      <w:r w:rsidRPr="00AE1B1D">
        <w:rPr>
          <w:i/>
          <w:iCs/>
          <w:noProof/>
        </w:rPr>
        <w:t>Growth Factors</w:t>
      </w:r>
      <w:r w:rsidRPr="00AE1B1D">
        <w:rPr>
          <w:noProof/>
        </w:rPr>
        <w:t xml:space="preserve"> </w:t>
      </w:r>
      <w:r w:rsidRPr="00AE1B1D">
        <w:rPr>
          <w:b/>
          <w:bCs/>
          <w:noProof/>
        </w:rPr>
        <w:t>1993</w:t>
      </w:r>
      <w:r w:rsidRPr="00AE1B1D">
        <w:rPr>
          <w:noProof/>
        </w:rPr>
        <w:t xml:space="preserve">, </w:t>
      </w:r>
      <w:r w:rsidRPr="00AE1B1D">
        <w:rPr>
          <w:i/>
          <w:iCs/>
          <w:noProof/>
        </w:rPr>
        <w:t>9</w:t>
      </w:r>
      <w:r w:rsidRPr="00AE1B1D">
        <w:rPr>
          <w:noProof/>
        </w:rPr>
        <w:t>, 57.</w:t>
      </w:r>
    </w:p>
    <w:p w14:paraId="3951E4D3" w14:textId="10DEEDF6"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lastRenderedPageBreak/>
        <w:t>[4</w:t>
      </w:r>
      <w:r w:rsidR="00C85D06" w:rsidRPr="00AE1B1D">
        <w:rPr>
          <w:noProof/>
        </w:rPr>
        <w:t>6</w:t>
      </w:r>
      <w:r w:rsidRPr="00AE1B1D">
        <w:rPr>
          <w:noProof/>
        </w:rPr>
        <w:t>]</w:t>
      </w:r>
      <w:r w:rsidRPr="00AE1B1D">
        <w:rPr>
          <w:noProof/>
        </w:rPr>
        <w:tab/>
        <w:t xml:space="preserve">N. Li, C. Whitaker, Z. Xu, M. Heggeness, S.-Y. Yang, </w:t>
      </w:r>
      <w:r w:rsidRPr="00AE1B1D">
        <w:rPr>
          <w:i/>
          <w:iCs/>
          <w:noProof/>
        </w:rPr>
        <w:t>Spine J.</w:t>
      </w:r>
      <w:r w:rsidRPr="00AE1B1D">
        <w:rPr>
          <w:noProof/>
        </w:rPr>
        <w:t xml:space="preserve"> </w:t>
      </w:r>
      <w:r w:rsidRPr="00AE1B1D">
        <w:rPr>
          <w:b/>
          <w:bCs/>
          <w:noProof/>
        </w:rPr>
        <w:t>2016</w:t>
      </w:r>
      <w:r w:rsidRPr="00AE1B1D">
        <w:rPr>
          <w:noProof/>
        </w:rPr>
        <w:t xml:space="preserve">, </w:t>
      </w:r>
      <w:r w:rsidRPr="00AE1B1D">
        <w:rPr>
          <w:i/>
          <w:iCs/>
          <w:noProof/>
        </w:rPr>
        <w:t>16</w:t>
      </w:r>
      <w:r w:rsidRPr="00AE1B1D">
        <w:rPr>
          <w:noProof/>
        </w:rPr>
        <w:t>, 1231.</w:t>
      </w:r>
    </w:p>
    <w:p w14:paraId="15C437D0" w14:textId="68882F98"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[4</w:t>
      </w:r>
      <w:r w:rsidR="00C85D06" w:rsidRPr="00AE1B1D">
        <w:rPr>
          <w:noProof/>
        </w:rPr>
        <w:t>7</w:t>
      </w:r>
      <w:r w:rsidRPr="00AE1B1D">
        <w:rPr>
          <w:noProof/>
        </w:rPr>
        <w:t>]</w:t>
      </w:r>
      <w:r w:rsidRPr="00AE1B1D">
        <w:rPr>
          <w:noProof/>
        </w:rPr>
        <w:tab/>
        <w:t xml:space="preserve">L. Yin, W. Cheng, Z. Qin, H. Yu, Z. Yu, M. Zhong, K. Sun, W. Zhang, </w:t>
      </w:r>
      <w:r w:rsidRPr="00AE1B1D">
        <w:rPr>
          <w:i/>
          <w:iCs/>
          <w:noProof/>
        </w:rPr>
        <w:t>Stem Cells Int.</w:t>
      </w:r>
      <w:r w:rsidRPr="00AE1B1D">
        <w:rPr>
          <w:noProof/>
        </w:rPr>
        <w:t xml:space="preserve"> </w:t>
      </w:r>
      <w:r w:rsidRPr="00AE1B1D">
        <w:rPr>
          <w:b/>
          <w:bCs/>
          <w:noProof/>
        </w:rPr>
        <w:t>2015</w:t>
      </w:r>
      <w:r w:rsidRPr="00AE1B1D">
        <w:rPr>
          <w:noProof/>
        </w:rPr>
        <w:t xml:space="preserve">, </w:t>
      </w:r>
      <w:r w:rsidRPr="00AE1B1D">
        <w:rPr>
          <w:i/>
          <w:iCs/>
          <w:noProof/>
        </w:rPr>
        <w:t>2015</w:t>
      </w:r>
      <w:r w:rsidRPr="00AE1B1D">
        <w:rPr>
          <w:noProof/>
        </w:rPr>
        <w:t>, 1.</w:t>
      </w:r>
    </w:p>
    <w:p w14:paraId="239DF324" w14:textId="55ED8631"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w:t>
      </w:r>
      <w:r w:rsidR="00C85D06" w:rsidRPr="00AE1B1D">
        <w:rPr>
          <w:noProof/>
        </w:rPr>
        <w:t>48</w:t>
      </w:r>
      <w:r w:rsidRPr="00AE1B1D">
        <w:rPr>
          <w:noProof/>
        </w:rPr>
        <w:t>]</w:t>
      </w:r>
      <w:r w:rsidRPr="00AE1B1D">
        <w:rPr>
          <w:noProof/>
        </w:rPr>
        <w:tab/>
        <w:t xml:space="preserve">Q. Chen, P. Shou, L. Zhang, C. Xu, C. Zheng, Y. Han, W. Li, Y. Huang, X. Zhang, C. Shao, A. I. Roberts, A. B. Rabson, G. Ren, Y. Zhang, Y. Wang, D. T. Denhardt, Y. Shi, </w:t>
      </w:r>
      <w:r w:rsidRPr="00AE1B1D">
        <w:rPr>
          <w:i/>
          <w:iCs/>
          <w:noProof/>
        </w:rPr>
        <w:t>Stem Cells</w:t>
      </w:r>
      <w:r w:rsidRPr="00AE1B1D">
        <w:rPr>
          <w:noProof/>
        </w:rPr>
        <w:t xml:space="preserve"> </w:t>
      </w:r>
      <w:r w:rsidRPr="00AE1B1D">
        <w:rPr>
          <w:b/>
          <w:bCs/>
          <w:noProof/>
        </w:rPr>
        <w:t>2014</w:t>
      </w:r>
      <w:r w:rsidRPr="00AE1B1D">
        <w:rPr>
          <w:noProof/>
        </w:rPr>
        <w:t xml:space="preserve">, </w:t>
      </w:r>
      <w:r w:rsidRPr="00AE1B1D">
        <w:rPr>
          <w:i/>
          <w:iCs/>
          <w:noProof/>
        </w:rPr>
        <w:t>32</w:t>
      </w:r>
      <w:r w:rsidRPr="00AE1B1D">
        <w:rPr>
          <w:noProof/>
        </w:rPr>
        <w:t>, 327.</w:t>
      </w:r>
    </w:p>
    <w:p w14:paraId="7D8577FA" w14:textId="639C39C2" w:rsidR="00587D36" w:rsidRPr="00AE1B1D" w:rsidRDefault="00C85D06" w:rsidP="00343410">
      <w:pPr>
        <w:widowControl w:val="0"/>
        <w:autoSpaceDE w:val="0"/>
        <w:autoSpaceDN w:val="0"/>
        <w:adjustRightInd w:val="0"/>
        <w:spacing w:line="480" w:lineRule="auto"/>
        <w:ind w:left="640" w:hanging="640"/>
        <w:jc w:val="both"/>
        <w:rPr>
          <w:noProof/>
        </w:rPr>
      </w:pPr>
      <w:r w:rsidRPr="00AE1B1D">
        <w:rPr>
          <w:noProof/>
        </w:rPr>
        <w:t>[49</w:t>
      </w:r>
      <w:r w:rsidR="00587D36" w:rsidRPr="00AE1B1D">
        <w:rPr>
          <w:noProof/>
        </w:rPr>
        <w:t>]</w:t>
      </w:r>
      <w:r w:rsidR="00587D36" w:rsidRPr="00AE1B1D">
        <w:rPr>
          <w:noProof/>
        </w:rPr>
        <w:tab/>
        <w:t xml:space="preserve">I. Takada, A. P. Kouzmenko, S. Kato, </w:t>
      </w:r>
      <w:r w:rsidR="00587D36" w:rsidRPr="00AE1B1D">
        <w:rPr>
          <w:i/>
          <w:iCs/>
          <w:noProof/>
        </w:rPr>
        <w:t>Nat. Rev. Rheumatol.</w:t>
      </w:r>
      <w:r w:rsidR="00587D36" w:rsidRPr="00AE1B1D">
        <w:rPr>
          <w:noProof/>
        </w:rPr>
        <w:t xml:space="preserve"> </w:t>
      </w:r>
      <w:r w:rsidR="00587D36" w:rsidRPr="00AE1B1D">
        <w:rPr>
          <w:b/>
          <w:bCs/>
          <w:noProof/>
        </w:rPr>
        <w:t>2009</w:t>
      </w:r>
      <w:r w:rsidR="00587D36" w:rsidRPr="00AE1B1D">
        <w:rPr>
          <w:noProof/>
        </w:rPr>
        <w:t xml:space="preserve">, </w:t>
      </w:r>
      <w:r w:rsidR="00587D36" w:rsidRPr="00AE1B1D">
        <w:rPr>
          <w:i/>
          <w:iCs/>
          <w:noProof/>
        </w:rPr>
        <w:t>5</w:t>
      </w:r>
      <w:r w:rsidR="00587D36" w:rsidRPr="00AE1B1D">
        <w:rPr>
          <w:noProof/>
        </w:rPr>
        <w:t>, 442.</w:t>
      </w:r>
    </w:p>
    <w:p w14:paraId="0458B21A" w14:textId="441EEC1A" w:rsidR="00587D36" w:rsidRPr="00AE1B1D" w:rsidRDefault="00C85D06" w:rsidP="00343410">
      <w:pPr>
        <w:widowControl w:val="0"/>
        <w:autoSpaceDE w:val="0"/>
        <w:autoSpaceDN w:val="0"/>
        <w:adjustRightInd w:val="0"/>
        <w:spacing w:line="480" w:lineRule="auto"/>
        <w:ind w:left="640" w:hanging="640"/>
        <w:jc w:val="both"/>
        <w:rPr>
          <w:noProof/>
        </w:rPr>
      </w:pPr>
      <w:r w:rsidRPr="00AE1B1D">
        <w:rPr>
          <w:noProof/>
        </w:rPr>
        <w:t>[50</w:t>
      </w:r>
      <w:r w:rsidR="00587D36" w:rsidRPr="00AE1B1D">
        <w:rPr>
          <w:noProof/>
        </w:rPr>
        <w:t>]</w:t>
      </w:r>
      <w:r w:rsidR="00587D36" w:rsidRPr="00AE1B1D">
        <w:rPr>
          <w:noProof/>
        </w:rPr>
        <w:tab/>
        <w:t xml:space="preserve">D. Guo, J. Wang, X. Wang, H. Luo, H. Zhang, D. Cao, L. Chen, N. Huang, </w:t>
      </w:r>
      <w:r w:rsidR="00587D36" w:rsidRPr="00AE1B1D">
        <w:rPr>
          <w:i/>
          <w:iCs/>
          <w:noProof/>
        </w:rPr>
        <w:t>J. Ethnopharmacol.</w:t>
      </w:r>
      <w:r w:rsidR="00587D36" w:rsidRPr="00AE1B1D">
        <w:rPr>
          <w:noProof/>
        </w:rPr>
        <w:t xml:space="preserve"> </w:t>
      </w:r>
      <w:r w:rsidR="00587D36" w:rsidRPr="00AE1B1D">
        <w:rPr>
          <w:b/>
          <w:bCs/>
          <w:noProof/>
        </w:rPr>
        <w:t>2011</w:t>
      </w:r>
      <w:r w:rsidR="00587D36" w:rsidRPr="00AE1B1D">
        <w:rPr>
          <w:noProof/>
        </w:rPr>
        <w:t xml:space="preserve">, </w:t>
      </w:r>
      <w:r w:rsidR="00587D36" w:rsidRPr="00AE1B1D">
        <w:rPr>
          <w:i/>
          <w:iCs/>
          <w:noProof/>
        </w:rPr>
        <w:t>138</w:t>
      </w:r>
      <w:r w:rsidR="00587D36" w:rsidRPr="00AE1B1D">
        <w:rPr>
          <w:noProof/>
        </w:rPr>
        <w:t>, 451.</w:t>
      </w:r>
    </w:p>
    <w:p w14:paraId="59B541B9" w14:textId="68B4FDAA" w:rsidR="00587D36" w:rsidRPr="00AE1B1D" w:rsidRDefault="00C85D06" w:rsidP="00343410">
      <w:pPr>
        <w:widowControl w:val="0"/>
        <w:autoSpaceDE w:val="0"/>
        <w:autoSpaceDN w:val="0"/>
        <w:adjustRightInd w:val="0"/>
        <w:spacing w:line="480" w:lineRule="auto"/>
        <w:ind w:left="640" w:hanging="640"/>
        <w:jc w:val="both"/>
        <w:rPr>
          <w:noProof/>
        </w:rPr>
      </w:pPr>
      <w:r w:rsidRPr="00AE1B1D">
        <w:rPr>
          <w:noProof/>
        </w:rPr>
        <w:t>[51</w:t>
      </w:r>
      <w:r w:rsidR="00587D36" w:rsidRPr="00AE1B1D">
        <w:rPr>
          <w:noProof/>
        </w:rPr>
        <w:t>]</w:t>
      </w:r>
      <w:r w:rsidR="00587D36" w:rsidRPr="00AE1B1D">
        <w:rPr>
          <w:noProof/>
        </w:rPr>
        <w:tab/>
        <w:t xml:space="preserve">C. Cai, G.-J. Yuan, Y. Huang, N. Yang, X. Chen, L. Wen, X. Wang, L. Zhang, Y. Ding, </w:t>
      </w:r>
      <w:r w:rsidR="00587D36" w:rsidRPr="00AE1B1D">
        <w:rPr>
          <w:i/>
          <w:iCs/>
          <w:noProof/>
        </w:rPr>
        <w:t>Int. J. Mol. Med.</w:t>
      </w:r>
      <w:r w:rsidR="00587D36" w:rsidRPr="00AE1B1D">
        <w:rPr>
          <w:noProof/>
        </w:rPr>
        <w:t xml:space="preserve"> </w:t>
      </w:r>
      <w:r w:rsidR="00587D36" w:rsidRPr="00AE1B1D">
        <w:rPr>
          <w:b/>
          <w:bCs/>
          <w:noProof/>
        </w:rPr>
        <w:t>2013</w:t>
      </w:r>
      <w:r w:rsidR="00587D36" w:rsidRPr="00AE1B1D">
        <w:rPr>
          <w:noProof/>
        </w:rPr>
        <w:t xml:space="preserve">, </w:t>
      </w:r>
      <w:r w:rsidR="00587D36" w:rsidRPr="00AE1B1D">
        <w:rPr>
          <w:i/>
          <w:iCs/>
          <w:noProof/>
        </w:rPr>
        <w:t>31</w:t>
      </w:r>
      <w:r w:rsidR="00587D36" w:rsidRPr="00AE1B1D">
        <w:rPr>
          <w:noProof/>
        </w:rPr>
        <w:t>, 1195.</w:t>
      </w:r>
    </w:p>
    <w:p w14:paraId="19A72B7A" w14:textId="7FBC6A39" w:rsidR="00587D36" w:rsidRPr="00AE1B1D" w:rsidRDefault="00075044" w:rsidP="00343410">
      <w:pPr>
        <w:widowControl w:val="0"/>
        <w:autoSpaceDE w:val="0"/>
        <w:autoSpaceDN w:val="0"/>
        <w:adjustRightInd w:val="0"/>
        <w:spacing w:line="480" w:lineRule="auto"/>
        <w:ind w:left="640" w:hanging="640"/>
        <w:jc w:val="both"/>
        <w:rPr>
          <w:noProof/>
        </w:rPr>
      </w:pPr>
      <w:r w:rsidRPr="00AE1B1D">
        <w:rPr>
          <w:noProof/>
        </w:rPr>
        <w:t>[5</w:t>
      </w:r>
      <w:r w:rsidR="00C85D06" w:rsidRPr="00AE1B1D">
        <w:rPr>
          <w:noProof/>
        </w:rPr>
        <w:t>2</w:t>
      </w:r>
      <w:r w:rsidR="00587D36" w:rsidRPr="00AE1B1D">
        <w:rPr>
          <w:noProof/>
        </w:rPr>
        <w:t>]</w:t>
      </w:r>
      <w:r w:rsidR="00587D36" w:rsidRPr="00AE1B1D">
        <w:rPr>
          <w:noProof/>
        </w:rPr>
        <w:tab/>
        <w:t xml:space="preserve">B. H. Northrop, S. H. Frayne, U. Choudhary, </w:t>
      </w:r>
      <w:r w:rsidR="00587D36" w:rsidRPr="00AE1B1D">
        <w:rPr>
          <w:i/>
          <w:iCs/>
          <w:noProof/>
        </w:rPr>
        <w:t>Polym. Chem.</w:t>
      </w:r>
      <w:r w:rsidR="00587D36" w:rsidRPr="00AE1B1D">
        <w:rPr>
          <w:noProof/>
        </w:rPr>
        <w:t xml:space="preserve"> </w:t>
      </w:r>
      <w:r w:rsidR="00587D36" w:rsidRPr="00AE1B1D">
        <w:rPr>
          <w:b/>
          <w:bCs/>
          <w:noProof/>
        </w:rPr>
        <w:t>2015</w:t>
      </w:r>
      <w:r w:rsidR="00587D36" w:rsidRPr="00AE1B1D">
        <w:rPr>
          <w:noProof/>
        </w:rPr>
        <w:t xml:space="preserve">, </w:t>
      </w:r>
      <w:r w:rsidR="00587D36" w:rsidRPr="00AE1B1D">
        <w:rPr>
          <w:i/>
          <w:iCs/>
          <w:noProof/>
        </w:rPr>
        <w:t>6</w:t>
      </w:r>
      <w:r w:rsidR="00587D36" w:rsidRPr="00AE1B1D">
        <w:rPr>
          <w:noProof/>
        </w:rPr>
        <w:t>, 3415.</w:t>
      </w:r>
    </w:p>
    <w:p w14:paraId="3D3BB5EC" w14:textId="0B102FD5"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[5</w:t>
      </w:r>
      <w:r w:rsidR="00C85D06" w:rsidRPr="00AE1B1D">
        <w:rPr>
          <w:noProof/>
        </w:rPr>
        <w:t>3</w:t>
      </w:r>
      <w:r w:rsidRPr="00AE1B1D">
        <w:rPr>
          <w:noProof/>
        </w:rPr>
        <w:t>]</w:t>
      </w:r>
      <w:r w:rsidRPr="00AE1B1D">
        <w:rPr>
          <w:noProof/>
        </w:rPr>
        <w:tab/>
        <w:t xml:space="preserve">G. Gattuso, D. Barreca, C. Gargiulli, U. Leuzzi, C. Caristi, </w:t>
      </w:r>
      <w:r w:rsidRPr="00AE1B1D">
        <w:rPr>
          <w:i/>
          <w:iCs/>
          <w:noProof/>
        </w:rPr>
        <w:t>Molecules</w:t>
      </w:r>
      <w:r w:rsidRPr="00AE1B1D">
        <w:rPr>
          <w:noProof/>
        </w:rPr>
        <w:t xml:space="preserve"> </w:t>
      </w:r>
      <w:r w:rsidRPr="00AE1B1D">
        <w:rPr>
          <w:b/>
          <w:bCs/>
          <w:noProof/>
        </w:rPr>
        <w:t>2007</w:t>
      </w:r>
      <w:r w:rsidRPr="00AE1B1D">
        <w:rPr>
          <w:noProof/>
        </w:rPr>
        <w:t xml:space="preserve">, </w:t>
      </w:r>
      <w:r w:rsidRPr="00AE1B1D">
        <w:rPr>
          <w:i/>
          <w:iCs/>
          <w:noProof/>
        </w:rPr>
        <w:t>12</w:t>
      </w:r>
      <w:r w:rsidRPr="00AE1B1D">
        <w:rPr>
          <w:noProof/>
        </w:rPr>
        <w:t>, 1641.</w:t>
      </w:r>
    </w:p>
    <w:p w14:paraId="36BEE6F7" w14:textId="606096FE" w:rsidR="00587D36" w:rsidRPr="00AE1B1D" w:rsidRDefault="00587D36" w:rsidP="00343410">
      <w:pPr>
        <w:widowControl w:val="0"/>
        <w:autoSpaceDE w:val="0"/>
        <w:autoSpaceDN w:val="0"/>
        <w:adjustRightInd w:val="0"/>
        <w:spacing w:line="480" w:lineRule="auto"/>
        <w:ind w:left="640" w:hanging="640"/>
        <w:jc w:val="both"/>
        <w:rPr>
          <w:noProof/>
        </w:rPr>
      </w:pPr>
      <w:r w:rsidRPr="00AE1B1D">
        <w:rPr>
          <w:noProof/>
        </w:rPr>
        <w:t>[5</w:t>
      </w:r>
      <w:r w:rsidR="00C85D06" w:rsidRPr="00AE1B1D">
        <w:rPr>
          <w:noProof/>
        </w:rPr>
        <w:t>4</w:t>
      </w:r>
      <w:r w:rsidRPr="00AE1B1D">
        <w:rPr>
          <w:noProof/>
        </w:rPr>
        <w:t>]</w:t>
      </w:r>
      <w:r w:rsidRPr="00AE1B1D">
        <w:rPr>
          <w:noProof/>
        </w:rPr>
        <w:tab/>
        <w:t xml:space="preserve">R. J. Geraghty, A. Capes-Davis, J. M. Davis, J. Downward, R. I. Freshney, I. Knezevic, R. Lovell-Badge, J. R. W. Masters, J. Meredith, G. N. Stacey, P. Thraves, M. Vias, </w:t>
      </w:r>
      <w:r w:rsidRPr="00AE1B1D">
        <w:rPr>
          <w:i/>
          <w:iCs/>
          <w:noProof/>
        </w:rPr>
        <w:t>Br. J. Cancer</w:t>
      </w:r>
      <w:r w:rsidRPr="00AE1B1D">
        <w:rPr>
          <w:noProof/>
        </w:rPr>
        <w:t xml:space="preserve"> </w:t>
      </w:r>
      <w:r w:rsidRPr="00AE1B1D">
        <w:rPr>
          <w:b/>
          <w:bCs/>
          <w:noProof/>
        </w:rPr>
        <w:t>2014</w:t>
      </w:r>
      <w:r w:rsidRPr="00AE1B1D">
        <w:rPr>
          <w:noProof/>
        </w:rPr>
        <w:t xml:space="preserve">, </w:t>
      </w:r>
      <w:r w:rsidRPr="00AE1B1D">
        <w:rPr>
          <w:i/>
          <w:iCs/>
          <w:noProof/>
        </w:rPr>
        <w:t>111</w:t>
      </w:r>
      <w:r w:rsidRPr="00AE1B1D">
        <w:rPr>
          <w:noProof/>
        </w:rPr>
        <w:t>, 1021.</w:t>
      </w:r>
    </w:p>
    <w:p w14:paraId="54AF6F77" w14:textId="77777777" w:rsidR="007A6DF9" w:rsidRPr="00AE1B1D" w:rsidRDefault="007A6DF9" w:rsidP="002A2638">
      <w:pPr>
        <w:pStyle w:val="MainText"/>
        <w:spacing w:after="240"/>
        <w:jc w:val="both"/>
      </w:pPr>
    </w:p>
    <w:p w14:paraId="69540AFC" w14:textId="2069ABD5" w:rsidR="007A6DF9" w:rsidRPr="00AE1B1D" w:rsidRDefault="003B7CE0" w:rsidP="004A6C7A">
      <w:pPr>
        <w:pStyle w:val="Legend"/>
        <w:spacing w:after="120"/>
        <w:jc w:val="center"/>
      </w:pPr>
      <w:r w:rsidRPr="00AE1B1D">
        <w:lastRenderedPageBreak/>
        <w:t xml:space="preserve"> </w:t>
      </w:r>
      <w:r w:rsidRPr="00AE1B1D">
        <w:rPr>
          <w:noProof/>
        </w:rPr>
        <w:drawing>
          <wp:inline distT="0" distB="0" distL="0" distR="0" wp14:anchorId="5E838331" wp14:editId="550080D7">
            <wp:extent cx="5760720" cy="703117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031171"/>
                    </a:xfrm>
                    <a:prstGeom prst="rect">
                      <a:avLst/>
                    </a:prstGeom>
                    <a:noFill/>
                    <a:ln>
                      <a:noFill/>
                    </a:ln>
                  </pic:spPr>
                </pic:pic>
              </a:graphicData>
            </a:graphic>
          </wp:inline>
        </w:drawing>
      </w:r>
    </w:p>
    <w:p w14:paraId="58364ED2" w14:textId="05E48A3E" w:rsidR="003A0A02" w:rsidRPr="00AE1B1D" w:rsidRDefault="003A0A02" w:rsidP="003A0A02">
      <w:pPr>
        <w:pStyle w:val="Legend"/>
        <w:jc w:val="both"/>
        <w:rPr>
          <w:lang w:eastAsia="en-US"/>
        </w:rPr>
      </w:pPr>
      <w:r w:rsidRPr="00AE1B1D">
        <w:rPr>
          <w:b/>
        </w:rPr>
        <w:t>Figure 1.</w:t>
      </w:r>
      <w:r w:rsidRPr="00AE1B1D">
        <w:t xml:space="preserve"> </w:t>
      </w:r>
      <w:r w:rsidRPr="00AE1B1D">
        <w:rPr>
          <w:b/>
        </w:rPr>
        <w:t>(A)</w:t>
      </w:r>
      <w:r w:rsidRPr="00AE1B1D">
        <w:t xml:space="preserve"> Synthesis of mPEG-MS-PLA diblock copolymer </w:t>
      </w:r>
      <w:r w:rsidR="00BA54B4" w:rsidRPr="00AE1B1D">
        <w:t xml:space="preserve">and formulation of Naringin-loaded nanomicelles </w:t>
      </w:r>
      <w:r w:rsidRPr="00AE1B1D">
        <w:t xml:space="preserve">via </w:t>
      </w:r>
      <w:r w:rsidR="00BA54B4" w:rsidRPr="00AE1B1D">
        <w:t>nanoprecipitation</w:t>
      </w:r>
      <w:r w:rsidRPr="00AE1B1D">
        <w:t xml:space="preserve">. </w:t>
      </w:r>
      <w:r w:rsidRPr="00AE1B1D">
        <w:rPr>
          <w:lang w:eastAsia="en-US"/>
        </w:rPr>
        <w:t xml:space="preserve">Physicochemical characterization of blank </w:t>
      </w:r>
      <w:r w:rsidRPr="00AE1B1D">
        <w:rPr>
          <w:b/>
          <w:lang w:eastAsia="en-US"/>
        </w:rPr>
        <w:t>(B, D)</w:t>
      </w:r>
      <w:r w:rsidRPr="00AE1B1D">
        <w:rPr>
          <w:lang w:eastAsia="en-US"/>
        </w:rPr>
        <w:t xml:space="preserve"> and Naringin-loaded </w:t>
      </w:r>
      <w:r w:rsidRPr="00AE1B1D">
        <w:rPr>
          <w:b/>
          <w:lang w:eastAsia="en-US"/>
        </w:rPr>
        <w:t>(C, E)</w:t>
      </w:r>
      <w:r w:rsidRPr="00AE1B1D">
        <w:rPr>
          <w:lang w:eastAsia="en-US"/>
        </w:rPr>
        <w:t xml:space="preserve"> mPEG-MS-PLA micelles via DLS </w:t>
      </w:r>
      <w:r w:rsidRPr="00AE1B1D">
        <w:rPr>
          <w:b/>
          <w:lang w:eastAsia="en-US"/>
        </w:rPr>
        <w:t>(B, C)</w:t>
      </w:r>
      <w:r w:rsidRPr="00AE1B1D">
        <w:rPr>
          <w:lang w:eastAsia="en-US"/>
        </w:rPr>
        <w:t xml:space="preserve"> and STEM </w:t>
      </w:r>
      <w:r w:rsidRPr="00AE1B1D">
        <w:rPr>
          <w:b/>
          <w:lang w:eastAsia="en-US"/>
        </w:rPr>
        <w:t>(D, E)</w:t>
      </w:r>
      <w:r w:rsidRPr="00AE1B1D">
        <w:rPr>
          <w:lang w:eastAsia="en-US"/>
        </w:rPr>
        <w:t xml:space="preserve"> techniques. STEM micrographs were obtained at 20 kV and showcase the morphology of </w:t>
      </w:r>
      <w:r w:rsidRPr="00AE1B1D">
        <w:rPr>
          <w:b/>
          <w:lang w:eastAsia="en-US"/>
        </w:rPr>
        <w:t>(D</w:t>
      </w:r>
      <w:r w:rsidR="00007B5D" w:rsidRPr="00AE1B1D">
        <w:rPr>
          <w:b/>
          <w:lang w:eastAsia="en-US"/>
        </w:rPr>
        <w:t>, D1</w:t>
      </w:r>
      <w:r w:rsidRPr="00AE1B1D">
        <w:rPr>
          <w:b/>
          <w:lang w:eastAsia="en-US"/>
        </w:rPr>
        <w:t>)</w:t>
      </w:r>
      <w:r w:rsidRPr="00AE1B1D">
        <w:rPr>
          <w:lang w:eastAsia="en-US"/>
        </w:rPr>
        <w:t xml:space="preserve"> blank micelles and </w:t>
      </w:r>
      <w:r w:rsidRPr="00AE1B1D">
        <w:rPr>
          <w:b/>
          <w:lang w:eastAsia="en-US"/>
        </w:rPr>
        <w:t>(E</w:t>
      </w:r>
      <w:r w:rsidR="00007B5D" w:rsidRPr="00AE1B1D">
        <w:rPr>
          <w:b/>
          <w:lang w:eastAsia="en-US"/>
        </w:rPr>
        <w:t>, E1</w:t>
      </w:r>
      <w:r w:rsidRPr="00AE1B1D">
        <w:rPr>
          <w:b/>
          <w:lang w:eastAsia="en-US"/>
        </w:rPr>
        <w:t>)</w:t>
      </w:r>
      <w:r w:rsidRPr="00AE1B1D">
        <w:rPr>
          <w:lang w:eastAsia="en-US"/>
        </w:rPr>
        <w:t xml:space="preserve"> Naringin-loaded micelles.</w:t>
      </w:r>
    </w:p>
    <w:p w14:paraId="367AAFFF" w14:textId="77777777" w:rsidR="003A0A02" w:rsidRPr="00AE1B1D" w:rsidRDefault="003A0A02" w:rsidP="002A2638">
      <w:pPr>
        <w:pStyle w:val="Legend"/>
        <w:spacing w:after="240" w:line="480" w:lineRule="auto"/>
      </w:pPr>
    </w:p>
    <w:p w14:paraId="1BBE9E15" w14:textId="77777777" w:rsidR="004A6C7A" w:rsidRPr="00AE1B1D" w:rsidRDefault="004A6C7A" w:rsidP="002A2638">
      <w:pPr>
        <w:pStyle w:val="Legend"/>
        <w:spacing w:after="240" w:line="480" w:lineRule="auto"/>
      </w:pPr>
    </w:p>
    <w:p w14:paraId="7AC35A4D" w14:textId="77777777" w:rsidR="004A6C7A" w:rsidRPr="00AE1B1D" w:rsidRDefault="004A6C7A" w:rsidP="00ED6597">
      <w:pPr>
        <w:pStyle w:val="Legend"/>
        <w:spacing w:after="120"/>
      </w:pPr>
    </w:p>
    <w:p w14:paraId="336C3189" w14:textId="5D475537" w:rsidR="00543ACC" w:rsidRPr="00AE1B1D" w:rsidRDefault="009A4872" w:rsidP="00543ACC">
      <w:pPr>
        <w:pStyle w:val="Legenda"/>
        <w:spacing w:after="120"/>
        <w:jc w:val="center"/>
        <w:rPr>
          <w:b/>
          <w:i w:val="0"/>
          <w:color w:val="auto"/>
          <w:sz w:val="24"/>
          <w:szCs w:val="24"/>
        </w:rPr>
      </w:pPr>
      <w:bookmarkStart w:id="2" w:name="_Toc500090049"/>
      <w:r w:rsidRPr="00AE1B1D">
        <w:rPr>
          <w:b/>
          <w:i w:val="0"/>
          <w:noProof/>
          <w:color w:val="auto"/>
          <w:sz w:val="24"/>
          <w:szCs w:val="24"/>
        </w:rPr>
        <w:drawing>
          <wp:inline distT="0" distB="0" distL="0" distR="0" wp14:anchorId="293FA2A1" wp14:editId="44892B1A">
            <wp:extent cx="4152900" cy="3095625"/>
            <wp:effectExtent l="0" t="0" r="0" b="0"/>
            <wp:docPr id="3" name="Imagem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3095625"/>
                    </a:xfrm>
                    <a:prstGeom prst="rect">
                      <a:avLst/>
                    </a:prstGeom>
                    <a:noFill/>
                    <a:ln>
                      <a:noFill/>
                    </a:ln>
                  </pic:spPr>
                </pic:pic>
              </a:graphicData>
            </a:graphic>
          </wp:inline>
        </w:drawing>
      </w:r>
    </w:p>
    <w:p w14:paraId="58B52E75" w14:textId="3E128D06" w:rsidR="00ED6597" w:rsidRPr="00AE1B1D" w:rsidRDefault="00ED6597" w:rsidP="00ED6597">
      <w:pPr>
        <w:pStyle w:val="Legenda"/>
        <w:spacing w:after="0"/>
        <w:jc w:val="both"/>
        <w:rPr>
          <w:i w:val="0"/>
          <w:color w:val="auto"/>
          <w:sz w:val="24"/>
          <w:szCs w:val="24"/>
          <w:lang w:eastAsia="en-US"/>
        </w:rPr>
      </w:pPr>
      <w:r w:rsidRPr="00AE1B1D">
        <w:rPr>
          <w:b/>
          <w:i w:val="0"/>
          <w:color w:val="auto"/>
          <w:sz w:val="24"/>
          <w:szCs w:val="24"/>
        </w:rPr>
        <w:t xml:space="preserve">Figure 2. </w:t>
      </w:r>
      <w:r w:rsidR="00543ACC" w:rsidRPr="00AE1B1D">
        <w:rPr>
          <w:i w:val="0"/>
          <w:color w:val="auto"/>
          <w:sz w:val="24"/>
          <w:szCs w:val="24"/>
          <w:lang w:eastAsia="en-US"/>
        </w:rPr>
        <w:t>Naringin-loaded nanomi</w:t>
      </w:r>
      <w:r w:rsidRPr="00AE1B1D">
        <w:rPr>
          <w:i w:val="0"/>
          <w:color w:val="auto"/>
          <w:sz w:val="24"/>
          <w:szCs w:val="24"/>
          <w:lang w:eastAsia="en-US"/>
        </w:rPr>
        <w:t xml:space="preserve">celles </w:t>
      </w:r>
      <w:r w:rsidRPr="00AE1B1D">
        <w:rPr>
          <w:color w:val="auto"/>
          <w:sz w:val="24"/>
          <w:szCs w:val="24"/>
          <w:lang w:eastAsia="en-US"/>
        </w:rPr>
        <w:t>in vitro</w:t>
      </w:r>
      <w:r w:rsidRPr="00AE1B1D">
        <w:rPr>
          <w:i w:val="0"/>
          <w:color w:val="auto"/>
          <w:sz w:val="24"/>
          <w:szCs w:val="24"/>
          <w:lang w:eastAsia="en-US"/>
        </w:rPr>
        <w:t xml:space="preserve"> release profile. Cumulative release profile of Naringin from mPEG-MS-PLA micelles in PBS at pH</w:t>
      </w:r>
      <w:r w:rsidR="00007B5D" w:rsidRPr="00AE1B1D">
        <w:rPr>
          <w:i w:val="0"/>
          <w:color w:val="auto"/>
          <w:sz w:val="24"/>
          <w:szCs w:val="24"/>
          <w:lang w:eastAsia="en-US"/>
        </w:rPr>
        <w:t>=</w:t>
      </w:r>
      <w:r w:rsidRPr="00AE1B1D">
        <w:rPr>
          <w:i w:val="0"/>
          <w:color w:val="auto"/>
          <w:sz w:val="24"/>
          <w:szCs w:val="24"/>
          <w:lang w:eastAsia="en-US"/>
        </w:rPr>
        <w:t xml:space="preserve">7.4 (sphere, blue) and </w:t>
      </w:r>
      <w:r w:rsidR="00007B5D" w:rsidRPr="00AE1B1D">
        <w:rPr>
          <w:i w:val="0"/>
          <w:color w:val="auto"/>
          <w:sz w:val="24"/>
          <w:szCs w:val="24"/>
          <w:lang w:eastAsia="en-US"/>
        </w:rPr>
        <w:t>pH=</w:t>
      </w:r>
      <w:r w:rsidRPr="00AE1B1D">
        <w:rPr>
          <w:i w:val="0"/>
          <w:color w:val="auto"/>
          <w:sz w:val="24"/>
          <w:szCs w:val="24"/>
          <w:lang w:eastAsia="en-US"/>
        </w:rPr>
        <w:t xml:space="preserve">5.5 (triangle, red). </w:t>
      </w:r>
      <w:r w:rsidR="00007B5D" w:rsidRPr="00AE1B1D">
        <w:rPr>
          <w:i w:val="0"/>
          <w:color w:val="auto"/>
          <w:sz w:val="24"/>
          <w:szCs w:val="24"/>
          <w:lang w:eastAsia="en-US"/>
        </w:rPr>
        <w:t>Zoomed section</w:t>
      </w:r>
      <w:r w:rsidRPr="00AE1B1D">
        <w:rPr>
          <w:i w:val="0"/>
          <w:color w:val="auto"/>
          <w:sz w:val="24"/>
          <w:szCs w:val="24"/>
          <w:lang w:eastAsia="en-US"/>
        </w:rPr>
        <w:t xml:space="preserve"> represents the cumulative release during the first 4</w:t>
      </w:r>
      <w:r w:rsidR="00543ACC" w:rsidRPr="00AE1B1D">
        <w:rPr>
          <w:i w:val="0"/>
          <w:color w:val="auto"/>
          <w:sz w:val="24"/>
          <w:szCs w:val="24"/>
          <w:lang w:eastAsia="en-US"/>
        </w:rPr>
        <w:t xml:space="preserve"> </w:t>
      </w:r>
      <w:r w:rsidRPr="00AE1B1D">
        <w:rPr>
          <w:i w:val="0"/>
          <w:color w:val="auto"/>
          <w:sz w:val="24"/>
          <w:szCs w:val="24"/>
          <w:lang w:eastAsia="en-US"/>
        </w:rPr>
        <w:t xml:space="preserve">h of the release studies. Data is presented as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Pr="00AE1B1D">
        <w:rPr>
          <w:i w:val="0"/>
          <w:color w:val="auto"/>
          <w:sz w:val="24"/>
          <w:szCs w:val="24"/>
          <w:lang w:eastAsia="en-US"/>
        </w:rPr>
        <w:t>3).</w:t>
      </w:r>
      <w:bookmarkEnd w:id="2"/>
    </w:p>
    <w:p w14:paraId="39C4289A" w14:textId="77777777" w:rsidR="004A6C7A" w:rsidRPr="00AE1B1D" w:rsidRDefault="004A6C7A" w:rsidP="002A2638">
      <w:pPr>
        <w:pStyle w:val="Legend"/>
        <w:spacing w:after="240" w:line="480" w:lineRule="auto"/>
      </w:pPr>
    </w:p>
    <w:p w14:paraId="35567D94" w14:textId="2D9243B9" w:rsidR="00ED6597" w:rsidRPr="00AE1B1D" w:rsidRDefault="00F225B7" w:rsidP="003314D5">
      <w:pPr>
        <w:pStyle w:val="Legend"/>
        <w:spacing w:after="120"/>
      </w:pPr>
      <w:r w:rsidRPr="00AE1B1D">
        <w:rPr>
          <w:noProof/>
        </w:rPr>
        <w:lastRenderedPageBreak/>
        <w:drawing>
          <wp:inline distT="0" distB="0" distL="0" distR="0" wp14:anchorId="3298CFC8" wp14:editId="24489C19">
            <wp:extent cx="5760720" cy="652204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6522049"/>
                    </a:xfrm>
                    <a:prstGeom prst="rect">
                      <a:avLst/>
                    </a:prstGeom>
                    <a:noFill/>
                    <a:ln>
                      <a:noFill/>
                    </a:ln>
                  </pic:spPr>
                </pic:pic>
              </a:graphicData>
            </a:graphic>
          </wp:inline>
        </w:drawing>
      </w:r>
    </w:p>
    <w:p w14:paraId="521C643E" w14:textId="5BC78653" w:rsidR="003314D5" w:rsidRPr="00AE1B1D" w:rsidRDefault="003314D5" w:rsidP="003314D5">
      <w:pPr>
        <w:pStyle w:val="Legenda"/>
        <w:spacing w:after="0"/>
        <w:jc w:val="both"/>
        <w:rPr>
          <w:i w:val="0"/>
          <w:color w:val="auto"/>
          <w:sz w:val="24"/>
          <w:szCs w:val="24"/>
          <w:lang w:eastAsia="en-US"/>
        </w:rPr>
      </w:pPr>
      <w:bookmarkStart w:id="3" w:name="_Toc500090051"/>
      <w:r w:rsidRPr="00AE1B1D">
        <w:rPr>
          <w:b/>
          <w:i w:val="0"/>
          <w:color w:val="auto"/>
          <w:sz w:val="24"/>
          <w:szCs w:val="24"/>
        </w:rPr>
        <w:t>Figure 3.</w:t>
      </w:r>
      <w:r w:rsidR="00007B5D" w:rsidRPr="00AE1B1D">
        <w:rPr>
          <w:b/>
          <w:i w:val="0"/>
          <w:color w:val="auto"/>
          <w:sz w:val="24"/>
          <w:szCs w:val="24"/>
        </w:rPr>
        <w:t xml:space="preserve"> Analysis of </w:t>
      </w:r>
      <w:r w:rsidR="00DE77DF" w:rsidRPr="00AE1B1D">
        <w:rPr>
          <w:b/>
          <w:i w:val="0"/>
          <w:color w:val="auto"/>
          <w:sz w:val="24"/>
          <w:szCs w:val="24"/>
        </w:rPr>
        <w:t>m</w:t>
      </w:r>
      <w:r w:rsidR="00007B5D" w:rsidRPr="00AE1B1D">
        <w:rPr>
          <w:b/>
          <w:i w:val="0"/>
          <w:color w:val="auto"/>
          <w:sz w:val="24"/>
          <w:szCs w:val="24"/>
        </w:rPr>
        <w:t xml:space="preserve">PEG-MS-PLA cellular uptake in </w:t>
      </w:r>
      <w:proofErr w:type="spellStart"/>
      <w:r w:rsidR="00007B5D" w:rsidRPr="00AE1B1D">
        <w:rPr>
          <w:b/>
          <w:i w:val="0"/>
          <w:color w:val="auto"/>
          <w:sz w:val="24"/>
          <w:szCs w:val="24"/>
        </w:rPr>
        <w:t>hASCs</w:t>
      </w:r>
      <w:proofErr w:type="spellEnd"/>
      <w:r w:rsidR="00007B5D" w:rsidRPr="00AE1B1D">
        <w:rPr>
          <w:b/>
          <w:i w:val="0"/>
          <w:color w:val="auto"/>
          <w:sz w:val="24"/>
          <w:szCs w:val="24"/>
        </w:rPr>
        <w:t>.</w:t>
      </w:r>
      <w:r w:rsidRPr="00AE1B1D">
        <w:rPr>
          <w:i w:val="0"/>
          <w:color w:val="auto"/>
          <w:sz w:val="24"/>
          <w:szCs w:val="24"/>
        </w:rPr>
        <w:t xml:space="preserve"> </w:t>
      </w:r>
      <w:r w:rsidRPr="00AE1B1D">
        <w:rPr>
          <w:b/>
          <w:i w:val="0"/>
          <w:color w:val="auto"/>
          <w:sz w:val="24"/>
          <w:szCs w:val="24"/>
          <w:lang w:eastAsia="en-US"/>
        </w:rPr>
        <w:t>(A-I)</w:t>
      </w:r>
      <w:r w:rsidRPr="00AE1B1D">
        <w:rPr>
          <w:i w:val="0"/>
          <w:color w:val="auto"/>
          <w:sz w:val="24"/>
          <w:szCs w:val="24"/>
          <w:lang w:eastAsia="en-US"/>
        </w:rPr>
        <w:t xml:space="preserve"> Cellular uptake kinetics of nanomicelles (250 </w:t>
      </w:r>
      <w:r w:rsidRPr="00AE1B1D">
        <w:rPr>
          <w:rFonts w:ascii="Symbol" w:hAnsi="Symbol"/>
          <w:i w:val="0"/>
          <w:color w:val="auto"/>
          <w:sz w:val="24"/>
          <w:szCs w:val="24"/>
          <w:lang w:eastAsia="en-US"/>
        </w:rPr>
        <w:t></w:t>
      </w:r>
      <w:r w:rsidRPr="00AE1B1D">
        <w:rPr>
          <w:i w:val="0"/>
          <w:color w:val="auto"/>
          <w:sz w:val="24"/>
          <w:szCs w:val="24"/>
          <w:lang w:eastAsia="en-US"/>
        </w:rPr>
        <w:t>g well</w:t>
      </w:r>
      <w:r w:rsidRPr="00AE1B1D">
        <w:rPr>
          <w:i w:val="0"/>
          <w:color w:val="auto"/>
          <w:sz w:val="24"/>
          <w:szCs w:val="24"/>
          <w:vertAlign w:val="superscript"/>
          <w:lang w:eastAsia="en-US"/>
        </w:rPr>
        <w:t>-1</w:t>
      </w:r>
      <w:r w:rsidRPr="00AE1B1D">
        <w:rPr>
          <w:i w:val="0"/>
          <w:color w:val="auto"/>
          <w:sz w:val="24"/>
          <w:szCs w:val="24"/>
          <w:lang w:eastAsia="en-US"/>
        </w:rPr>
        <w:t>) obtained via CLSM imaging. Green channel: Coum</w:t>
      </w:r>
      <w:r w:rsidR="009D0F39" w:rsidRPr="00AE1B1D">
        <w:rPr>
          <w:i w:val="0"/>
          <w:color w:val="auto"/>
          <w:sz w:val="24"/>
          <w:szCs w:val="24"/>
          <w:lang w:eastAsia="en-US"/>
        </w:rPr>
        <w:t>arin</w:t>
      </w:r>
      <w:r w:rsidRPr="00AE1B1D">
        <w:rPr>
          <w:i w:val="0"/>
          <w:color w:val="auto"/>
          <w:sz w:val="24"/>
          <w:szCs w:val="24"/>
          <w:lang w:eastAsia="en-US"/>
        </w:rPr>
        <w:t>-6-loaded micelles. Red channel: WGA-Alexa Fluor 594 stained cell membrane. White arrows indicate Coum</w:t>
      </w:r>
      <w:r w:rsidR="009D0F39" w:rsidRPr="00AE1B1D">
        <w:rPr>
          <w:i w:val="0"/>
          <w:color w:val="auto"/>
          <w:sz w:val="24"/>
          <w:szCs w:val="24"/>
          <w:lang w:eastAsia="en-US"/>
        </w:rPr>
        <w:t>arin</w:t>
      </w:r>
      <w:r w:rsidRPr="00AE1B1D">
        <w:rPr>
          <w:i w:val="0"/>
          <w:color w:val="auto"/>
          <w:sz w:val="24"/>
          <w:szCs w:val="24"/>
          <w:lang w:eastAsia="en-US"/>
        </w:rPr>
        <w:t>-6-loaded micellar carriers.</w:t>
      </w:r>
      <w:bookmarkEnd w:id="3"/>
      <w:r w:rsidRPr="00AE1B1D">
        <w:rPr>
          <w:i w:val="0"/>
          <w:color w:val="auto"/>
          <w:sz w:val="24"/>
          <w:szCs w:val="24"/>
          <w:lang w:eastAsia="en-US"/>
        </w:rPr>
        <w:t xml:space="preserve"> </w:t>
      </w:r>
      <w:r w:rsidRPr="00AE1B1D">
        <w:rPr>
          <w:b/>
          <w:i w:val="0"/>
          <w:color w:val="auto"/>
          <w:sz w:val="24"/>
          <w:szCs w:val="24"/>
          <w:lang w:eastAsia="en-US"/>
        </w:rPr>
        <w:t>(J, K)</w:t>
      </w:r>
      <w:r w:rsidRPr="00AE1B1D">
        <w:rPr>
          <w:i w:val="0"/>
          <w:color w:val="auto"/>
          <w:sz w:val="24"/>
          <w:szCs w:val="24"/>
          <w:lang w:eastAsia="en-US"/>
        </w:rPr>
        <w:t xml:space="preserve"> F</w:t>
      </w:r>
      <w:r w:rsidR="003E5C09" w:rsidRPr="00AE1B1D">
        <w:rPr>
          <w:i w:val="0"/>
          <w:color w:val="auto"/>
          <w:sz w:val="24"/>
          <w:szCs w:val="24"/>
          <w:lang w:eastAsia="en-US"/>
        </w:rPr>
        <w:t>CM a</w:t>
      </w:r>
      <w:r w:rsidRPr="00AE1B1D">
        <w:rPr>
          <w:i w:val="0"/>
          <w:color w:val="auto"/>
          <w:sz w:val="24"/>
          <w:szCs w:val="24"/>
          <w:lang w:eastAsia="en-US"/>
        </w:rPr>
        <w:t>nalysis</w:t>
      </w:r>
      <w:bookmarkStart w:id="4" w:name="_Toc500090052"/>
      <w:r w:rsidRPr="00AE1B1D">
        <w:rPr>
          <w:i w:val="0"/>
          <w:color w:val="auto"/>
          <w:sz w:val="24"/>
          <w:szCs w:val="24"/>
          <w:lang w:eastAsia="en-US"/>
        </w:rPr>
        <w:t xml:space="preserve"> of nanomicelles cellular uptake. </w:t>
      </w:r>
      <w:r w:rsidRPr="00AE1B1D">
        <w:rPr>
          <w:b/>
          <w:i w:val="0"/>
          <w:color w:val="auto"/>
          <w:sz w:val="24"/>
          <w:szCs w:val="24"/>
          <w:lang w:eastAsia="en-US"/>
        </w:rPr>
        <w:t>(J)</w:t>
      </w:r>
      <w:r w:rsidRPr="00AE1B1D">
        <w:rPr>
          <w:i w:val="0"/>
          <w:color w:val="auto"/>
          <w:sz w:val="24"/>
          <w:szCs w:val="24"/>
          <w:lang w:eastAsia="en-US"/>
        </w:rPr>
        <w:t xml:space="preserve"> Representative cellular uptake histograms of micelles in </w:t>
      </w:r>
      <w:proofErr w:type="spellStart"/>
      <w:r w:rsidRPr="00AE1B1D">
        <w:rPr>
          <w:i w:val="0"/>
          <w:color w:val="auto"/>
          <w:sz w:val="24"/>
          <w:szCs w:val="24"/>
          <w:lang w:eastAsia="en-US"/>
        </w:rPr>
        <w:t>hASCs</w:t>
      </w:r>
      <w:proofErr w:type="spellEnd"/>
      <w:r w:rsidRPr="00AE1B1D">
        <w:rPr>
          <w:i w:val="0"/>
          <w:color w:val="auto"/>
          <w:sz w:val="24"/>
          <w:szCs w:val="24"/>
          <w:lang w:eastAsia="en-US"/>
        </w:rPr>
        <w:t>.</w:t>
      </w:r>
      <w:r w:rsidR="00F225B7" w:rsidRPr="00AE1B1D">
        <w:rPr>
          <w:i w:val="0"/>
          <w:color w:val="auto"/>
          <w:sz w:val="24"/>
          <w:szCs w:val="24"/>
          <w:lang w:eastAsia="en-US"/>
        </w:rPr>
        <w:t xml:space="preserve"> M1 marker – represents the gate used for </w:t>
      </w:r>
      <w:r w:rsidR="001872EF" w:rsidRPr="00AE1B1D">
        <w:rPr>
          <w:i w:val="0"/>
          <w:color w:val="auto"/>
          <w:sz w:val="24"/>
          <w:szCs w:val="24"/>
          <w:lang w:eastAsia="en-US"/>
        </w:rPr>
        <w:t>fluorescence intensity quantification.</w:t>
      </w:r>
      <w:r w:rsidRPr="00AE1B1D">
        <w:rPr>
          <w:i w:val="0"/>
          <w:color w:val="auto"/>
          <w:sz w:val="24"/>
          <w:szCs w:val="24"/>
          <w:lang w:eastAsia="en-US"/>
        </w:rPr>
        <w:t xml:space="preserve"> </w:t>
      </w:r>
      <w:r w:rsidRPr="00AE1B1D">
        <w:rPr>
          <w:b/>
          <w:i w:val="0"/>
          <w:color w:val="auto"/>
          <w:sz w:val="24"/>
          <w:szCs w:val="24"/>
          <w:lang w:eastAsia="en-US"/>
        </w:rPr>
        <w:t>(K)</w:t>
      </w:r>
      <w:r w:rsidRPr="00AE1B1D">
        <w:rPr>
          <w:i w:val="0"/>
          <w:color w:val="auto"/>
          <w:sz w:val="24"/>
          <w:szCs w:val="24"/>
          <w:lang w:eastAsia="en-US"/>
        </w:rPr>
        <w:t xml:space="preserve"> Fluorescent i</w:t>
      </w:r>
      <w:r w:rsidR="00F45BC5" w:rsidRPr="00AE1B1D">
        <w:rPr>
          <w:i w:val="0"/>
          <w:color w:val="auto"/>
          <w:sz w:val="24"/>
          <w:szCs w:val="24"/>
          <w:lang w:eastAsia="en-US"/>
        </w:rPr>
        <w:t>ntensity values obtained after incubating</w:t>
      </w:r>
      <w:r w:rsidRPr="00AE1B1D">
        <w:rPr>
          <w:i w:val="0"/>
          <w:color w:val="auto"/>
          <w:sz w:val="24"/>
          <w:szCs w:val="24"/>
          <w:lang w:eastAsia="en-US"/>
        </w:rPr>
        <w:t xml:space="preserve"> </w:t>
      </w:r>
      <w:proofErr w:type="spellStart"/>
      <w:r w:rsidRPr="00AE1B1D">
        <w:rPr>
          <w:i w:val="0"/>
          <w:color w:val="auto"/>
          <w:sz w:val="24"/>
          <w:szCs w:val="24"/>
          <w:lang w:eastAsia="en-US"/>
        </w:rPr>
        <w:t>hASCs</w:t>
      </w:r>
      <w:proofErr w:type="spellEnd"/>
      <w:r w:rsidRPr="00AE1B1D">
        <w:rPr>
          <w:i w:val="0"/>
          <w:color w:val="auto"/>
          <w:sz w:val="24"/>
          <w:szCs w:val="24"/>
          <w:lang w:eastAsia="en-US"/>
        </w:rPr>
        <w:t xml:space="preserve"> with micelles. Black color represents cell auto-fluorescence; blue: 25 </w:t>
      </w:r>
      <w:r w:rsidR="00FE6F1E" w:rsidRPr="00AE1B1D">
        <w:rPr>
          <w:rFonts w:ascii="Symbol" w:hAnsi="Symbol"/>
          <w:i w:val="0"/>
          <w:color w:val="auto"/>
          <w:sz w:val="24"/>
          <w:szCs w:val="24"/>
          <w:lang w:eastAsia="en-US"/>
        </w:rPr>
        <w:t></w:t>
      </w:r>
      <w:r w:rsidRPr="00AE1B1D">
        <w:rPr>
          <w:i w:val="0"/>
          <w:color w:val="auto"/>
          <w:sz w:val="24"/>
          <w:szCs w:val="24"/>
          <w:lang w:eastAsia="en-US"/>
        </w:rPr>
        <w:t xml:space="preserve">g; red: 50 </w:t>
      </w:r>
      <w:r w:rsidR="00FE6F1E" w:rsidRPr="00AE1B1D">
        <w:rPr>
          <w:rFonts w:ascii="Symbol" w:hAnsi="Symbol"/>
          <w:i w:val="0"/>
          <w:color w:val="auto"/>
          <w:sz w:val="24"/>
          <w:szCs w:val="24"/>
          <w:lang w:eastAsia="en-US"/>
        </w:rPr>
        <w:t></w:t>
      </w:r>
      <w:r w:rsidRPr="00AE1B1D">
        <w:rPr>
          <w:i w:val="0"/>
          <w:color w:val="auto"/>
          <w:sz w:val="24"/>
          <w:szCs w:val="24"/>
          <w:lang w:eastAsia="en-US"/>
        </w:rPr>
        <w:t xml:space="preserve">g; and green: 100 </w:t>
      </w:r>
      <w:r w:rsidR="00FE6F1E" w:rsidRPr="00AE1B1D">
        <w:rPr>
          <w:rFonts w:ascii="Symbol" w:hAnsi="Symbol"/>
          <w:i w:val="0"/>
          <w:color w:val="auto"/>
          <w:sz w:val="24"/>
          <w:szCs w:val="24"/>
          <w:lang w:eastAsia="en-US"/>
        </w:rPr>
        <w:t></w:t>
      </w:r>
      <w:r w:rsidRPr="00AE1B1D">
        <w:rPr>
          <w:i w:val="0"/>
          <w:color w:val="auto"/>
          <w:sz w:val="24"/>
          <w:szCs w:val="24"/>
          <w:lang w:eastAsia="en-US"/>
        </w:rPr>
        <w:t xml:space="preserve">g of incubated micelle dosage. Data </w:t>
      </w:r>
      <w:r w:rsidR="002E419D" w:rsidRPr="00AE1B1D">
        <w:rPr>
          <w:i w:val="0"/>
          <w:color w:val="auto"/>
          <w:sz w:val="24"/>
          <w:szCs w:val="24"/>
          <w:lang w:eastAsia="en-US"/>
        </w:rPr>
        <w:t>is represented as</w:t>
      </w:r>
      <w:r w:rsidRPr="00AE1B1D">
        <w:rPr>
          <w:i w:val="0"/>
          <w:color w:val="auto"/>
          <w:sz w:val="24"/>
          <w:szCs w:val="24"/>
          <w:lang w:eastAsia="en-US"/>
        </w:rPr>
        <w:t xml:space="preserve">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Pr="00AE1B1D">
        <w:rPr>
          <w:i w:val="0"/>
          <w:color w:val="auto"/>
          <w:sz w:val="24"/>
          <w:szCs w:val="24"/>
          <w:lang w:eastAsia="en-US"/>
        </w:rPr>
        <w:t>=3).</w:t>
      </w:r>
      <w:bookmarkEnd w:id="4"/>
      <w:r w:rsidR="002E419D" w:rsidRPr="00AE1B1D">
        <w:rPr>
          <w:i w:val="0"/>
          <w:color w:val="auto"/>
          <w:sz w:val="24"/>
          <w:szCs w:val="24"/>
          <w:lang w:eastAsia="en-US"/>
        </w:rPr>
        <w:t xml:space="preserve"> *p &lt; 0.05.</w:t>
      </w:r>
    </w:p>
    <w:p w14:paraId="263E7152" w14:textId="77777777" w:rsidR="00ED6597" w:rsidRPr="00AE1B1D" w:rsidRDefault="00ED6597" w:rsidP="002A2638">
      <w:pPr>
        <w:pStyle w:val="Legend"/>
        <w:spacing w:after="240" w:line="480" w:lineRule="auto"/>
      </w:pPr>
    </w:p>
    <w:p w14:paraId="448E259D" w14:textId="77777777" w:rsidR="002E68F6" w:rsidRPr="00AE1B1D" w:rsidRDefault="002E68F6" w:rsidP="002A2638">
      <w:pPr>
        <w:pStyle w:val="Legend"/>
        <w:spacing w:after="240" w:line="480" w:lineRule="auto"/>
      </w:pPr>
    </w:p>
    <w:p w14:paraId="1C45D52C" w14:textId="77777777" w:rsidR="002E68F6" w:rsidRPr="00AE1B1D" w:rsidRDefault="002E68F6" w:rsidP="002A2638">
      <w:pPr>
        <w:pStyle w:val="Legend"/>
        <w:spacing w:after="240" w:line="480" w:lineRule="auto"/>
      </w:pPr>
    </w:p>
    <w:p w14:paraId="3E0FCA5B" w14:textId="207CEA98" w:rsidR="00660024" w:rsidRPr="00AE1B1D" w:rsidRDefault="009A4872" w:rsidP="004B5AF9">
      <w:pPr>
        <w:pStyle w:val="Legend"/>
        <w:spacing w:after="120"/>
      </w:pPr>
      <w:r w:rsidRPr="00AE1B1D">
        <w:rPr>
          <w:noProof/>
        </w:rPr>
        <w:drawing>
          <wp:inline distT="0" distB="0" distL="0" distR="0" wp14:anchorId="2B26E663" wp14:editId="2D43E38A">
            <wp:extent cx="5762625" cy="5105400"/>
            <wp:effectExtent l="0" t="0" r="0" b="0"/>
            <wp:docPr id="5" name="Imagem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5105400"/>
                    </a:xfrm>
                    <a:prstGeom prst="rect">
                      <a:avLst/>
                    </a:prstGeom>
                    <a:noFill/>
                    <a:ln>
                      <a:noFill/>
                    </a:ln>
                  </pic:spPr>
                </pic:pic>
              </a:graphicData>
            </a:graphic>
          </wp:inline>
        </w:drawing>
      </w:r>
    </w:p>
    <w:p w14:paraId="7ED2E8EF" w14:textId="29BA57A3" w:rsidR="004B5AF9" w:rsidRPr="00AE1B1D" w:rsidRDefault="004B5AF9" w:rsidP="004B5AF9">
      <w:pPr>
        <w:pStyle w:val="Legenda"/>
        <w:spacing w:after="0"/>
        <w:ind w:firstLine="284"/>
        <w:jc w:val="both"/>
        <w:rPr>
          <w:i w:val="0"/>
          <w:noProof/>
          <w:color w:val="auto"/>
          <w:sz w:val="24"/>
          <w:szCs w:val="24"/>
          <w:lang w:eastAsia="en-US"/>
        </w:rPr>
      </w:pPr>
      <w:bookmarkStart w:id="5" w:name="_Toc500090055"/>
      <w:r w:rsidRPr="00AE1B1D">
        <w:rPr>
          <w:b/>
          <w:i w:val="0"/>
          <w:color w:val="auto"/>
          <w:sz w:val="24"/>
          <w:szCs w:val="24"/>
        </w:rPr>
        <w:t>Figure</w:t>
      </w:r>
      <w:r w:rsidR="00CB6F0B" w:rsidRPr="00AE1B1D">
        <w:rPr>
          <w:b/>
          <w:i w:val="0"/>
          <w:color w:val="auto"/>
          <w:sz w:val="24"/>
          <w:szCs w:val="24"/>
        </w:rPr>
        <w:t xml:space="preserve"> 4. </w:t>
      </w:r>
      <w:r w:rsidRPr="00AE1B1D">
        <w:rPr>
          <w:i w:val="0"/>
          <w:noProof/>
          <w:color w:val="auto"/>
          <w:sz w:val="24"/>
          <w:szCs w:val="24"/>
          <w:lang w:eastAsia="en-US"/>
        </w:rPr>
        <w:t xml:space="preserve">Naringin-induced ALP </w:t>
      </w:r>
      <w:r w:rsidR="00007B5D" w:rsidRPr="00AE1B1D">
        <w:rPr>
          <w:i w:val="0"/>
          <w:noProof/>
          <w:color w:val="auto"/>
          <w:sz w:val="24"/>
          <w:szCs w:val="24"/>
          <w:lang w:eastAsia="en-US"/>
        </w:rPr>
        <w:t>activity</w:t>
      </w:r>
      <w:r w:rsidRPr="00AE1B1D">
        <w:rPr>
          <w:i w:val="0"/>
          <w:noProof/>
          <w:color w:val="auto"/>
          <w:sz w:val="24"/>
          <w:szCs w:val="24"/>
          <w:lang w:eastAsia="en-US"/>
        </w:rPr>
        <w:t xml:space="preserve"> in OS-Dex (OS) differentiation medium. </w:t>
      </w:r>
      <w:r w:rsidRPr="00AE1B1D">
        <w:rPr>
          <w:b/>
          <w:i w:val="0"/>
          <w:noProof/>
          <w:color w:val="auto"/>
          <w:sz w:val="24"/>
          <w:szCs w:val="24"/>
          <w:lang w:eastAsia="en-US"/>
        </w:rPr>
        <w:t>(A)</w:t>
      </w:r>
      <w:r w:rsidRPr="00AE1B1D">
        <w:rPr>
          <w:i w:val="0"/>
          <w:noProof/>
          <w:color w:val="auto"/>
          <w:sz w:val="24"/>
          <w:szCs w:val="24"/>
          <w:lang w:eastAsia="en-US"/>
        </w:rPr>
        <w:t xml:space="preserve"> Dose regime</w:t>
      </w:r>
      <w:r w:rsidR="00007B5D" w:rsidRPr="00AE1B1D">
        <w:rPr>
          <w:i w:val="0"/>
          <w:noProof/>
          <w:color w:val="auto"/>
          <w:sz w:val="24"/>
          <w:szCs w:val="24"/>
          <w:lang w:eastAsia="en-US"/>
        </w:rPr>
        <w:t xml:space="preserve"> schematics</w:t>
      </w:r>
      <w:r w:rsidRPr="00AE1B1D">
        <w:rPr>
          <w:i w:val="0"/>
          <w:noProof/>
          <w:color w:val="auto"/>
          <w:sz w:val="24"/>
          <w:szCs w:val="24"/>
          <w:lang w:eastAsia="en-US"/>
        </w:rPr>
        <w:t xml:space="preserve"> of Dex and Naringin</w:t>
      </w:r>
      <w:r w:rsidR="00007B5D" w:rsidRPr="00AE1B1D">
        <w:rPr>
          <w:i w:val="0"/>
          <w:noProof/>
          <w:color w:val="auto"/>
          <w:sz w:val="24"/>
          <w:szCs w:val="24"/>
          <w:lang w:eastAsia="en-US"/>
        </w:rPr>
        <w:t xml:space="preserve"> administration</w:t>
      </w:r>
      <w:r w:rsidRPr="00AE1B1D">
        <w:rPr>
          <w:i w:val="0"/>
          <w:noProof/>
          <w:color w:val="auto"/>
          <w:sz w:val="24"/>
          <w:szCs w:val="24"/>
          <w:lang w:eastAsia="en-US"/>
        </w:rPr>
        <w:t xml:space="preserve"> in this experiment. </w:t>
      </w:r>
      <w:r w:rsidRPr="00AE1B1D">
        <w:rPr>
          <w:b/>
          <w:i w:val="0"/>
          <w:noProof/>
          <w:color w:val="auto"/>
          <w:sz w:val="24"/>
          <w:szCs w:val="24"/>
          <w:lang w:eastAsia="en-US"/>
        </w:rPr>
        <w:t>(B)</w:t>
      </w:r>
      <w:r w:rsidRPr="00AE1B1D">
        <w:rPr>
          <w:i w:val="0"/>
          <w:noProof/>
          <w:color w:val="auto"/>
          <w:sz w:val="24"/>
          <w:szCs w:val="24"/>
          <w:lang w:eastAsia="en-US"/>
        </w:rPr>
        <w:t xml:space="preserve"> ALP activity of hASCs over 21 days in OS-Dex, with different Naringin concentrations</w:t>
      </w:r>
      <w:r w:rsidR="00DE77DF" w:rsidRPr="00AE1B1D">
        <w:rPr>
          <w:i w:val="0"/>
          <w:noProof/>
          <w:color w:val="auto"/>
          <w:sz w:val="24"/>
          <w:szCs w:val="24"/>
          <w:lang w:eastAsia="en-US"/>
        </w:rPr>
        <w:t>.</w:t>
      </w:r>
      <w:r w:rsidRPr="00AE1B1D">
        <w:rPr>
          <w:i w:val="0"/>
          <w:noProof/>
          <w:color w:val="auto"/>
          <w:sz w:val="24"/>
          <w:szCs w:val="24"/>
          <w:lang w:eastAsia="en-US"/>
        </w:rPr>
        <w:t xml:space="preserve"> </w:t>
      </w:r>
      <w:r w:rsidRPr="00AE1B1D">
        <w:rPr>
          <w:b/>
          <w:i w:val="0"/>
          <w:noProof/>
          <w:color w:val="auto"/>
          <w:sz w:val="24"/>
          <w:szCs w:val="24"/>
          <w:lang w:eastAsia="en-US"/>
        </w:rPr>
        <w:t>(C)</w:t>
      </w:r>
      <w:r w:rsidRPr="00AE1B1D">
        <w:rPr>
          <w:i w:val="0"/>
          <w:noProof/>
          <w:color w:val="auto"/>
          <w:sz w:val="24"/>
          <w:szCs w:val="24"/>
          <w:lang w:eastAsia="en-US"/>
        </w:rPr>
        <w:t xml:space="preserve"> ALP activity fold induction over </w:t>
      </w:r>
      <w:r w:rsidR="00660024" w:rsidRPr="00AE1B1D">
        <w:rPr>
          <w:i w:val="0"/>
          <w:noProof/>
          <w:color w:val="auto"/>
          <w:sz w:val="24"/>
          <w:szCs w:val="24"/>
          <w:lang w:eastAsia="en-US"/>
        </w:rPr>
        <w:t xml:space="preserve">OS-Dex medium </w:t>
      </w:r>
      <w:r w:rsidRPr="00AE1B1D">
        <w:rPr>
          <w:i w:val="0"/>
          <w:noProof/>
          <w:color w:val="auto"/>
          <w:sz w:val="24"/>
          <w:szCs w:val="24"/>
          <w:lang w:eastAsia="en-US"/>
        </w:rPr>
        <w:t xml:space="preserve">at 14 and 21 days. Differences between Naringin doses and OS-Dex are not significant. </w:t>
      </w:r>
      <w:r w:rsidRPr="00AE1B1D">
        <w:rPr>
          <w:b/>
          <w:i w:val="0"/>
          <w:noProof/>
          <w:color w:val="auto"/>
          <w:sz w:val="24"/>
          <w:szCs w:val="24"/>
          <w:lang w:eastAsia="en-US"/>
        </w:rPr>
        <w:t>(D)</w:t>
      </w:r>
      <w:r w:rsidRPr="00AE1B1D">
        <w:rPr>
          <w:i w:val="0"/>
          <w:noProof/>
          <w:color w:val="auto"/>
          <w:sz w:val="24"/>
          <w:szCs w:val="24"/>
          <w:lang w:eastAsia="en-US"/>
        </w:rPr>
        <w:t xml:space="preserve"> BCIP/NBT ALP</w:t>
      </w:r>
      <w:r w:rsidR="00DE77DF" w:rsidRPr="00AE1B1D">
        <w:rPr>
          <w:i w:val="0"/>
          <w:noProof/>
          <w:color w:val="auto"/>
          <w:sz w:val="24"/>
          <w:szCs w:val="24"/>
          <w:lang w:eastAsia="en-US"/>
        </w:rPr>
        <w:t xml:space="preserve"> </w:t>
      </w:r>
      <w:r w:rsidRPr="00AE1B1D">
        <w:rPr>
          <w:i w:val="0"/>
          <w:noProof/>
          <w:color w:val="auto"/>
          <w:sz w:val="24"/>
          <w:szCs w:val="24"/>
          <w:lang w:eastAsia="en-US"/>
        </w:rPr>
        <w:t xml:space="preserve">staining at 14 days. </w:t>
      </w:r>
      <w:r w:rsidRPr="00AE1B1D">
        <w:rPr>
          <w:b/>
          <w:i w:val="0"/>
          <w:noProof/>
          <w:color w:val="auto"/>
          <w:sz w:val="24"/>
          <w:szCs w:val="24"/>
          <w:lang w:eastAsia="en-US"/>
        </w:rPr>
        <w:t>(E)</w:t>
      </w:r>
      <w:r w:rsidRPr="00AE1B1D">
        <w:rPr>
          <w:i w:val="0"/>
          <w:noProof/>
          <w:color w:val="auto"/>
          <w:sz w:val="24"/>
          <w:szCs w:val="24"/>
          <w:lang w:eastAsia="en-US"/>
        </w:rPr>
        <w:t xml:space="preserve"> ALP activity fold induction over </w:t>
      </w:r>
      <w:r w:rsidR="00660024" w:rsidRPr="00AE1B1D">
        <w:rPr>
          <w:i w:val="0"/>
          <w:noProof/>
          <w:color w:val="auto"/>
          <w:sz w:val="24"/>
          <w:szCs w:val="24"/>
          <w:lang w:eastAsia="en-US"/>
        </w:rPr>
        <w:t xml:space="preserve">OS-Dex medium </w:t>
      </w:r>
      <w:r w:rsidRPr="00AE1B1D">
        <w:rPr>
          <w:i w:val="0"/>
          <w:noProof/>
          <w:color w:val="auto"/>
          <w:sz w:val="24"/>
          <w:szCs w:val="24"/>
          <w:lang w:eastAsia="en-US"/>
        </w:rPr>
        <w:t>at 3 and 7 days.</w:t>
      </w:r>
      <w:r w:rsidRPr="00AE1B1D">
        <w:rPr>
          <w:i w:val="0"/>
          <w:color w:val="auto"/>
          <w:sz w:val="24"/>
          <w:szCs w:val="24"/>
          <w:lang w:eastAsia="en-US"/>
        </w:rPr>
        <w:t xml:space="preserve"> Data </w:t>
      </w:r>
      <w:r w:rsidR="000823F2" w:rsidRPr="00AE1B1D">
        <w:rPr>
          <w:i w:val="0"/>
          <w:color w:val="auto"/>
          <w:sz w:val="24"/>
          <w:szCs w:val="24"/>
          <w:lang w:eastAsia="en-US"/>
        </w:rPr>
        <w:t xml:space="preserve">is </w:t>
      </w:r>
      <w:r w:rsidRPr="00AE1B1D">
        <w:rPr>
          <w:i w:val="0"/>
          <w:color w:val="auto"/>
          <w:sz w:val="24"/>
          <w:szCs w:val="24"/>
          <w:lang w:eastAsia="en-US"/>
        </w:rPr>
        <w:t xml:space="preserve">represented as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00660024" w:rsidRPr="00AE1B1D">
        <w:rPr>
          <w:i w:val="0"/>
          <w:color w:val="auto"/>
          <w:sz w:val="24"/>
          <w:szCs w:val="24"/>
          <w:lang w:eastAsia="en-US"/>
        </w:rPr>
        <w:t>=4</w:t>
      </w:r>
      <w:r w:rsidRPr="00AE1B1D">
        <w:rPr>
          <w:i w:val="0"/>
          <w:color w:val="auto"/>
          <w:sz w:val="24"/>
          <w:szCs w:val="24"/>
          <w:lang w:eastAsia="en-US"/>
        </w:rPr>
        <w:t>).</w:t>
      </w:r>
      <w:bookmarkEnd w:id="5"/>
      <w:r w:rsidR="000823F2" w:rsidRPr="00AE1B1D">
        <w:rPr>
          <w:i w:val="0"/>
          <w:color w:val="auto"/>
          <w:sz w:val="24"/>
          <w:szCs w:val="24"/>
          <w:lang w:eastAsia="en-US"/>
        </w:rPr>
        <w:t xml:space="preserve"> *p &lt; 0.05.</w:t>
      </w:r>
    </w:p>
    <w:p w14:paraId="7C3F1DE5" w14:textId="77777777" w:rsidR="004B5AF9" w:rsidRPr="00AE1B1D" w:rsidRDefault="004B5AF9" w:rsidP="002A2638">
      <w:pPr>
        <w:pStyle w:val="Legend"/>
        <w:spacing w:after="240" w:line="480" w:lineRule="auto"/>
      </w:pPr>
    </w:p>
    <w:p w14:paraId="1C6ACAD0" w14:textId="77777777" w:rsidR="004B5AF9" w:rsidRPr="00AE1B1D" w:rsidRDefault="004B5AF9" w:rsidP="004B5AF9">
      <w:pPr>
        <w:pStyle w:val="Legend"/>
        <w:spacing w:after="120"/>
        <w:jc w:val="center"/>
      </w:pPr>
    </w:p>
    <w:p w14:paraId="47F34156" w14:textId="114BF233" w:rsidR="00BE78A9" w:rsidRPr="00AE1B1D" w:rsidRDefault="009A4872" w:rsidP="004B5AF9">
      <w:pPr>
        <w:pStyle w:val="Legend"/>
        <w:spacing w:after="120"/>
        <w:jc w:val="center"/>
      </w:pPr>
      <w:r w:rsidRPr="00AE1B1D">
        <w:rPr>
          <w:noProof/>
        </w:rPr>
        <w:lastRenderedPageBreak/>
        <w:drawing>
          <wp:inline distT="0" distB="0" distL="0" distR="0" wp14:anchorId="0E612408" wp14:editId="33E27269">
            <wp:extent cx="4295775" cy="3724275"/>
            <wp:effectExtent l="0" t="0" r="0" b="0"/>
            <wp:docPr id="6" name="Imagem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4140" t="4819" r="9933" b="4819"/>
                    <a:stretch>
                      <a:fillRect/>
                    </a:stretch>
                  </pic:blipFill>
                  <pic:spPr bwMode="auto">
                    <a:xfrm>
                      <a:off x="0" y="0"/>
                      <a:ext cx="4295775" cy="3724275"/>
                    </a:xfrm>
                    <a:prstGeom prst="rect">
                      <a:avLst/>
                    </a:prstGeom>
                    <a:noFill/>
                    <a:ln>
                      <a:noFill/>
                    </a:ln>
                  </pic:spPr>
                </pic:pic>
              </a:graphicData>
            </a:graphic>
          </wp:inline>
        </w:drawing>
      </w:r>
    </w:p>
    <w:p w14:paraId="5A1E6DC9" w14:textId="03F359A9" w:rsidR="004B5AF9" w:rsidRPr="00AE1B1D" w:rsidRDefault="004B5AF9" w:rsidP="004B5AF9">
      <w:pPr>
        <w:pStyle w:val="Legenda"/>
        <w:spacing w:after="0"/>
        <w:jc w:val="both"/>
        <w:rPr>
          <w:i w:val="0"/>
          <w:color w:val="auto"/>
          <w:sz w:val="24"/>
          <w:szCs w:val="24"/>
          <w:lang w:eastAsia="en-US"/>
        </w:rPr>
      </w:pPr>
      <w:r w:rsidRPr="00AE1B1D">
        <w:rPr>
          <w:b/>
          <w:i w:val="0"/>
          <w:color w:val="auto"/>
          <w:sz w:val="24"/>
          <w:szCs w:val="24"/>
        </w:rPr>
        <w:t xml:space="preserve">Figure </w:t>
      </w:r>
      <w:r w:rsidR="003F1128" w:rsidRPr="00AE1B1D">
        <w:rPr>
          <w:b/>
          <w:i w:val="0"/>
          <w:color w:val="auto"/>
          <w:sz w:val="24"/>
          <w:szCs w:val="24"/>
        </w:rPr>
        <w:t>5.</w:t>
      </w:r>
      <w:r w:rsidRPr="00AE1B1D">
        <w:rPr>
          <w:i w:val="0"/>
          <w:noProof/>
          <w:color w:val="auto"/>
          <w:sz w:val="24"/>
          <w:szCs w:val="24"/>
          <w:lang w:eastAsia="en-US"/>
        </w:rPr>
        <w:t xml:space="preserve"> Naringin-induced BMP-2 secretion in hASCs at 14 and 21 days, after incubation with OS-Dex diffentiation medium (OS) control group and with Naringin doses. Cumulative BMP-2 levels were normalized to DNA content.</w:t>
      </w:r>
      <w:r w:rsidRPr="00AE1B1D">
        <w:rPr>
          <w:i w:val="0"/>
          <w:color w:val="auto"/>
          <w:sz w:val="24"/>
          <w:szCs w:val="24"/>
          <w:lang w:eastAsia="en-US"/>
        </w:rPr>
        <w:t xml:space="preserve"> Data is represented as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Pr="00AE1B1D">
        <w:rPr>
          <w:i w:val="0"/>
          <w:color w:val="auto"/>
          <w:sz w:val="24"/>
          <w:szCs w:val="24"/>
          <w:lang w:eastAsia="en-US"/>
        </w:rPr>
        <w:t>=3). *p &lt; 0.05</w:t>
      </w:r>
      <w:r w:rsidR="00DE77DF" w:rsidRPr="00AE1B1D">
        <w:rPr>
          <w:i w:val="0"/>
          <w:color w:val="auto"/>
          <w:sz w:val="24"/>
          <w:szCs w:val="24"/>
          <w:lang w:eastAsia="en-US"/>
        </w:rPr>
        <w:t>.</w:t>
      </w:r>
    </w:p>
    <w:p w14:paraId="5C66A749" w14:textId="77777777" w:rsidR="004B5AF9" w:rsidRPr="00AE1B1D" w:rsidRDefault="004B5AF9" w:rsidP="004B5AF9">
      <w:pPr>
        <w:pStyle w:val="Legend"/>
        <w:spacing w:after="240" w:line="480" w:lineRule="auto"/>
        <w:jc w:val="center"/>
      </w:pPr>
    </w:p>
    <w:p w14:paraId="692C919B" w14:textId="77777777" w:rsidR="004B5AF9" w:rsidRPr="00AE1B1D" w:rsidRDefault="004B5AF9" w:rsidP="004B5AF9">
      <w:pPr>
        <w:pStyle w:val="Legend"/>
        <w:spacing w:after="120"/>
        <w:jc w:val="center"/>
      </w:pPr>
    </w:p>
    <w:p w14:paraId="6DDACB56" w14:textId="2CC06009" w:rsidR="00247286" w:rsidRPr="00AE1B1D" w:rsidRDefault="009A4872" w:rsidP="004B5AF9">
      <w:pPr>
        <w:pStyle w:val="Legend"/>
        <w:spacing w:after="120"/>
        <w:jc w:val="center"/>
      </w:pPr>
      <w:r w:rsidRPr="00AE1B1D">
        <w:rPr>
          <w:noProof/>
        </w:rPr>
        <w:lastRenderedPageBreak/>
        <w:drawing>
          <wp:inline distT="0" distB="0" distL="0" distR="0" wp14:anchorId="3FB005FF" wp14:editId="44ED115C">
            <wp:extent cx="5104134" cy="6896100"/>
            <wp:effectExtent l="0" t="0" r="1270" b="0"/>
            <wp:docPr id="7" name="Imagem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16">
                      <a:extLst>
                        <a:ext uri="{28A0092B-C50C-407E-A947-70E740481C1C}">
                          <a14:useLocalDpi xmlns:a14="http://schemas.microsoft.com/office/drawing/2010/main" val="0"/>
                        </a:ext>
                      </a:extLst>
                    </a:blip>
                    <a:srcRect l="2484" t="981" b="1227"/>
                    <a:stretch>
                      <a:fillRect/>
                    </a:stretch>
                  </pic:blipFill>
                  <pic:spPr bwMode="auto">
                    <a:xfrm>
                      <a:off x="0" y="0"/>
                      <a:ext cx="5107765" cy="6901006"/>
                    </a:xfrm>
                    <a:prstGeom prst="rect">
                      <a:avLst/>
                    </a:prstGeom>
                    <a:noFill/>
                    <a:ln>
                      <a:noFill/>
                    </a:ln>
                  </pic:spPr>
                </pic:pic>
              </a:graphicData>
            </a:graphic>
          </wp:inline>
        </w:drawing>
      </w:r>
    </w:p>
    <w:p w14:paraId="7DB78EE3" w14:textId="79B6EC8B" w:rsidR="004B5AF9" w:rsidRPr="00AE1B1D" w:rsidRDefault="004B5AF9" w:rsidP="004B5AF9">
      <w:pPr>
        <w:pStyle w:val="Legenda"/>
        <w:spacing w:after="0"/>
        <w:jc w:val="both"/>
        <w:rPr>
          <w:i w:val="0"/>
          <w:noProof/>
          <w:color w:val="auto"/>
          <w:sz w:val="24"/>
          <w:szCs w:val="24"/>
          <w:lang w:eastAsia="en-US"/>
        </w:rPr>
      </w:pPr>
      <w:bookmarkStart w:id="6" w:name="_Toc500090057"/>
      <w:r w:rsidRPr="00AE1B1D">
        <w:rPr>
          <w:b/>
          <w:i w:val="0"/>
          <w:color w:val="auto"/>
          <w:sz w:val="24"/>
          <w:szCs w:val="24"/>
        </w:rPr>
        <w:t xml:space="preserve">Figure </w:t>
      </w:r>
      <w:r w:rsidR="003F1128" w:rsidRPr="00AE1B1D">
        <w:rPr>
          <w:b/>
          <w:i w:val="0"/>
          <w:color w:val="auto"/>
          <w:sz w:val="24"/>
          <w:szCs w:val="24"/>
        </w:rPr>
        <w:t>6.</w:t>
      </w:r>
      <w:r w:rsidR="003F1128" w:rsidRPr="00AE1B1D">
        <w:rPr>
          <w:i w:val="0"/>
          <w:color w:val="auto"/>
          <w:sz w:val="24"/>
          <w:szCs w:val="24"/>
        </w:rPr>
        <w:t xml:space="preserve"> </w:t>
      </w:r>
      <w:r w:rsidRPr="00AE1B1D">
        <w:rPr>
          <w:i w:val="0"/>
          <w:noProof/>
          <w:color w:val="auto"/>
          <w:sz w:val="24"/>
          <w:szCs w:val="24"/>
          <w:lang w:eastAsia="en-US"/>
        </w:rPr>
        <w:t xml:space="preserve">Naringin-induced osteogenic differentiation and mineralization in hASCs. </w:t>
      </w:r>
      <w:r w:rsidRPr="00AE1B1D">
        <w:rPr>
          <w:b/>
          <w:i w:val="0"/>
          <w:noProof/>
          <w:color w:val="auto"/>
          <w:sz w:val="24"/>
          <w:szCs w:val="24"/>
          <w:lang w:eastAsia="en-US"/>
        </w:rPr>
        <w:t>(A, B)</w:t>
      </w:r>
      <w:r w:rsidRPr="00AE1B1D">
        <w:rPr>
          <w:i w:val="0"/>
          <w:noProof/>
          <w:color w:val="auto"/>
          <w:sz w:val="24"/>
          <w:szCs w:val="24"/>
          <w:lang w:eastAsia="en-US"/>
        </w:rPr>
        <w:t xml:space="preserve"> OPN expression in hASCs at 14 days, after incubation with BM and OS-Dex medium (control groups), and with free Naringin</w:t>
      </w:r>
      <w:r w:rsidR="00DE77DF" w:rsidRPr="00AE1B1D">
        <w:rPr>
          <w:i w:val="0"/>
          <w:noProof/>
          <w:color w:val="auto"/>
          <w:sz w:val="24"/>
          <w:szCs w:val="24"/>
          <w:lang w:eastAsia="en-US"/>
        </w:rPr>
        <w:t>,</w:t>
      </w:r>
      <w:r w:rsidRPr="00AE1B1D">
        <w:rPr>
          <w:i w:val="0"/>
          <w:noProof/>
          <w:color w:val="auto"/>
          <w:sz w:val="24"/>
          <w:szCs w:val="24"/>
          <w:lang w:eastAsia="en-US"/>
        </w:rPr>
        <w:t xml:space="preserve"> or</w:t>
      </w:r>
      <w:r w:rsidR="00DE77DF" w:rsidRPr="00AE1B1D">
        <w:rPr>
          <w:i w:val="0"/>
          <w:noProof/>
          <w:color w:val="auto"/>
          <w:sz w:val="24"/>
          <w:szCs w:val="24"/>
          <w:lang w:eastAsia="en-US"/>
        </w:rPr>
        <w:t xml:space="preserve"> different</w:t>
      </w:r>
      <w:r w:rsidRPr="00AE1B1D">
        <w:rPr>
          <w:i w:val="0"/>
          <w:noProof/>
          <w:color w:val="auto"/>
          <w:sz w:val="24"/>
          <w:szCs w:val="24"/>
          <w:lang w:eastAsia="en-US"/>
        </w:rPr>
        <w:t xml:space="preserve"> Naringin-loaded nanomicelle</w:t>
      </w:r>
      <w:r w:rsidR="00DE77DF" w:rsidRPr="00AE1B1D">
        <w:rPr>
          <w:i w:val="0"/>
          <w:noProof/>
          <w:color w:val="auto"/>
          <w:sz w:val="24"/>
          <w:szCs w:val="24"/>
          <w:lang w:eastAsia="en-US"/>
        </w:rPr>
        <w:t xml:space="preserve"> doses</w:t>
      </w:r>
      <w:r w:rsidRPr="00AE1B1D">
        <w:rPr>
          <w:i w:val="0"/>
          <w:noProof/>
          <w:color w:val="auto"/>
          <w:sz w:val="24"/>
          <w:szCs w:val="24"/>
          <w:lang w:eastAsia="en-US"/>
        </w:rPr>
        <w:t xml:space="preserve">. </w:t>
      </w:r>
      <w:r w:rsidRPr="00AE1B1D">
        <w:rPr>
          <w:b/>
          <w:i w:val="0"/>
          <w:noProof/>
          <w:color w:val="auto"/>
          <w:sz w:val="24"/>
          <w:szCs w:val="24"/>
          <w:lang w:eastAsia="en-US"/>
        </w:rPr>
        <w:t>(A)</w:t>
      </w:r>
      <w:r w:rsidRPr="00AE1B1D">
        <w:rPr>
          <w:i w:val="0"/>
          <w:noProof/>
          <w:color w:val="auto"/>
          <w:sz w:val="24"/>
          <w:szCs w:val="24"/>
          <w:lang w:eastAsia="en-US"/>
        </w:rPr>
        <w:t xml:space="preserve"> OPN expressed as fold-induction in MFI relatively to </w:t>
      </w:r>
      <w:r w:rsidR="00247286" w:rsidRPr="00AE1B1D">
        <w:rPr>
          <w:i w:val="0"/>
          <w:noProof/>
          <w:color w:val="auto"/>
          <w:sz w:val="24"/>
          <w:szCs w:val="24"/>
          <w:lang w:eastAsia="en-US"/>
        </w:rPr>
        <w:t>OS</w:t>
      </w:r>
      <w:r w:rsidRPr="00AE1B1D">
        <w:rPr>
          <w:i w:val="0"/>
          <w:noProof/>
          <w:color w:val="auto"/>
          <w:sz w:val="24"/>
          <w:szCs w:val="24"/>
          <w:lang w:eastAsia="en-US"/>
        </w:rPr>
        <w:t xml:space="preserve"> control group. </w:t>
      </w:r>
      <w:r w:rsidRPr="00AE1B1D">
        <w:rPr>
          <w:b/>
          <w:i w:val="0"/>
          <w:noProof/>
          <w:color w:val="auto"/>
          <w:sz w:val="24"/>
          <w:szCs w:val="24"/>
          <w:lang w:eastAsia="en-US"/>
        </w:rPr>
        <w:t>(B)</w:t>
      </w:r>
      <w:r w:rsidRPr="00AE1B1D">
        <w:rPr>
          <w:i w:val="0"/>
          <w:noProof/>
          <w:color w:val="auto"/>
          <w:sz w:val="24"/>
          <w:szCs w:val="24"/>
          <w:lang w:eastAsia="en-US"/>
        </w:rPr>
        <w:t xml:space="preserve"> Representative fluorescence microscopy imaging of immunostained hASCs at 14 days after incubation with free Naringin or Naringin-loaded nanomicelles at various doses. Blue</w:t>
      </w:r>
      <w:r w:rsidRPr="00AE1B1D">
        <w:rPr>
          <w:i w:val="0"/>
          <w:color w:val="auto"/>
          <w:sz w:val="24"/>
          <w:szCs w:val="24"/>
          <w:lang w:eastAsia="en-US"/>
        </w:rPr>
        <w:t xml:space="preserve"> channel: cell nucleus staining with DAPI. Red channel: OPN staining with anti-mouse Alexa Fluor 647 fluorescent antibody conjugate. Data </w:t>
      </w:r>
      <w:r w:rsidR="00247286" w:rsidRPr="00AE1B1D">
        <w:rPr>
          <w:i w:val="0"/>
          <w:color w:val="auto"/>
          <w:sz w:val="24"/>
          <w:szCs w:val="24"/>
          <w:lang w:eastAsia="en-US"/>
        </w:rPr>
        <w:t xml:space="preserve">is </w:t>
      </w:r>
      <w:r w:rsidRPr="00AE1B1D">
        <w:rPr>
          <w:i w:val="0"/>
          <w:color w:val="auto"/>
          <w:sz w:val="24"/>
          <w:szCs w:val="24"/>
          <w:lang w:eastAsia="en-US"/>
        </w:rPr>
        <w:t xml:space="preserve">represented as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00D21481" w:rsidRPr="00AE1B1D">
        <w:rPr>
          <w:i w:val="0"/>
          <w:color w:val="auto"/>
          <w:sz w:val="24"/>
          <w:szCs w:val="24"/>
          <w:lang w:eastAsia="en-US"/>
        </w:rPr>
        <w:t>=6)</w:t>
      </w:r>
      <w:r w:rsidR="00DE77DF" w:rsidRPr="00AE1B1D">
        <w:rPr>
          <w:i w:val="0"/>
          <w:color w:val="auto"/>
          <w:sz w:val="24"/>
          <w:szCs w:val="24"/>
          <w:lang w:eastAsia="en-US"/>
        </w:rPr>
        <w:t>,</w:t>
      </w:r>
      <w:r w:rsidR="00D21481" w:rsidRPr="00AE1B1D">
        <w:rPr>
          <w:i w:val="0"/>
          <w:color w:val="auto"/>
          <w:sz w:val="24"/>
          <w:szCs w:val="24"/>
          <w:lang w:eastAsia="en-US"/>
        </w:rPr>
        <w:t xml:space="preserve"> *p &lt; 0.05</w:t>
      </w:r>
      <w:r w:rsidRPr="00AE1B1D">
        <w:rPr>
          <w:i w:val="0"/>
          <w:color w:val="auto"/>
          <w:sz w:val="24"/>
          <w:szCs w:val="24"/>
          <w:lang w:eastAsia="en-US"/>
        </w:rPr>
        <w:t>.</w:t>
      </w:r>
      <w:bookmarkEnd w:id="6"/>
      <w:r w:rsidRPr="00AE1B1D">
        <w:rPr>
          <w:i w:val="0"/>
          <w:color w:val="auto"/>
          <w:sz w:val="24"/>
          <w:szCs w:val="24"/>
          <w:lang w:eastAsia="en-US"/>
        </w:rPr>
        <w:t xml:space="preserve"> </w:t>
      </w:r>
      <w:r w:rsidRPr="00AE1B1D">
        <w:rPr>
          <w:b/>
          <w:i w:val="0"/>
          <w:color w:val="auto"/>
          <w:sz w:val="24"/>
          <w:szCs w:val="24"/>
          <w:lang w:eastAsia="en-US"/>
        </w:rPr>
        <w:t>(C)</w:t>
      </w:r>
      <w:r w:rsidRPr="00AE1B1D">
        <w:rPr>
          <w:i w:val="0"/>
          <w:color w:val="auto"/>
          <w:sz w:val="24"/>
          <w:szCs w:val="24"/>
          <w:lang w:eastAsia="en-US"/>
        </w:rPr>
        <w:t xml:space="preserve"> </w:t>
      </w:r>
      <w:bookmarkStart w:id="7" w:name="_Toc500090058"/>
      <w:r w:rsidRPr="00AE1B1D">
        <w:rPr>
          <w:i w:val="0"/>
          <w:noProof/>
          <w:color w:val="auto"/>
          <w:sz w:val="24"/>
          <w:szCs w:val="24"/>
          <w:lang w:eastAsia="en-US"/>
        </w:rPr>
        <w:t>Optical microscopy micrographs of Alizarin Red S staining of calcium deposits in Naringin-treated hASCs cell monolayer</w:t>
      </w:r>
      <w:r w:rsidR="00D21481" w:rsidRPr="00AE1B1D">
        <w:rPr>
          <w:i w:val="0"/>
          <w:noProof/>
          <w:color w:val="auto"/>
          <w:sz w:val="24"/>
          <w:szCs w:val="24"/>
          <w:lang w:eastAsia="en-US"/>
        </w:rPr>
        <w:t>s</w:t>
      </w:r>
      <w:r w:rsidRPr="00AE1B1D">
        <w:rPr>
          <w:i w:val="0"/>
          <w:noProof/>
          <w:color w:val="auto"/>
          <w:sz w:val="24"/>
          <w:szCs w:val="24"/>
          <w:lang w:eastAsia="en-US"/>
        </w:rPr>
        <w:t xml:space="preserve"> after a 21-day induction in OS-Dex medium. BM represents basal medium.</w:t>
      </w:r>
      <w:bookmarkEnd w:id="7"/>
    </w:p>
    <w:p w14:paraId="05F182FE" w14:textId="77777777" w:rsidR="004B5AF9" w:rsidRPr="00AE1B1D" w:rsidRDefault="004B5AF9" w:rsidP="004B5AF9">
      <w:pPr>
        <w:pStyle w:val="Legend"/>
        <w:spacing w:after="240" w:line="480" w:lineRule="auto"/>
        <w:jc w:val="center"/>
      </w:pPr>
    </w:p>
    <w:p w14:paraId="1D3B0CBD" w14:textId="47E595BA" w:rsidR="00860D49" w:rsidRPr="00AE1B1D" w:rsidRDefault="009A4872" w:rsidP="004B5AF9">
      <w:pPr>
        <w:pStyle w:val="Legend"/>
        <w:spacing w:after="240" w:line="480" w:lineRule="auto"/>
        <w:jc w:val="center"/>
      </w:pPr>
      <w:r w:rsidRPr="00AE1B1D">
        <w:rPr>
          <w:noProof/>
        </w:rPr>
        <w:lastRenderedPageBreak/>
        <w:drawing>
          <wp:inline distT="0" distB="0" distL="0" distR="0" wp14:anchorId="5EE2DF3A" wp14:editId="637F5609">
            <wp:extent cx="5177982" cy="8724900"/>
            <wp:effectExtent l="0" t="0" r="3810" b="0"/>
            <wp:docPr id="8" name="Imagem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17" cstate="print">
                      <a:extLst>
                        <a:ext uri="{28A0092B-C50C-407E-A947-70E740481C1C}">
                          <a14:useLocalDpi xmlns:a14="http://schemas.microsoft.com/office/drawing/2010/main" val="0"/>
                        </a:ext>
                      </a:extLst>
                    </a:blip>
                    <a:srcRect r="4842"/>
                    <a:stretch>
                      <a:fillRect/>
                    </a:stretch>
                  </pic:blipFill>
                  <pic:spPr bwMode="auto">
                    <a:xfrm>
                      <a:off x="0" y="0"/>
                      <a:ext cx="5179408" cy="8727303"/>
                    </a:xfrm>
                    <a:prstGeom prst="rect">
                      <a:avLst/>
                    </a:prstGeom>
                    <a:noFill/>
                    <a:ln>
                      <a:noFill/>
                    </a:ln>
                  </pic:spPr>
                </pic:pic>
              </a:graphicData>
            </a:graphic>
          </wp:inline>
        </w:drawing>
      </w:r>
    </w:p>
    <w:p w14:paraId="7D64668E" w14:textId="77777777" w:rsidR="00860D49" w:rsidRPr="00AE1B1D" w:rsidRDefault="00860D49" w:rsidP="004B5AF9">
      <w:pPr>
        <w:pStyle w:val="Legend"/>
        <w:spacing w:after="240" w:line="480" w:lineRule="auto"/>
        <w:jc w:val="center"/>
      </w:pPr>
    </w:p>
    <w:p w14:paraId="0FBF42C2" w14:textId="77777777" w:rsidR="004B5AF9" w:rsidRPr="00AE1B1D" w:rsidRDefault="004B5AF9" w:rsidP="004B5AF9">
      <w:pPr>
        <w:pStyle w:val="Legenda"/>
        <w:spacing w:after="0"/>
        <w:jc w:val="both"/>
        <w:rPr>
          <w:i w:val="0"/>
          <w:color w:val="auto"/>
          <w:sz w:val="24"/>
          <w:szCs w:val="24"/>
          <w:lang w:eastAsia="en-US"/>
        </w:rPr>
      </w:pPr>
      <w:bookmarkStart w:id="8" w:name="_Toc500090059"/>
      <w:r w:rsidRPr="00AE1B1D">
        <w:rPr>
          <w:b/>
          <w:i w:val="0"/>
          <w:color w:val="auto"/>
          <w:sz w:val="24"/>
          <w:szCs w:val="24"/>
        </w:rPr>
        <w:t xml:space="preserve">Figure </w:t>
      </w:r>
      <w:r w:rsidR="007B3739" w:rsidRPr="00AE1B1D">
        <w:rPr>
          <w:b/>
          <w:i w:val="0"/>
          <w:color w:val="auto"/>
          <w:sz w:val="24"/>
          <w:szCs w:val="24"/>
        </w:rPr>
        <w:t>7.</w:t>
      </w:r>
      <w:r w:rsidR="007B3739" w:rsidRPr="00AE1B1D">
        <w:rPr>
          <w:i w:val="0"/>
          <w:color w:val="auto"/>
          <w:sz w:val="24"/>
          <w:szCs w:val="24"/>
        </w:rPr>
        <w:t xml:space="preserve"> </w:t>
      </w:r>
      <w:r w:rsidRPr="00AE1B1D">
        <w:rPr>
          <w:i w:val="0"/>
          <w:noProof/>
          <w:color w:val="auto"/>
          <w:sz w:val="24"/>
          <w:szCs w:val="24"/>
          <w:lang w:eastAsia="en-US"/>
        </w:rPr>
        <w:t xml:space="preserve">The effect of dose regimen and Naringin-loaded micelles on the stimulation of ALP activity in rOS differentiation medium. </w:t>
      </w:r>
      <w:r w:rsidRPr="00AE1B1D">
        <w:rPr>
          <w:b/>
          <w:i w:val="0"/>
          <w:noProof/>
          <w:color w:val="auto"/>
          <w:sz w:val="24"/>
          <w:szCs w:val="24"/>
          <w:lang w:eastAsia="en-US"/>
        </w:rPr>
        <w:t>(A)</w:t>
      </w:r>
      <w:r w:rsidRPr="00AE1B1D">
        <w:rPr>
          <w:i w:val="0"/>
          <w:noProof/>
          <w:color w:val="auto"/>
          <w:sz w:val="24"/>
          <w:szCs w:val="24"/>
          <w:lang w:eastAsia="en-US"/>
        </w:rPr>
        <w:t xml:space="preserve"> Dose regime of free Naringin and Naringin-loaded micelles in this experiment. </w:t>
      </w:r>
      <w:r w:rsidRPr="00AE1B1D">
        <w:rPr>
          <w:b/>
          <w:i w:val="0"/>
          <w:noProof/>
          <w:color w:val="auto"/>
          <w:sz w:val="24"/>
          <w:szCs w:val="24"/>
          <w:lang w:eastAsia="en-US"/>
        </w:rPr>
        <w:t>(B)</w:t>
      </w:r>
      <w:r w:rsidRPr="00AE1B1D">
        <w:rPr>
          <w:i w:val="0"/>
          <w:noProof/>
          <w:color w:val="auto"/>
          <w:sz w:val="24"/>
          <w:szCs w:val="24"/>
          <w:lang w:eastAsia="en-US"/>
        </w:rPr>
        <w:t xml:space="preserve"> Comparison of the effect of Naringin-loaded micelles and free Naringin on </w:t>
      </w:r>
      <w:r w:rsidR="00A94775" w:rsidRPr="00AE1B1D">
        <w:rPr>
          <w:i w:val="0"/>
          <w:noProof/>
          <w:color w:val="auto"/>
          <w:sz w:val="24"/>
          <w:szCs w:val="24"/>
          <w:lang w:eastAsia="en-US"/>
        </w:rPr>
        <w:t>the promotion of ALP activity in</w:t>
      </w:r>
      <w:r w:rsidRPr="00AE1B1D">
        <w:rPr>
          <w:i w:val="0"/>
          <w:noProof/>
          <w:color w:val="auto"/>
          <w:sz w:val="24"/>
          <w:szCs w:val="24"/>
          <w:lang w:eastAsia="en-US"/>
        </w:rPr>
        <w:t xml:space="preserve"> hASCs at 3 days, expressed in fold induction over rOS control group. Comparison of the dose regimen effect of free Naringin </w:t>
      </w:r>
      <w:r w:rsidRPr="00AE1B1D">
        <w:rPr>
          <w:b/>
          <w:i w:val="0"/>
          <w:noProof/>
          <w:color w:val="auto"/>
          <w:sz w:val="24"/>
          <w:szCs w:val="24"/>
          <w:lang w:eastAsia="en-US"/>
        </w:rPr>
        <w:t>(C)</w:t>
      </w:r>
      <w:r w:rsidRPr="00AE1B1D">
        <w:rPr>
          <w:i w:val="0"/>
          <w:noProof/>
          <w:color w:val="auto"/>
          <w:sz w:val="24"/>
          <w:szCs w:val="24"/>
          <w:lang w:eastAsia="en-US"/>
        </w:rPr>
        <w:t xml:space="preserve"> and Naringin-loaded micelles </w:t>
      </w:r>
      <w:r w:rsidRPr="00AE1B1D">
        <w:rPr>
          <w:b/>
          <w:i w:val="0"/>
          <w:noProof/>
          <w:color w:val="auto"/>
          <w:sz w:val="24"/>
          <w:szCs w:val="24"/>
          <w:lang w:eastAsia="en-US"/>
        </w:rPr>
        <w:t>(D)</w:t>
      </w:r>
      <w:r w:rsidRPr="00AE1B1D">
        <w:rPr>
          <w:i w:val="0"/>
          <w:noProof/>
          <w:color w:val="auto"/>
          <w:sz w:val="24"/>
          <w:szCs w:val="24"/>
          <w:lang w:eastAsia="en-US"/>
        </w:rPr>
        <w:t xml:space="preserve"> on</w:t>
      </w:r>
      <w:r w:rsidR="00A94775" w:rsidRPr="00AE1B1D">
        <w:rPr>
          <w:i w:val="0"/>
          <w:noProof/>
          <w:color w:val="auto"/>
          <w:sz w:val="24"/>
          <w:szCs w:val="24"/>
          <w:lang w:eastAsia="en-US"/>
        </w:rPr>
        <w:t xml:space="preserve"> the promotion of ALP activity in</w:t>
      </w:r>
      <w:r w:rsidRPr="00AE1B1D">
        <w:rPr>
          <w:i w:val="0"/>
          <w:noProof/>
          <w:color w:val="auto"/>
          <w:sz w:val="24"/>
          <w:szCs w:val="24"/>
          <w:lang w:eastAsia="en-US"/>
        </w:rPr>
        <w:t xml:space="preserve"> hASCs at 7 days, expressed in fold induction over rOS control group. </w:t>
      </w:r>
      <w:r w:rsidRPr="00AE1B1D">
        <w:rPr>
          <w:b/>
          <w:i w:val="0"/>
          <w:noProof/>
          <w:color w:val="auto"/>
          <w:sz w:val="24"/>
          <w:szCs w:val="24"/>
          <w:lang w:eastAsia="en-US"/>
        </w:rPr>
        <w:t>(E)</w:t>
      </w:r>
      <w:r w:rsidRPr="00AE1B1D">
        <w:rPr>
          <w:i w:val="0"/>
          <w:noProof/>
          <w:color w:val="auto"/>
          <w:sz w:val="24"/>
          <w:szCs w:val="24"/>
          <w:lang w:eastAsia="en-US"/>
        </w:rPr>
        <w:t xml:space="preserve"> Comparison of the effect of Naringin-loaded micelles and free Naringin with respective dose regimen on</w:t>
      </w:r>
      <w:r w:rsidR="00A94775" w:rsidRPr="00AE1B1D">
        <w:rPr>
          <w:i w:val="0"/>
          <w:noProof/>
          <w:color w:val="auto"/>
          <w:sz w:val="24"/>
          <w:szCs w:val="24"/>
          <w:lang w:eastAsia="en-US"/>
        </w:rPr>
        <w:t xml:space="preserve"> the promotion of ALP activity in</w:t>
      </w:r>
      <w:r w:rsidRPr="00AE1B1D">
        <w:rPr>
          <w:i w:val="0"/>
          <w:noProof/>
          <w:color w:val="auto"/>
          <w:sz w:val="24"/>
          <w:szCs w:val="24"/>
          <w:lang w:eastAsia="en-US"/>
        </w:rPr>
        <w:t xml:space="preserve"> hASCs at 7 days, expressed in fold induction over rOS control group. </w:t>
      </w:r>
      <w:r w:rsidR="00A94775" w:rsidRPr="00AE1B1D">
        <w:rPr>
          <w:b/>
          <w:i w:val="0"/>
          <w:noProof/>
          <w:color w:val="auto"/>
          <w:sz w:val="24"/>
          <w:szCs w:val="24"/>
          <w:lang w:eastAsia="en-US"/>
        </w:rPr>
        <w:t>(F, G)</w:t>
      </w:r>
      <w:r w:rsidR="00A94775" w:rsidRPr="00AE1B1D">
        <w:rPr>
          <w:i w:val="0"/>
          <w:noProof/>
          <w:color w:val="auto"/>
          <w:sz w:val="24"/>
          <w:szCs w:val="24"/>
          <w:lang w:eastAsia="en-US"/>
        </w:rPr>
        <w:t xml:space="preserve"> Comparison of the effect of dual administration regime of Naringin-loaded micelles and free Naringin in promoting ALP activity in hASCs at 14 and 21 days, respectively. </w:t>
      </w:r>
      <w:r w:rsidRPr="00AE1B1D">
        <w:rPr>
          <w:i w:val="0"/>
          <w:noProof/>
          <w:color w:val="auto"/>
          <w:sz w:val="24"/>
          <w:szCs w:val="24"/>
          <w:lang w:eastAsia="en-US"/>
        </w:rPr>
        <w:t>Levels of ALP activity were normalized to DNA content prior to normalization to rOS control group.</w:t>
      </w:r>
      <w:r w:rsidRPr="00AE1B1D">
        <w:rPr>
          <w:i w:val="0"/>
          <w:color w:val="auto"/>
          <w:sz w:val="24"/>
          <w:szCs w:val="24"/>
          <w:lang w:eastAsia="en-US"/>
        </w:rPr>
        <w:t xml:space="preserve"> Data </w:t>
      </w:r>
      <w:r w:rsidR="00A94775" w:rsidRPr="00AE1B1D">
        <w:rPr>
          <w:i w:val="0"/>
          <w:color w:val="auto"/>
          <w:sz w:val="24"/>
          <w:szCs w:val="24"/>
          <w:lang w:eastAsia="en-US"/>
        </w:rPr>
        <w:t>is represented as</w:t>
      </w:r>
      <w:r w:rsidRPr="00AE1B1D">
        <w:rPr>
          <w:i w:val="0"/>
          <w:color w:val="auto"/>
          <w:sz w:val="24"/>
          <w:szCs w:val="24"/>
          <w:lang w:eastAsia="en-US"/>
        </w:rPr>
        <w:t xml:space="preserve">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Pr="00AE1B1D">
        <w:rPr>
          <w:i w:val="0"/>
          <w:color w:val="auto"/>
          <w:sz w:val="24"/>
          <w:szCs w:val="24"/>
          <w:lang w:eastAsia="en-US"/>
        </w:rPr>
        <w:t>=4). *p &lt; 0.05</w:t>
      </w:r>
      <w:bookmarkEnd w:id="8"/>
      <w:r w:rsidR="00A94775" w:rsidRPr="00AE1B1D">
        <w:rPr>
          <w:i w:val="0"/>
          <w:color w:val="auto"/>
          <w:sz w:val="24"/>
          <w:szCs w:val="24"/>
          <w:lang w:eastAsia="en-US"/>
        </w:rPr>
        <w:t>.</w:t>
      </w:r>
    </w:p>
    <w:p w14:paraId="3770D8FB" w14:textId="77777777" w:rsidR="004E46A1" w:rsidRPr="00AE1B1D" w:rsidRDefault="004E46A1" w:rsidP="00AD50BA">
      <w:pPr>
        <w:rPr>
          <w:lang w:val="en-US"/>
        </w:rPr>
      </w:pPr>
    </w:p>
    <w:p w14:paraId="3EF80E17" w14:textId="77777777" w:rsidR="002D16A0" w:rsidRPr="00AE1B1D" w:rsidRDefault="00004A23" w:rsidP="00A709A6">
      <w:r w:rsidRPr="00AE1B1D">
        <w:rPr>
          <w:lang w:val="en-US"/>
        </w:rPr>
        <w:br w:type="page"/>
      </w:r>
    </w:p>
    <w:p w14:paraId="4D416E7B" w14:textId="77777777" w:rsidR="00E11A14" w:rsidRPr="00AE1B1D" w:rsidRDefault="00424669" w:rsidP="00BE2BC6">
      <w:pPr>
        <w:pStyle w:val="Tableofcontents"/>
      </w:pPr>
      <w:r w:rsidRPr="00AE1B1D">
        <w:rPr>
          <w:b/>
        </w:rPr>
        <w:lastRenderedPageBreak/>
        <w:t xml:space="preserve">Naringin is a </w:t>
      </w:r>
      <w:r w:rsidR="000829A4" w:rsidRPr="00AE1B1D">
        <w:rPr>
          <w:b/>
        </w:rPr>
        <w:t xml:space="preserve">naturally occurring </w:t>
      </w:r>
      <w:r w:rsidRPr="00AE1B1D">
        <w:rPr>
          <w:b/>
        </w:rPr>
        <w:t xml:space="preserve">flavanone </w:t>
      </w:r>
      <w:r w:rsidR="000829A4" w:rsidRPr="00AE1B1D">
        <w:rPr>
          <w:b/>
        </w:rPr>
        <w:t xml:space="preserve">with </w:t>
      </w:r>
      <w:r w:rsidR="00D74EF5" w:rsidRPr="00AE1B1D">
        <w:rPr>
          <w:b/>
        </w:rPr>
        <w:t xml:space="preserve">promising </w:t>
      </w:r>
      <w:r w:rsidR="000829A4" w:rsidRPr="00AE1B1D">
        <w:rPr>
          <w:b/>
        </w:rPr>
        <w:t xml:space="preserve">potential to </w:t>
      </w:r>
      <w:proofErr w:type="spellStart"/>
      <w:r w:rsidR="00D74EF5" w:rsidRPr="00AE1B1D">
        <w:rPr>
          <w:b/>
        </w:rPr>
        <w:t>bioinstruct</w:t>
      </w:r>
      <w:proofErr w:type="spellEnd"/>
      <w:r w:rsidR="00D74EF5" w:rsidRPr="00AE1B1D">
        <w:rPr>
          <w:b/>
        </w:rPr>
        <w:t xml:space="preserve"> </w:t>
      </w:r>
      <w:r w:rsidR="000829A4" w:rsidRPr="00AE1B1D">
        <w:rPr>
          <w:b/>
        </w:rPr>
        <w:t>stem cell</w:t>
      </w:r>
      <w:r w:rsidR="00D74EF5" w:rsidRPr="00AE1B1D">
        <w:rPr>
          <w:b/>
        </w:rPr>
        <w:t>s</w:t>
      </w:r>
      <w:r w:rsidR="000829A4" w:rsidRPr="00AE1B1D">
        <w:rPr>
          <w:b/>
        </w:rPr>
        <w:t xml:space="preserve"> </w:t>
      </w:r>
      <w:r w:rsidR="00D74EF5" w:rsidRPr="00AE1B1D">
        <w:rPr>
          <w:b/>
        </w:rPr>
        <w:t>toward</w:t>
      </w:r>
      <w:r w:rsidR="002749AB" w:rsidRPr="00AE1B1D">
        <w:rPr>
          <w:b/>
        </w:rPr>
        <w:t>s</w:t>
      </w:r>
      <w:r w:rsidR="00D74EF5" w:rsidRPr="00AE1B1D">
        <w:rPr>
          <w:b/>
        </w:rPr>
        <w:t xml:space="preserve"> osteogenic lineages</w:t>
      </w:r>
      <w:r w:rsidRPr="00AE1B1D">
        <w:rPr>
          <w:b/>
        </w:rPr>
        <w:t>.</w:t>
      </w:r>
      <w:r w:rsidR="00D74EF5" w:rsidRPr="00AE1B1D">
        <w:t xml:space="preserve"> </w:t>
      </w:r>
      <w:r w:rsidRPr="00AE1B1D">
        <w:t xml:space="preserve">Naringin-loaded </w:t>
      </w:r>
      <w:r w:rsidR="00D74EF5" w:rsidRPr="00AE1B1D">
        <w:t xml:space="preserve">mPEG-MS-PLA </w:t>
      </w:r>
      <w:proofErr w:type="spellStart"/>
      <w:r w:rsidRPr="00AE1B1D">
        <w:t>nanomicelles</w:t>
      </w:r>
      <w:proofErr w:type="spellEnd"/>
      <w:r w:rsidRPr="00AE1B1D">
        <w:t xml:space="preserve"> </w:t>
      </w:r>
      <w:r w:rsidR="00BE2BC6" w:rsidRPr="00AE1B1D">
        <w:t>administ</w:t>
      </w:r>
      <w:r w:rsidR="002749AB" w:rsidRPr="00AE1B1D">
        <w:t>ration</w:t>
      </w:r>
      <w:r w:rsidR="00BE2BC6" w:rsidRPr="00AE1B1D">
        <w:t xml:space="preserve"> to human adipose-derived mesenchymal stem cells</w:t>
      </w:r>
      <w:r w:rsidR="00D74EF5" w:rsidRPr="00AE1B1D">
        <w:t xml:space="preserve"> (</w:t>
      </w:r>
      <w:proofErr w:type="spellStart"/>
      <w:r w:rsidR="00D74EF5" w:rsidRPr="00AE1B1D">
        <w:t>hASCs</w:t>
      </w:r>
      <w:proofErr w:type="spellEnd"/>
      <w:r w:rsidR="00D74EF5" w:rsidRPr="00AE1B1D">
        <w:t>)</w:t>
      </w:r>
      <w:r w:rsidR="00BE2BC6" w:rsidRPr="00AE1B1D">
        <w:t xml:space="preserve"> </w:t>
      </w:r>
      <w:r w:rsidR="002749AB" w:rsidRPr="00AE1B1D">
        <w:t>allowed to</w:t>
      </w:r>
      <w:r w:rsidR="00D74EF5" w:rsidRPr="00AE1B1D">
        <w:t xml:space="preserve"> rapidly induce </w:t>
      </w:r>
      <w:proofErr w:type="spellStart"/>
      <w:r w:rsidR="00D74EF5" w:rsidRPr="00AE1B1D">
        <w:t>hASCs</w:t>
      </w:r>
      <w:proofErr w:type="spellEnd"/>
      <w:r w:rsidR="00D74EF5" w:rsidRPr="00AE1B1D">
        <w:t xml:space="preserve"> differentiation and </w:t>
      </w:r>
      <w:r w:rsidR="00BE2BC6" w:rsidRPr="00AE1B1D">
        <w:t xml:space="preserve">augmented the </w:t>
      </w:r>
      <w:r w:rsidR="00D74EF5" w:rsidRPr="00AE1B1D">
        <w:t>pro-</w:t>
      </w:r>
      <w:r w:rsidR="00BE2BC6" w:rsidRPr="00AE1B1D">
        <w:t>osteogenic effect over</w:t>
      </w:r>
      <w:r w:rsidR="00D74EF5" w:rsidRPr="00AE1B1D">
        <w:t xml:space="preserve"> that of</w:t>
      </w:r>
      <w:r w:rsidR="00BE2BC6" w:rsidRPr="00AE1B1D">
        <w:t xml:space="preserve"> free drug</w:t>
      </w:r>
      <w:r w:rsidR="002749AB" w:rsidRPr="00AE1B1D">
        <w:t xml:space="preserve"> and standard induction methods, thus</w:t>
      </w:r>
      <w:r w:rsidR="00D74EF5" w:rsidRPr="00AE1B1D">
        <w:t xml:space="preserve"> indicating their potential to enhance stem cell-based bone regeneration.</w:t>
      </w:r>
    </w:p>
    <w:p w14:paraId="623854A0" w14:textId="77777777" w:rsidR="00424669" w:rsidRPr="00AE1B1D" w:rsidRDefault="00424669" w:rsidP="00BE2BC6">
      <w:pPr>
        <w:pStyle w:val="Tableofcontents"/>
      </w:pPr>
    </w:p>
    <w:p w14:paraId="26136634" w14:textId="77777777" w:rsidR="00BE2BC6" w:rsidRPr="00AE1B1D" w:rsidRDefault="00BE2BC6" w:rsidP="00BE2BC6">
      <w:pPr>
        <w:pStyle w:val="Tableofcontents"/>
        <w:rPr>
          <w:b/>
        </w:rPr>
      </w:pPr>
    </w:p>
    <w:p w14:paraId="514497D4" w14:textId="77777777" w:rsidR="002D16A0" w:rsidRPr="00AE1B1D" w:rsidRDefault="002D16A0" w:rsidP="00BE2BC6">
      <w:pPr>
        <w:pStyle w:val="Tableofcontents"/>
      </w:pPr>
      <w:r w:rsidRPr="00AE1B1D">
        <w:rPr>
          <w:b/>
        </w:rPr>
        <w:t>Keywor</w:t>
      </w:r>
      <w:r w:rsidR="007B7A09" w:rsidRPr="00AE1B1D">
        <w:rPr>
          <w:b/>
        </w:rPr>
        <w:t>d</w:t>
      </w:r>
      <w:r w:rsidR="000C3D5B" w:rsidRPr="00AE1B1D">
        <w:rPr>
          <w:b/>
        </w:rPr>
        <w:t xml:space="preserve">s </w:t>
      </w:r>
      <w:r w:rsidR="00966A28" w:rsidRPr="00AE1B1D">
        <w:t>c</w:t>
      </w:r>
      <w:r w:rsidR="000C3D5B" w:rsidRPr="00AE1B1D">
        <w:t xml:space="preserve">ontrolled release, human adipose-derived mesenchymal stem cells, </w:t>
      </w:r>
      <w:r w:rsidR="00966A28" w:rsidRPr="00AE1B1D">
        <w:t>n</w:t>
      </w:r>
      <w:r w:rsidR="000C3D5B" w:rsidRPr="00AE1B1D">
        <w:t>aringin, osteogenic differentiation, polymeric micelles</w:t>
      </w:r>
    </w:p>
    <w:p w14:paraId="4F819008" w14:textId="77777777" w:rsidR="000C3D5B" w:rsidRPr="00AE1B1D" w:rsidRDefault="000C3D5B" w:rsidP="00BE2BC6">
      <w:pPr>
        <w:pStyle w:val="Tableofcontents"/>
      </w:pPr>
    </w:p>
    <w:p w14:paraId="387F71F3" w14:textId="77777777" w:rsidR="00E11A14" w:rsidRPr="00AE1B1D" w:rsidRDefault="00E11A14" w:rsidP="00BE2BC6">
      <w:pPr>
        <w:pStyle w:val="Tableofcontents"/>
      </w:pPr>
    </w:p>
    <w:p w14:paraId="0C435876" w14:textId="77777777" w:rsidR="00E11A14" w:rsidRPr="00AE1B1D" w:rsidRDefault="00E11A14" w:rsidP="00BE2BC6">
      <w:pPr>
        <w:pStyle w:val="Tableofcontents"/>
      </w:pPr>
    </w:p>
    <w:p w14:paraId="0EA570E6" w14:textId="77777777" w:rsidR="007B7A09" w:rsidRPr="00AE1B1D" w:rsidRDefault="00E11A14" w:rsidP="00BE2BC6">
      <w:pPr>
        <w:pStyle w:val="Tableofcontents"/>
        <w:rPr>
          <w:lang w:val="pt-PT"/>
        </w:rPr>
      </w:pPr>
      <w:r w:rsidRPr="00AE1B1D">
        <w:rPr>
          <w:lang w:val="pt-PT"/>
        </w:rPr>
        <w:t>P. Lavrador, V. M. Gaspar, J. F. Mano</w:t>
      </w:r>
    </w:p>
    <w:p w14:paraId="7BE8ECB6" w14:textId="77777777" w:rsidR="002D16A0" w:rsidRPr="00AE1B1D" w:rsidRDefault="002D16A0" w:rsidP="00BE2BC6">
      <w:pPr>
        <w:pStyle w:val="Tableofcontents"/>
        <w:rPr>
          <w:lang w:val="pt-PT"/>
        </w:rPr>
      </w:pPr>
    </w:p>
    <w:p w14:paraId="31CDF50F" w14:textId="77777777" w:rsidR="000C3D5B" w:rsidRPr="00AE1B1D" w:rsidRDefault="000C3D5B" w:rsidP="000C3D5B">
      <w:pPr>
        <w:pStyle w:val="Title2"/>
        <w:rPr>
          <w:b w:val="0"/>
          <w:color w:val="000000"/>
          <w:lang w:val="de-DE"/>
        </w:rPr>
      </w:pPr>
      <w:r w:rsidRPr="00AE1B1D">
        <w:rPr>
          <w:color w:val="000000"/>
        </w:rPr>
        <w:t xml:space="preserve">Title: </w:t>
      </w:r>
      <w:r w:rsidRPr="00AE1B1D">
        <w:rPr>
          <w:b w:val="0"/>
          <w:color w:val="000000"/>
        </w:rPr>
        <w:t>Bioinstructive Naringin-loaded Micelles for Guiding Stem Cells Osteodifferentiation</w:t>
      </w:r>
    </w:p>
    <w:p w14:paraId="453F0C80" w14:textId="77777777" w:rsidR="002D16A0" w:rsidRPr="00AE1B1D" w:rsidRDefault="002D16A0" w:rsidP="00BE2BC6">
      <w:pPr>
        <w:pStyle w:val="Tableofcontents"/>
      </w:pPr>
    </w:p>
    <w:p w14:paraId="1ECF725A" w14:textId="77777777" w:rsidR="00004A23" w:rsidRPr="00AE1B1D" w:rsidRDefault="00004A23" w:rsidP="00BE2BC6">
      <w:pPr>
        <w:pStyle w:val="Tableofcontents"/>
      </w:pPr>
    </w:p>
    <w:p w14:paraId="1762B719" w14:textId="77777777" w:rsidR="004E46A1" w:rsidRPr="00AE1B1D" w:rsidRDefault="004E46A1" w:rsidP="00BE2BC6">
      <w:pPr>
        <w:pStyle w:val="Tableofcontents"/>
      </w:pPr>
    </w:p>
    <w:p w14:paraId="4116E9BD" w14:textId="77777777" w:rsidR="004E46A1" w:rsidRPr="00AE1B1D" w:rsidRDefault="004E46A1" w:rsidP="00BE2BC6">
      <w:pPr>
        <w:pStyle w:val="Tableofcontents"/>
      </w:pPr>
    </w:p>
    <w:p w14:paraId="2711BF38" w14:textId="41C0014D" w:rsidR="004E46A1" w:rsidRPr="00AE1B1D" w:rsidRDefault="009A4872" w:rsidP="0040754E">
      <w:pPr>
        <w:pStyle w:val="Tableofcontents"/>
        <w:jc w:val="center"/>
      </w:pPr>
      <w:r w:rsidRPr="00AE1B1D">
        <w:rPr>
          <w:noProof/>
        </w:rPr>
        <w:drawing>
          <wp:inline distT="0" distB="0" distL="0" distR="0" wp14:anchorId="409A9ADF" wp14:editId="5100B757">
            <wp:extent cx="1981200" cy="1726516"/>
            <wp:effectExtent l="0" t="0" r="0" b="7620"/>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OC"/>
                    <pic:cNvPicPr>
                      <a:picLocks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81200" cy="1726516"/>
                    </a:xfrm>
                    <a:prstGeom prst="rect">
                      <a:avLst/>
                    </a:prstGeom>
                    <a:noFill/>
                    <a:ln>
                      <a:noFill/>
                    </a:ln>
                  </pic:spPr>
                </pic:pic>
              </a:graphicData>
            </a:graphic>
          </wp:inline>
        </w:drawing>
      </w:r>
    </w:p>
    <w:p w14:paraId="6EE18CBA" w14:textId="77777777" w:rsidR="006256F5" w:rsidRPr="00AE1B1D" w:rsidRDefault="006256F5" w:rsidP="00BE2BC6">
      <w:pPr>
        <w:pStyle w:val="Tableofcontents"/>
      </w:pPr>
    </w:p>
    <w:p w14:paraId="5DE09D0D" w14:textId="77777777" w:rsidR="00134C13" w:rsidRPr="00AE1B1D" w:rsidRDefault="003E113B" w:rsidP="00134C13">
      <w:pPr>
        <w:rPr>
          <w:lang w:val="en-US"/>
        </w:rPr>
      </w:pPr>
      <w:r w:rsidRPr="00AE1B1D">
        <w:rPr>
          <w:lang w:val="en-US"/>
        </w:rPr>
        <w:br w:type="page"/>
      </w:r>
      <w:r w:rsidR="00134C13" w:rsidRPr="00AE1B1D">
        <w:rPr>
          <w:lang w:val="en-US"/>
        </w:rPr>
        <w:lastRenderedPageBreak/>
        <w:t xml:space="preserve">Copyright WILEY-VCH Verlag GmbH &amp; Co. </w:t>
      </w:r>
      <w:proofErr w:type="spellStart"/>
      <w:r w:rsidR="00134C13" w:rsidRPr="00AE1B1D">
        <w:rPr>
          <w:lang w:val="en-US"/>
        </w:rPr>
        <w:t>KGaA</w:t>
      </w:r>
      <w:proofErr w:type="spellEnd"/>
      <w:r w:rsidR="00134C13" w:rsidRPr="00AE1B1D">
        <w:rPr>
          <w:lang w:val="en-US"/>
        </w:rPr>
        <w:t>, 69469 Weinheim, Germany, 2016.</w:t>
      </w:r>
    </w:p>
    <w:p w14:paraId="0CF5E1B4" w14:textId="77777777" w:rsidR="00134C13" w:rsidRPr="00AE1B1D" w:rsidRDefault="00134C13" w:rsidP="00134C13">
      <w:pPr>
        <w:pStyle w:val="Title2"/>
        <w:rPr>
          <w:b w:val="0"/>
        </w:rPr>
      </w:pPr>
    </w:p>
    <w:p w14:paraId="4FE07208" w14:textId="77777777" w:rsidR="00134C13" w:rsidRPr="00AE1B1D" w:rsidRDefault="00134C13" w:rsidP="00134C13">
      <w:pPr>
        <w:pStyle w:val="Title2"/>
        <w:rPr>
          <w:b w:val="0"/>
          <w:sz w:val="32"/>
          <w:szCs w:val="32"/>
        </w:rPr>
      </w:pPr>
      <w:r w:rsidRPr="00AE1B1D">
        <w:rPr>
          <w:b w:val="0"/>
          <w:sz w:val="32"/>
          <w:szCs w:val="32"/>
        </w:rPr>
        <w:t xml:space="preserve">Supporting Information </w:t>
      </w:r>
    </w:p>
    <w:p w14:paraId="70838D39" w14:textId="77777777" w:rsidR="00134C13" w:rsidRPr="00AE1B1D" w:rsidRDefault="00134C13" w:rsidP="00134C13">
      <w:pPr>
        <w:pStyle w:val="Tableofcontents"/>
        <w:spacing w:after="240" w:line="480" w:lineRule="auto"/>
      </w:pPr>
    </w:p>
    <w:p w14:paraId="01CDA844" w14:textId="77777777" w:rsidR="00134C13" w:rsidRPr="00AE1B1D" w:rsidRDefault="00134C13" w:rsidP="00134C13">
      <w:pPr>
        <w:pStyle w:val="Title2"/>
        <w:spacing w:after="240" w:line="480" w:lineRule="auto"/>
        <w:rPr>
          <w:lang w:val="de-DE"/>
        </w:rPr>
      </w:pPr>
      <w:r w:rsidRPr="00AE1B1D">
        <w:t>Bioinstructive Naringin-loaded Micelles for Guiding Stem Cells Osteodifferentiation</w:t>
      </w:r>
    </w:p>
    <w:p w14:paraId="49BCE330" w14:textId="77777777" w:rsidR="00134C13" w:rsidRPr="00AE1B1D" w:rsidRDefault="00134C13" w:rsidP="00134C13">
      <w:pPr>
        <w:pStyle w:val="Tableofcontents"/>
        <w:spacing w:after="240" w:line="480" w:lineRule="auto"/>
        <w:rPr>
          <w:i/>
          <w:lang w:val="pt-PT"/>
        </w:rPr>
      </w:pPr>
      <w:r w:rsidRPr="00AE1B1D">
        <w:rPr>
          <w:i/>
          <w:lang w:val="pt-PT"/>
        </w:rPr>
        <w:t xml:space="preserve">Pedro Lavrador, Vítor Gaspar, João Mano* </w:t>
      </w:r>
    </w:p>
    <w:p w14:paraId="6E6481E7" w14:textId="77777777" w:rsidR="00134C13" w:rsidRPr="00AE1B1D" w:rsidRDefault="00134C13" w:rsidP="00134C13">
      <w:pPr>
        <w:pStyle w:val="Tableofcontents"/>
        <w:spacing w:after="240" w:line="480" w:lineRule="auto"/>
        <w:rPr>
          <w:lang w:val="pt-PT"/>
        </w:rPr>
      </w:pPr>
    </w:p>
    <w:p w14:paraId="20D8671E" w14:textId="77777777" w:rsidR="00134C13" w:rsidRPr="00AE1B1D" w:rsidRDefault="00134C13" w:rsidP="00CE1242">
      <w:pPr>
        <w:pStyle w:val="Head1"/>
      </w:pPr>
      <w:r w:rsidRPr="00AE1B1D">
        <w:t>Synthesis and Characterization of mPEG-MS-PLA Copolymer</w:t>
      </w:r>
    </w:p>
    <w:p w14:paraId="28F8A877" w14:textId="77777777" w:rsidR="00134C13" w:rsidRPr="00AE1B1D" w:rsidRDefault="00134C13" w:rsidP="00134C13">
      <w:pPr>
        <w:spacing w:after="240" w:line="480" w:lineRule="auto"/>
        <w:ind w:firstLine="284"/>
        <w:jc w:val="both"/>
        <w:rPr>
          <w:lang w:val="en-US" w:eastAsia="en-US"/>
        </w:rPr>
      </w:pPr>
      <w:r w:rsidRPr="00AE1B1D">
        <w:rPr>
          <w:lang w:val="en-US" w:eastAsia="en-US"/>
        </w:rPr>
        <w:t xml:space="preserve">A highly selective conjugation was accomplished through Michael-type addition reaction between the </w:t>
      </w:r>
      <w:proofErr w:type="spellStart"/>
      <w:r w:rsidRPr="00AE1B1D">
        <w:rPr>
          <w:lang w:val="en-US" w:eastAsia="en-US"/>
        </w:rPr>
        <w:t>thiolated</w:t>
      </w:r>
      <w:proofErr w:type="spellEnd"/>
      <w:r w:rsidRPr="00AE1B1D">
        <w:rPr>
          <w:lang w:val="en-US" w:eastAsia="en-US"/>
        </w:rPr>
        <w:t xml:space="preserve"> polymer (PLA-SH) and the double bond of the N-substituted maleimide group in mPEG-MAL, that resulted in a </w:t>
      </w:r>
      <w:proofErr w:type="spellStart"/>
      <w:r w:rsidRPr="00AE1B1D">
        <w:rPr>
          <w:lang w:val="en-US" w:eastAsia="en-US"/>
        </w:rPr>
        <w:t>succinimidyl</w:t>
      </w:r>
      <w:proofErr w:type="spellEnd"/>
      <w:r w:rsidRPr="00AE1B1D">
        <w:rPr>
          <w:lang w:val="en-US" w:eastAsia="en-US"/>
        </w:rPr>
        <w:t xml:space="preserve"> thioether adduct (</w:t>
      </w:r>
      <w:r w:rsidRPr="00AE1B1D">
        <w:rPr>
          <w:b/>
          <w:lang w:val="en-US" w:eastAsia="en-US"/>
        </w:rPr>
        <w:t>Figure S1</w:t>
      </w:r>
      <w:proofErr w:type="gramStart"/>
      <w:r w:rsidRPr="00AE1B1D">
        <w:rPr>
          <w:lang w:val="en-US" w:eastAsia="en-US"/>
        </w:rPr>
        <w:t>).</w:t>
      </w:r>
      <w:r w:rsidRPr="00AE1B1D">
        <w:rPr>
          <w:noProof/>
          <w:vertAlign w:val="superscript"/>
          <w:lang w:val="en-US" w:eastAsia="en-US"/>
        </w:rPr>
        <w:t>[</w:t>
      </w:r>
      <w:proofErr w:type="gramEnd"/>
      <w:r w:rsidRPr="00AE1B1D">
        <w:rPr>
          <w:noProof/>
          <w:vertAlign w:val="superscript"/>
          <w:lang w:val="en-US" w:eastAsia="en-US"/>
        </w:rPr>
        <w:t>1]</w:t>
      </w:r>
    </w:p>
    <w:p w14:paraId="6663AA68" w14:textId="616B51EA" w:rsidR="00134C13" w:rsidRPr="00AE1B1D" w:rsidRDefault="009A4872" w:rsidP="00134C13">
      <w:pPr>
        <w:spacing w:after="120" w:line="480" w:lineRule="auto"/>
        <w:jc w:val="center"/>
        <w:rPr>
          <w:lang w:eastAsia="en-US"/>
        </w:rPr>
      </w:pPr>
      <w:r w:rsidRPr="00AE1B1D">
        <w:rPr>
          <w:noProof/>
          <w:lang w:eastAsia="en-US"/>
        </w:rPr>
        <w:drawing>
          <wp:inline distT="0" distB="0" distL="0" distR="0" wp14:anchorId="06343EF2" wp14:editId="6211D6D3">
            <wp:extent cx="3990975" cy="2524125"/>
            <wp:effectExtent l="0" t="0" r="0" b="0"/>
            <wp:docPr id="10"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9" cstate="print">
                      <a:extLst>
                        <a:ext uri="{28A0092B-C50C-407E-A947-70E740481C1C}">
                          <a14:useLocalDpi xmlns:a14="http://schemas.microsoft.com/office/drawing/2010/main" val="0"/>
                        </a:ext>
                      </a:extLst>
                    </a:blip>
                    <a:srcRect b="4224"/>
                    <a:stretch>
                      <a:fillRect/>
                    </a:stretch>
                  </pic:blipFill>
                  <pic:spPr bwMode="auto">
                    <a:xfrm>
                      <a:off x="0" y="0"/>
                      <a:ext cx="3990975" cy="2524125"/>
                    </a:xfrm>
                    <a:prstGeom prst="rect">
                      <a:avLst/>
                    </a:prstGeom>
                    <a:noFill/>
                    <a:ln>
                      <a:noFill/>
                    </a:ln>
                  </pic:spPr>
                </pic:pic>
              </a:graphicData>
            </a:graphic>
          </wp:inline>
        </w:drawing>
      </w:r>
    </w:p>
    <w:p w14:paraId="188D3512" w14:textId="77777777" w:rsidR="00134C13" w:rsidRPr="00AE1B1D" w:rsidRDefault="00134C13" w:rsidP="00134C13">
      <w:pPr>
        <w:pStyle w:val="Legenda"/>
        <w:spacing w:after="240"/>
        <w:jc w:val="both"/>
        <w:rPr>
          <w:i w:val="0"/>
          <w:color w:val="auto"/>
          <w:sz w:val="24"/>
          <w:szCs w:val="24"/>
          <w:lang w:eastAsia="en-US"/>
        </w:rPr>
      </w:pPr>
      <w:bookmarkStart w:id="9" w:name="_Toc500090041"/>
      <w:r w:rsidRPr="00AE1B1D">
        <w:rPr>
          <w:b/>
          <w:i w:val="0"/>
          <w:color w:val="auto"/>
          <w:sz w:val="24"/>
          <w:szCs w:val="24"/>
        </w:rPr>
        <w:t>Figure S1</w:t>
      </w:r>
      <w:r w:rsidRPr="00AE1B1D">
        <w:rPr>
          <w:b/>
          <w:i w:val="0"/>
          <w:color w:val="auto"/>
          <w:sz w:val="24"/>
          <w:szCs w:val="24"/>
          <w:lang w:eastAsia="en-US"/>
        </w:rPr>
        <w:t>.</w:t>
      </w:r>
      <w:r w:rsidRPr="00AE1B1D">
        <w:rPr>
          <w:i w:val="0"/>
          <w:color w:val="auto"/>
          <w:sz w:val="24"/>
          <w:szCs w:val="24"/>
          <w:lang w:eastAsia="en-US"/>
        </w:rPr>
        <w:t xml:space="preserve"> Synthesis route of mPEG-MS-PLA diblock copolymer via a Michael-type addition. *Phosphate buffer 100 mM, pH = 7.2, containing 5 mM EDTA.</w:t>
      </w:r>
      <w:bookmarkEnd w:id="9"/>
    </w:p>
    <w:p w14:paraId="7C39AC7B" w14:textId="77777777" w:rsidR="00134C13" w:rsidRPr="00AE1B1D" w:rsidRDefault="00134C13" w:rsidP="00134C13">
      <w:pPr>
        <w:spacing w:after="240" w:line="480" w:lineRule="auto"/>
        <w:ind w:firstLine="284"/>
        <w:jc w:val="both"/>
        <w:rPr>
          <w:lang w:val="en-US" w:eastAsia="en-US"/>
        </w:rPr>
      </w:pPr>
      <w:r w:rsidRPr="00AE1B1D">
        <w:rPr>
          <w:lang w:val="en-US" w:eastAsia="en-US"/>
        </w:rPr>
        <w:t xml:space="preserve">mPEG-MS-PLA diblock copolymer and its reaction components were then characterized by </w:t>
      </w:r>
      <w:r w:rsidRPr="00AE1B1D">
        <w:rPr>
          <w:vertAlign w:val="superscript"/>
          <w:lang w:val="en-US" w:eastAsia="en-US"/>
        </w:rPr>
        <w:t>1</w:t>
      </w:r>
      <w:r w:rsidRPr="00AE1B1D">
        <w:rPr>
          <w:lang w:val="en-US" w:eastAsia="en-US"/>
        </w:rPr>
        <w:t xml:space="preserve">H NMR and ATR-FTIR. The obtained </w:t>
      </w:r>
      <w:r w:rsidRPr="00AE1B1D">
        <w:rPr>
          <w:vertAlign w:val="superscript"/>
          <w:lang w:val="en-US" w:eastAsia="en-US"/>
        </w:rPr>
        <w:t>1</w:t>
      </w:r>
      <w:r w:rsidRPr="00AE1B1D">
        <w:rPr>
          <w:lang w:val="en-US" w:eastAsia="en-US"/>
        </w:rPr>
        <w:t xml:space="preserve">H NMR spectrum of the synthesized copolymer </w:t>
      </w:r>
      <w:proofErr w:type="gramStart"/>
      <w:r w:rsidRPr="00AE1B1D">
        <w:rPr>
          <w:lang w:val="en-US" w:eastAsia="en-US"/>
        </w:rPr>
        <w:t>is in agreement</w:t>
      </w:r>
      <w:proofErr w:type="gramEnd"/>
      <w:r w:rsidRPr="00AE1B1D">
        <w:rPr>
          <w:lang w:val="en-US" w:eastAsia="en-US"/>
        </w:rPr>
        <w:t xml:space="preserve"> with literature reports and exhibit the characteristic peaks of both hydrophilic and hydrophobic blocks (</w:t>
      </w:r>
      <w:r w:rsidRPr="00AE1B1D">
        <w:rPr>
          <w:b/>
          <w:lang w:val="en-US" w:eastAsia="en-US"/>
        </w:rPr>
        <w:t>Figure S2</w:t>
      </w:r>
      <w:r w:rsidRPr="00AE1B1D">
        <w:rPr>
          <w:lang w:val="en-US" w:eastAsia="en-US"/>
        </w:rPr>
        <w:t>). The peaks assigned to mPEG repeating methylene units (c, O-</w:t>
      </w:r>
      <w:r w:rsidRPr="00AE1B1D">
        <w:rPr>
          <w:b/>
          <w:bCs/>
          <w:lang w:val="en-US" w:eastAsia="en-US"/>
        </w:rPr>
        <w:t>CH</w:t>
      </w:r>
      <w:r w:rsidRPr="00AE1B1D">
        <w:rPr>
          <w:b/>
          <w:bCs/>
          <w:vertAlign w:val="subscript"/>
          <w:lang w:val="en-US" w:eastAsia="en-US"/>
        </w:rPr>
        <w:t>2</w:t>
      </w:r>
      <w:r w:rsidRPr="00AE1B1D">
        <w:rPr>
          <w:lang w:val="en-US" w:eastAsia="en-US"/>
        </w:rPr>
        <w:t>-</w:t>
      </w:r>
      <w:r w:rsidRPr="00AE1B1D">
        <w:rPr>
          <w:b/>
          <w:bCs/>
          <w:lang w:val="en-US" w:eastAsia="en-US"/>
        </w:rPr>
        <w:t>CH</w:t>
      </w:r>
      <w:r w:rsidRPr="00AE1B1D">
        <w:rPr>
          <w:b/>
          <w:bCs/>
          <w:vertAlign w:val="subscript"/>
          <w:lang w:val="en-US" w:eastAsia="en-US"/>
        </w:rPr>
        <w:t>2</w:t>
      </w:r>
      <w:r w:rsidRPr="00AE1B1D">
        <w:rPr>
          <w:lang w:val="en-US" w:eastAsia="en-US"/>
        </w:rPr>
        <w:t xml:space="preserve">) and methoxy end group (d, </w:t>
      </w:r>
      <w:r w:rsidRPr="00AE1B1D">
        <w:rPr>
          <w:b/>
          <w:bCs/>
          <w:lang w:val="en-US" w:eastAsia="en-US"/>
        </w:rPr>
        <w:t>CH</w:t>
      </w:r>
      <w:r w:rsidRPr="00AE1B1D">
        <w:rPr>
          <w:b/>
          <w:bCs/>
          <w:vertAlign w:val="subscript"/>
          <w:lang w:val="en-US" w:eastAsia="en-US"/>
        </w:rPr>
        <w:t>3</w:t>
      </w:r>
      <w:r w:rsidRPr="00AE1B1D">
        <w:rPr>
          <w:lang w:val="en-US" w:eastAsia="en-US"/>
        </w:rPr>
        <w:t xml:space="preserve">-O), respectively at </w:t>
      </w:r>
      <w:r w:rsidRPr="00AE1B1D">
        <w:rPr>
          <w:rFonts w:ascii="Symbol" w:hAnsi="Symbol"/>
          <w:lang w:val="pt-PT" w:eastAsia="en-US"/>
        </w:rPr>
        <w:t></w:t>
      </w:r>
      <w:r w:rsidRPr="00AE1B1D">
        <w:rPr>
          <w:rFonts w:ascii="Symbol" w:hAnsi="Symbol"/>
          <w:lang w:val="pt-PT" w:eastAsia="en-US"/>
        </w:rPr>
        <w:t></w:t>
      </w:r>
      <w:r w:rsidRPr="00AE1B1D">
        <w:rPr>
          <w:lang w:val="en-US" w:eastAsia="en-US"/>
        </w:rPr>
        <w:t xml:space="preserve">= 3.63 and </w:t>
      </w:r>
      <w:r w:rsidRPr="00AE1B1D">
        <w:rPr>
          <w:rFonts w:ascii="Symbol" w:hAnsi="Symbol"/>
          <w:lang w:val="pt-PT" w:eastAsia="en-US"/>
        </w:rPr>
        <w:t></w:t>
      </w:r>
      <w:r w:rsidRPr="00AE1B1D">
        <w:rPr>
          <w:rFonts w:ascii="Symbol" w:hAnsi="Symbol"/>
          <w:lang w:val="pt-PT" w:eastAsia="en-US"/>
        </w:rPr>
        <w:t></w:t>
      </w:r>
      <w:r w:rsidRPr="00AE1B1D">
        <w:rPr>
          <w:lang w:val="en-US" w:eastAsia="en-US"/>
        </w:rPr>
        <w:t xml:space="preserve">= 3.37 ppm, </w:t>
      </w:r>
      <w:r w:rsidRPr="00AE1B1D">
        <w:rPr>
          <w:lang w:val="en-US" w:eastAsia="en-US"/>
        </w:rPr>
        <w:lastRenderedPageBreak/>
        <w:t>are present in both mPEG-MAL as well mPEG-MS-PLA diblock copolymer spectra.</w:t>
      </w:r>
      <w:r w:rsidRPr="00AE1B1D">
        <w:rPr>
          <w:noProof/>
          <w:vertAlign w:val="superscript"/>
          <w:lang w:val="en-US" w:eastAsia="en-US"/>
        </w:rPr>
        <w:t>[2]</w:t>
      </w:r>
      <w:r w:rsidRPr="00AE1B1D">
        <w:rPr>
          <w:lang w:val="en-US" w:eastAsia="en-US"/>
        </w:rPr>
        <w:t xml:space="preserve"> The </w:t>
      </w:r>
      <w:proofErr w:type="spellStart"/>
      <w:r w:rsidRPr="00AE1B1D">
        <w:rPr>
          <w:lang w:val="en-US" w:eastAsia="en-US"/>
        </w:rPr>
        <w:t>multiplet</w:t>
      </w:r>
      <w:proofErr w:type="spellEnd"/>
      <w:r w:rsidRPr="00AE1B1D">
        <w:rPr>
          <w:lang w:val="en-US" w:eastAsia="en-US"/>
        </w:rPr>
        <w:t xml:space="preserve"> obtained at </w:t>
      </w:r>
      <w:r w:rsidRPr="00AE1B1D">
        <w:rPr>
          <w:rFonts w:ascii="Symbol" w:hAnsi="Symbol"/>
          <w:lang w:val="pt-PT" w:eastAsia="en-US"/>
        </w:rPr>
        <w:t></w:t>
      </w:r>
      <w:r w:rsidRPr="00AE1B1D">
        <w:rPr>
          <w:rFonts w:ascii="Symbol" w:hAnsi="Symbol"/>
          <w:lang w:val="pt-PT" w:eastAsia="en-US"/>
        </w:rPr>
        <w:t></w:t>
      </w:r>
      <w:r w:rsidRPr="00AE1B1D">
        <w:rPr>
          <w:lang w:val="en-US" w:eastAsia="en-US"/>
        </w:rPr>
        <w:t xml:space="preserve">= 5.16 ppm and the single peak at </w:t>
      </w:r>
      <w:r w:rsidRPr="00AE1B1D">
        <w:rPr>
          <w:rFonts w:ascii="Symbol" w:hAnsi="Symbol"/>
          <w:lang w:val="pt-PT" w:eastAsia="en-US"/>
        </w:rPr>
        <w:t></w:t>
      </w:r>
      <w:r w:rsidRPr="00AE1B1D">
        <w:rPr>
          <w:rFonts w:ascii="Symbol" w:hAnsi="Symbol"/>
          <w:lang w:val="pt-PT" w:eastAsia="en-US"/>
        </w:rPr>
        <w:t></w:t>
      </w:r>
      <w:r w:rsidRPr="00AE1B1D">
        <w:rPr>
          <w:lang w:val="en-US" w:eastAsia="en-US"/>
        </w:rPr>
        <w:t>= 1.57 ppm are characteristic of the PLA backbone and are present in both PLA-SH as well mPEG-MS-PLA spectra.</w:t>
      </w:r>
      <w:r w:rsidRPr="00AE1B1D">
        <w:rPr>
          <w:noProof/>
          <w:vertAlign w:val="superscript"/>
          <w:lang w:val="en-US" w:eastAsia="en-US"/>
        </w:rPr>
        <w:t>[2,3]</w:t>
      </w:r>
      <w:r w:rsidRPr="00AE1B1D">
        <w:rPr>
          <w:lang w:val="en-US" w:eastAsia="en-US"/>
        </w:rPr>
        <w:t xml:space="preserve"> These peaks correspond to repeating </w:t>
      </w:r>
      <w:proofErr w:type="spellStart"/>
      <w:r w:rsidRPr="00AE1B1D">
        <w:rPr>
          <w:lang w:val="en-US" w:eastAsia="en-US"/>
        </w:rPr>
        <w:t>methenyl</w:t>
      </w:r>
      <w:proofErr w:type="spellEnd"/>
      <w:r w:rsidRPr="00AE1B1D">
        <w:rPr>
          <w:lang w:val="en-US" w:eastAsia="en-US"/>
        </w:rPr>
        <w:t xml:space="preserve"> (a, CH</w:t>
      </w:r>
      <w:r w:rsidRPr="00AE1B1D">
        <w:rPr>
          <w:vertAlign w:val="subscript"/>
          <w:lang w:val="en-US" w:eastAsia="en-US"/>
        </w:rPr>
        <w:t>3</w:t>
      </w:r>
      <w:r w:rsidRPr="00AE1B1D">
        <w:rPr>
          <w:lang w:val="en-US" w:eastAsia="en-US"/>
        </w:rPr>
        <w:t>-</w:t>
      </w:r>
      <w:r w:rsidRPr="00AE1B1D">
        <w:rPr>
          <w:b/>
          <w:lang w:val="en-US" w:eastAsia="en-US"/>
        </w:rPr>
        <w:t>CH</w:t>
      </w:r>
      <w:r w:rsidRPr="00AE1B1D">
        <w:rPr>
          <w:lang w:val="en-US" w:eastAsia="en-US"/>
        </w:rPr>
        <w:t xml:space="preserve">-O) and methyl (b, </w:t>
      </w:r>
      <w:r w:rsidRPr="00AE1B1D">
        <w:rPr>
          <w:b/>
          <w:lang w:val="en-US" w:eastAsia="en-US"/>
        </w:rPr>
        <w:t>CH</w:t>
      </w:r>
      <w:r w:rsidRPr="00AE1B1D">
        <w:rPr>
          <w:b/>
          <w:vertAlign w:val="subscript"/>
          <w:lang w:val="en-US" w:eastAsia="en-US"/>
        </w:rPr>
        <w:t>3</w:t>
      </w:r>
      <w:r w:rsidRPr="00AE1B1D">
        <w:rPr>
          <w:lang w:val="en-US" w:eastAsia="en-US"/>
        </w:rPr>
        <w:t xml:space="preserve">-CH-O) units, respectively. Regarding the PLA-SH spectrum, two distinct peaks can be distinguished between </w:t>
      </w:r>
      <w:r w:rsidRPr="00AE1B1D">
        <w:rPr>
          <w:rFonts w:ascii="Symbol" w:hAnsi="Symbol"/>
          <w:lang w:val="pt-PT" w:eastAsia="en-US"/>
        </w:rPr>
        <w:t></w:t>
      </w:r>
      <w:r w:rsidRPr="00AE1B1D">
        <w:rPr>
          <w:rFonts w:ascii="Symbol" w:hAnsi="Symbol"/>
          <w:lang w:val="pt-PT" w:eastAsia="en-US"/>
        </w:rPr>
        <w:t></w:t>
      </w:r>
      <w:r w:rsidRPr="00AE1B1D">
        <w:rPr>
          <w:lang w:val="en-US" w:eastAsia="en-US"/>
        </w:rPr>
        <w:t xml:space="preserve">= 4.2 - 4.4 ppm: one corresponding to the </w:t>
      </w:r>
      <w:proofErr w:type="spellStart"/>
      <w:r w:rsidRPr="00AE1B1D">
        <w:rPr>
          <w:lang w:val="en-US" w:eastAsia="en-US"/>
        </w:rPr>
        <w:t>methenyl</w:t>
      </w:r>
      <w:proofErr w:type="spellEnd"/>
      <w:r w:rsidRPr="00AE1B1D">
        <w:rPr>
          <w:lang w:val="en-US" w:eastAsia="en-US"/>
        </w:rPr>
        <w:t xml:space="preserve"> (g, CH</w:t>
      </w:r>
      <w:r w:rsidRPr="00AE1B1D">
        <w:rPr>
          <w:vertAlign w:val="subscript"/>
          <w:lang w:val="en-US" w:eastAsia="en-US"/>
        </w:rPr>
        <w:t>3</w:t>
      </w:r>
      <w:r w:rsidRPr="00AE1B1D">
        <w:rPr>
          <w:lang w:val="en-US" w:eastAsia="en-US"/>
        </w:rPr>
        <w:t>-</w:t>
      </w:r>
      <w:r w:rsidRPr="00AE1B1D">
        <w:rPr>
          <w:b/>
          <w:lang w:val="en-US" w:eastAsia="en-US"/>
        </w:rPr>
        <w:t>CH</w:t>
      </w:r>
      <w:r w:rsidRPr="00AE1B1D">
        <w:rPr>
          <w:lang w:val="en-US" w:eastAsia="en-US"/>
        </w:rPr>
        <w:t xml:space="preserve">-OH) proton neighbor of the hydroxyl end group at </w:t>
      </w:r>
      <w:r w:rsidRPr="00AE1B1D">
        <w:rPr>
          <w:rFonts w:ascii="Symbol" w:hAnsi="Symbol"/>
          <w:lang w:val="pt-PT" w:eastAsia="en-US"/>
        </w:rPr>
        <w:t></w:t>
      </w:r>
      <w:r w:rsidRPr="00AE1B1D">
        <w:rPr>
          <w:rFonts w:ascii="Symbol" w:hAnsi="Symbol"/>
          <w:lang w:val="pt-PT" w:eastAsia="en-US"/>
        </w:rPr>
        <w:t></w:t>
      </w:r>
      <w:r w:rsidRPr="00AE1B1D">
        <w:rPr>
          <w:lang w:val="en-US" w:eastAsia="en-US"/>
        </w:rPr>
        <w:t>= 4.34 ppm, and the other corresponding to the methylene protons adjacent to the ester linkage closest to the terminal thiol (f, –O-</w:t>
      </w:r>
      <w:r w:rsidRPr="00AE1B1D">
        <w:rPr>
          <w:b/>
          <w:bCs/>
          <w:lang w:val="en-US" w:eastAsia="en-US"/>
        </w:rPr>
        <w:t>CH</w:t>
      </w:r>
      <w:r w:rsidRPr="00AE1B1D">
        <w:rPr>
          <w:b/>
          <w:bCs/>
          <w:vertAlign w:val="subscript"/>
          <w:lang w:val="en-US" w:eastAsia="en-US"/>
        </w:rPr>
        <w:t>2</w:t>
      </w:r>
      <w:r w:rsidRPr="00AE1B1D">
        <w:rPr>
          <w:lang w:val="en-US" w:eastAsia="en-US"/>
        </w:rPr>
        <w:t>-CH</w:t>
      </w:r>
      <w:r w:rsidRPr="00AE1B1D">
        <w:rPr>
          <w:vertAlign w:val="subscript"/>
          <w:lang w:val="en-US" w:eastAsia="en-US"/>
        </w:rPr>
        <w:t>2</w:t>
      </w:r>
      <w:r w:rsidRPr="00AE1B1D">
        <w:rPr>
          <w:lang w:val="en-US" w:eastAsia="en-US"/>
        </w:rPr>
        <w:t xml:space="preserve">-SH) at </w:t>
      </w:r>
      <w:r w:rsidRPr="00AE1B1D">
        <w:rPr>
          <w:rFonts w:ascii="Symbol" w:hAnsi="Symbol"/>
          <w:lang w:val="pt-PT" w:eastAsia="en-US"/>
        </w:rPr>
        <w:t></w:t>
      </w:r>
      <w:r w:rsidRPr="00AE1B1D">
        <w:rPr>
          <w:rFonts w:ascii="Symbol" w:hAnsi="Symbol"/>
          <w:lang w:val="pt-PT" w:eastAsia="en-US"/>
        </w:rPr>
        <w:t></w:t>
      </w:r>
      <w:r w:rsidRPr="00AE1B1D">
        <w:rPr>
          <w:lang w:val="en-US" w:eastAsia="en-US"/>
        </w:rPr>
        <w:t>= 4.25 ppm.</w:t>
      </w:r>
      <w:r w:rsidRPr="00AE1B1D">
        <w:rPr>
          <w:noProof/>
          <w:vertAlign w:val="superscript"/>
          <w:lang w:val="en-US" w:eastAsia="en-US"/>
        </w:rPr>
        <w:t>[4]</w:t>
      </w:r>
      <w:r w:rsidRPr="00AE1B1D">
        <w:rPr>
          <w:lang w:val="en-US" w:eastAsia="en-US"/>
        </w:rPr>
        <w:t xml:space="preserve"> In addition, the peak around </w:t>
      </w:r>
      <w:r w:rsidRPr="00AE1B1D">
        <w:rPr>
          <w:rFonts w:ascii="Symbol" w:hAnsi="Symbol"/>
          <w:lang w:val="pt-PT" w:eastAsia="en-US"/>
        </w:rPr>
        <w:t></w:t>
      </w:r>
      <w:r w:rsidRPr="00AE1B1D">
        <w:rPr>
          <w:rFonts w:ascii="Symbol" w:hAnsi="Symbol"/>
          <w:lang w:val="pt-PT" w:eastAsia="en-US"/>
        </w:rPr>
        <w:t></w:t>
      </w:r>
      <w:r w:rsidRPr="00AE1B1D">
        <w:rPr>
          <w:lang w:val="en-US" w:eastAsia="en-US"/>
        </w:rPr>
        <w:t>= 2.75 ppm corresponds to the methylene protons adjacent to the thiol end-group (e, –O-CH</w:t>
      </w:r>
      <w:r w:rsidRPr="00AE1B1D">
        <w:rPr>
          <w:vertAlign w:val="subscript"/>
          <w:lang w:val="en-US" w:eastAsia="en-US"/>
        </w:rPr>
        <w:t>2</w:t>
      </w:r>
      <w:r w:rsidRPr="00AE1B1D">
        <w:rPr>
          <w:lang w:val="en-US" w:eastAsia="en-US"/>
        </w:rPr>
        <w:t>-</w:t>
      </w:r>
      <w:r w:rsidRPr="00AE1B1D">
        <w:rPr>
          <w:b/>
          <w:bCs/>
          <w:lang w:val="en-US" w:eastAsia="en-US"/>
        </w:rPr>
        <w:t>CH</w:t>
      </w:r>
      <w:r w:rsidRPr="00AE1B1D">
        <w:rPr>
          <w:b/>
          <w:bCs/>
          <w:vertAlign w:val="subscript"/>
          <w:lang w:val="en-US" w:eastAsia="en-US"/>
        </w:rPr>
        <w:t>2</w:t>
      </w:r>
      <w:r w:rsidRPr="00AE1B1D">
        <w:rPr>
          <w:lang w:val="en-US" w:eastAsia="en-US"/>
        </w:rPr>
        <w:t xml:space="preserve">-SH) confirming that PLA-SH was not </w:t>
      </w:r>
      <w:proofErr w:type="spellStart"/>
      <w:r w:rsidRPr="00AE1B1D">
        <w:rPr>
          <w:lang w:val="en-US" w:eastAsia="en-US"/>
        </w:rPr>
        <w:t>oxidated</w:t>
      </w:r>
      <w:proofErr w:type="spellEnd"/>
      <w:r w:rsidRPr="00AE1B1D">
        <w:rPr>
          <w:lang w:val="en-US" w:eastAsia="en-US"/>
        </w:rPr>
        <w:t xml:space="preserve"> to the disulfide form.</w:t>
      </w:r>
      <w:r w:rsidRPr="00AE1B1D">
        <w:rPr>
          <w:noProof/>
          <w:vertAlign w:val="superscript"/>
          <w:lang w:val="en-US" w:eastAsia="en-US"/>
        </w:rPr>
        <w:t>[4]</w:t>
      </w:r>
      <w:r w:rsidRPr="00AE1B1D">
        <w:rPr>
          <w:lang w:val="en-US" w:eastAsia="en-US"/>
        </w:rPr>
        <w:t xml:space="preserve"> If the disulfide was present a characteristic peak of methylene protons adjacent to disulfides would be present instead at </w:t>
      </w:r>
      <w:r w:rsidRPr="00AE1B1D">
        <w:rPr>
          <w:rFonts w:ascii="Symbol" w:hAnsi="Symbol"/>
          <w:lang w:val="pt-PT" w:eastAsia="en-US"/>
        </w:rPr>
        <w:t></w:t>
      </w:r>
      <w:r w:rsidRPr="00AE1B1D">
        <w:rPr>
          <w:rFonts w:ascii="Symbol" w:hAnsi="Symbol"/>
          <w:lang w:val="pt-PT" w:eastAsia="en-US"/>
        </w:rPr>
        <w:t></w:t>
      </w:r>
      <w:r w:rsidRPr="00AE1B1D">
        <w:rPr>
          <w:lang w:val="en-US" w:eastAsia="en-US"/>
        </w:rPr>
        <w:t>= 2.9 ppm as described by Cunningham and Oh.</w:t>
      </w:r>
      <w:r w:rsidRPr="00AE1B1D">
        <w:rPr>
          <w:noProof/>
          <w:vertAlign w:val="superscript"/>
          <w:lang w:val="en-US" w:eastAsia="en-US"/>
        </w:rPr>
        <w:t>[4]</w:t>
      </w:r>
      <w:r w:rsidRPr="00AE1B1D">
        <w:rPr>
          <w:lang w:val="en-US" w:eastAsia="en-US"/>
        </w:rPr>
        <w:t xml:space="preserve"> Finally, the singlet observed at </w:t>
      </w:r>
      <w:r w:rsidRPr="00AE1B1D">
        <w:rPr>
          <w:rFonts w:ascii="Symbol" w:hAnsi="Symbol"/>
          <w:lang w:val="pt-PT" w:eastAsia="en-US"/>
        </w:rPr>
        <w:t></w:t>
      </w:r>
      <w:r w:rsidRPr="00AE1B1D">
        <w:rPr>
          <w:rFonts w:ascii="Symbol" w:hAnsi="Symbol"/>
          <w:lang w:val="pt-PT" w:eastAsia="en-US"/>
        </w:rPr>
        <w:t></w:t>
      </w:r>
      <w:r w:rsidRPr="00AE1B1D">
        <w:rPr>
          <w:lang w:val="en-US" w:eastAsia="en-US"/>
        </w:rPr>
        <w:t>= 6.70 ppm on the mPEG-MAL spectrum is assigned to the alkene protons (</w:t>
      </w:r>
      <w:r w:rsidRPr="00AE1B1D">
        <w:rPr>
          <w:b/>
          <w:lang w:val="en-US" w:eastAsia="en-US"/>
        </w:rPr>
        <w:t>CH=CH</w:t>
      </w:r>
      <w:r w:rsidRPr="00AE1B1D">
        <w:rPr>
          <w:lang w:val="en-US" w:eastAsia="en-US"/>
        </w:rPr>
        <w:t>) present in the maleimide ring.</w:t>
      </w:r>
      <w:r w:rsidRPr="00AE1B1D">
        <w:rPr>
          <w:noProof/>
          <w:vertAlign w:val="superscript"/>
          <w:lang w:val="en-US" w:eastAsia="en-US"/>
        </w:rPr>
        <w:t>[5]</w:t>
      </w:r>
      <w:r w:rsidRPr="00AE1B1D">
        <w:rPr>
          <w:lang w:val="en-US" w:eastAsia="en-US"/>
        </w:rPr>
        <w:t xml:space="preserve"> The successful coupling mPEG-MS-PLA is further supported by the disappearance of this characteristic peak assigned to the maleimide moiety as well as the appearance of PLA-related resonances on the copolymer spectrum.</w:t>
      </w:r>
    </w:p>
    <w:p w14:paraId="4B9AECAF" w14:textId="4E504000" w:rsidR="00134C13" w:rsidRPr="00AE1B1D" w:rsidRDefault="009A4872" w:rsidP="00134C13">
      <w:pPr>
        <w:spacing w:after="120" w:line="480" w:lineRule="auto"/>
        <w:jc w:val="center"/>
        <w:rPr>
          <w:lang w:val="en-US" w:eastAsia="en-US"/>
        </w:rPr>
      </w:pPr>
      <w:r w:rsidRPr="00AE1B1D">
        <w:rPr>
          <w:noProof/>
          <w:lang w:val="en-US" w:eastAsia="en-US"/>
        </w:rPr>
        <w:lastRenderedPageBreak/>
        <w:drawing>
          <wp:inline distT="0" distB="0" distL="0" distR="0" wp14:anchorId="1D5F8CE7" wp14:editId="2C3A2954">
            <wp:extent cx="5562600" cy="4248150"/>
            <wp:effectExtent l="0" t="0" r="0" b="0"/>
            <wp:docPr id="11"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0"/>
                    <pic:cNvPicPr>
                      <a:picLocks noChangeAspect="1" noChangeArrowheads="1"/>
                    </pic:cNvPicPr>
                  </pic:nvPicPr>
                  <pic:blipFill>
                    <a:blip r:embed="rId20">
                      <a:extLst>
                        <a:ext uri="{28A0092B-C50C-407E-A947-70E740481C1C}">
                          <a14:useLocalDpi xmlns:a14="http://schemas.microsoft.com/office/drawing/2010/main" val="0"/>
                        </a:ext>
                      </a:extLst>
                    </a:blip>
                    <a:srcRect l="1019"/>
                    <a:stretch>
                      <a:fillRect/>
                    </a:stretch>
                  </pic:blipFill>
                  <pic:spPr bwMode="auto">
                    <a:xfrm>
                      <a:off x="0" y="0"/>
                      <a:ext cx="5562600" cy="4248150"/>
                    </a:xfrm>
                    <a:prstGeom prst="rect">
                      <a:avLst/>
                    </a:prstGeom>
                    <a:noFill/>
                    <a:ln>
                      <a:noFill/>
                    </a:ln>
                  </pic:spPr>
                </pic:pic>
              </a:graphicData>
            </a:graphic>
          </wp:inline>
        </w:drawing>
      </w:r>
    </w:p>
    <w:p w14:paraId="1176D51C" w14:textId="77777777" w:rsidR="00134C13" w:rsidRPr="00AE1B1D" w:rsidRDefault="00134C13" w:rsidP="00134C13">
      <w:pPr>
        <w:pStyle w:val="Legenda"/>
        <w:spacing w:after="240"/>
        <w:jc w:val="both"/>
        <w:rPr>
          <w:i w:val="0"/>
          <w:color w:val="auto"/>
          <w:sz w:val="24"/>
          <w:szCs w:val="24"/>
          <w:lang w:eastAsia="en-US"/>
        </w:rPr>
      </w:pPr>
      <w:bookmarkStart w:id="10" w:name="_Toc500090043"/>
      <w:r w:rsidRPr="00AE1B1D">
        <w:rPr>
          <w:b/>
          <w:i w:val="0"/>
          <w:color w:val="auto"/>
          <w:sz w:val="24"/>
          <w:szCs w:val="24"/>
        </w:rPr>
        <w:t>Figure S2.</w:t>
      </w:r>
      <w:r w:rsidRPr="00AE1B1D">
        <w:rPr>
          <w:i w:val="0"/>
          <w:color w:val="auto"/>
          <w:sz w:val="24"/>
          <w:szCs w:val="24"/>
          <w:lang w:eastAsia="en-US"/>
        </w:rPr>
        <w:t xml:space="preserve"> </w:t>
      </w:r>
      <w:r w:rsidRPr="00AE1B1D">
        <w:rPr>
          <w:i w:val="0"/>
          <w:color w:val="auto"/>
          <w:sz w:val="24"/>
          <w:szCs w:val="24"/>
          <w:vertAlign w:val="superscript"/>
          <w:lang w:eastAsia="en-US"/>
        </w:rPr>
        <w:t>1</w:t>
      </w:r>
      <w:r w:rsidRPr="00AE1B1D">
        <w:rPr>
          <w:i w:val="0"/>
          <w:color w:val="auto"/>
          <w:sz w:val="24"/>
          <w:szCs w:val="24"/>
          <w:lang w:eastAsia="en-US"/>
        </w:rPr>
        <w:t xml:space="preserve">H NMR spectra of mPEG-MS-PLA diblock copolymer and </w:t>
      </w:r>
      <w:proofErr w:type="spellStart"/>
      <w:r w:rsidRPr="00AE1B1D">
        <w:rPr>
          <w:i w:val="0"/>
          <w:color w:val="auto"/>
          <w:sz w:val="24"/>
          <w:szCs w:val="24"/>
          <w:lang w:eastAsia="en-US"/>
        </w:rPr>
        <w:t>and</w:t>
      </w:r>
      <w:proofErr w:type="spellEnd"/>
      <w:r w:rsidRPr="00AE1B1D">
        <w:rPr>
          <w:i w:val="0"/>
          <w:color w:val="auto"/>
          <w:sz w:val="24"/>
          <w:szCs w:val="24"/>
          <w:lang w:eastAsia="en-US"/>
        </w:rPr>
        <w:t xml:space="preserve"> its unitary components (mPEG-MAL and PLA-SH) in CDCl</w:t>
      </w:r>
      <w:r w:rsidRPr="00AE1B1D">
        <w:rPr>
          <w:i w:val="0"/>
          <w:color w:val="auto"/>
          <w:sz w:val="24"/>
          <w:szCs w:val="24"/>
          <w:vertAlign w:val="subscript"/>
          <w:lang w:eastAsia="en-US"/>
        </w:rPr>
        <w:t>3</w:t>
      </w:r>
      <w:r w:rsidRPr="00AE1B1D">
        <w:rPr>
          <w:i w:val="0"/>
          <w:color w:val="auto"/>
          <w:sz w:val="24"/>
          <w:szCs w:val="24"/>
          <w:lang w:eastAsia="en-US"/>
        </w:rPr>
        <w:t>.</w:t>
      </w:r>
      <w:bookmarkEnd w:id="10"/>
    </w:p>
    <w:p w14:paraId="16DA5D5B" w14:textId="77777777" w:rsidR="00134C13" w:rsidRPr="00AE1B1D" w:rsidRDefault="00134C13" w:rsidP="00134C13">
      <w:pPr>
        <w:spacing w:after="240" w:line="480" w:lineRule="auto"/>
        <w:ind w:firstLine="284"/>
        <w:jc w:val="both"/>
        <w:rPr>
          <w:lang w:val="en-US" w:eastAsia="en-US"/>
        </w:rPr>
      </w:pPr>
      <w:r w:rsidRPr="00AE1B1D">
        <w:rPr>
          <w:lang w:val="en-US" w:eastAsia="en-US"/>
        </w:rPr>
        <w:t>Adding to NMR characterization, the ATR-FTIR spectra also corroborated the successful conjugation of mPEG-MAL and PLA-SH polymers (</w:t>
      </w:r>
      <w:r w:rsidRPr="00AE1B1D">
        <w:rPr>
          <w:b/>
          <w:lang w:val="en-US" w:eastAsia="en-US"/>
        </w:rPr>
        <w:t>Figure S3</w:t>
      </w:r>
      <w:r w:rsidRPr="00AE1B1D">
        <w:rPr>
          <w:lang w:val="en-US" w:eastAsia="en-US"/>
        </w:rPr>
        <w:t>). The initial analysis of the individual polymers reveals a band at 2883 cm</w:t>
      </w:r>
      <w:r w:rsidRPr="00AE1B1D">
        <w:rPr>
          <w:vertAlign w:val="superscript"/>
          <w:lang w:val="en-US" w:eastAsia="en-US"/>
        </w:rPr>
        <w:t>-1</w:t>
      </w:r>
      <w:r w:rsidRPr="00AE1B1D">
        <w:rPr>
          <w:lang w:val="en-US" w:eastAsia="en-US"/>
        </w:rPr>
        <w:t xml:space="preserve">, which is assigned to </w:t>
      </w:r>
      <w:r w:rsidRPr="00AE1B1D">
        <w:rPr>
          <w:b/>
          <w:lang w:val="en-US" w:eastAsia="en-US"/>
        </w:rPr>
        <w:t>-C-H</w:t>
      </w:r>
      <w:r w:rsidRPr="00AE1B1D">
        <w:rPr>
          <w:lang w:val="en-US" w:eastAsia="en-US"/>
        </w:rPr>
        <w:t xml:space="preserve"> stretching vibrations (CH</w:t>
      </w:r>
      <w:r w:rsidRPr="00AE1B1D">
        <w:rPr>
          <w:vertAlign w:val="subscript"/>
          <w:lang w:val="en-US" w:eastAsia="en-US"/>
        </w:rPr>
        <w:t>2</w:t>
      </w:r>
      <w:r w:rsidRPr="00AE1B1D">
        <w:rPr>
          <w:lang w:val="en-US" w:eastAsia="en-US"/>
        </w:rPr>
        <w:t xml:space="preserve"> symmetric), and is present in both mPEG-MAL and mPEG-MS-PLA spectra.</w:t>
      </w:r>
      <w:r w:rsidRPr="00AE1B1D">
        <w:rPr>
          <w:noProof/>
          <w:vertAlign w:val="superscript"/>
          <w:lang w:val="en-US" w:eastAsia="en-US"/>
        </w:rPr>
        <w:t>[6]</w:t>
      </w:r>
      <w:r w:rsidRPr="00AE1B1D">
        <w:rPr>
          <w:lang w:val="en-US" w:eastAsia="en-US"/>
        </w:rPr>
        <w:t xml:space="preserve"> Also, the strong band obtained at 1755 cm</w:t>
      </w:r>
      <w:r w:rsidRPr="00AE1B1D">
        <w:rPr>
          <w:vertAlign w:val="superscript"/>
          <w:lang w:val="en-US" w:eastAsia="en-US"/>
        </w:rPr>
        <w:t>-1</w:t>
      </w:r>
      <w:r w:rsidRPr="00AE1B1D">
        <w:rPr>
          <w:lang w:val="en-US" w:eastAsia="en-US"/>
        </w:rPr>
        <w:t xml:space="preserve"> corresponds to the carbonyl (</w:t>
      </w:r>
      <w:r w:rsidRPr="00AE1B1D">
        <w:rPr>
          <w:b/>
          <w:lang w:val="en-US" w:eastAsia="en-US"/>
        </w:rPr>
        <w:t>-C=O</w:t>
      </w:r>
      <w:r w:rsidRPr="00AE1B1D">
        <w:rPr>
          <w:lang w:val="en-US" w:eastAsia="en-US"/>
        </w:rPr>
        <w:t>) stretching of lactic acid esters in the PLA-SH polymer.</w:t>
      </w:r>
      <w:r w:rsidRPr="00AE1B1D">
        <w:rPr>
          <w:noProof/>
          <w:vertAlign w:val="superscript"/>
          <w:lang w:val="en-US" w:eastAsia="en-US"/>
        </w:rPr>
        <w:t>[7]</w:t>
      </w:r>
      <w:r w:rsidRPr="00AE1B1D">
        <w:rPr>
          <w:lang w:val="en-US" w:eastAsia="en-US"/>
        </w:rPr>
        <w:t xml:space="preserve"> Regarding mPEG-MAL, the characteristic band obtained at 1711 cm</w:t>
      </w:r>
      <w:r w:rsidRPr="00AE1B1D">
        <w:rPr>
          <w:vertAlign w:val="superscript"/>
          <w:lang w:val="en-US" w:eastAsia="en-US"/>
        </w:rPr>
        <w:t>-1</w:t>
      </w:r>
      <w:r w:rsidRPr="00AE1B1D">
        <w:rPr>
          <w:lang w:val="en-US" w:eastAsia="en-US"/>
        </w:rPr>
        <w:t xml:space="preserve"> is assigned to carbonyl (</w:t>
      </w:r>
      <w:r w:rsidRPr="00AE1B1D">
        <w:rPr>
          <w:b/>
          <w:lang w:val="en-US" w:eastAsia="en-US"/>
        </w:rPr>
        <w:t>-C=O</w:t>
      </w:r>
      <w:r w:rsidRPr="00AE1B1D">
        <w:rPr>
          <w:lang w:val="en-US" w:eastAsia="en-US"/>
        </w:rPr>
        <w:t>) stretching of the imide ring (Figure S2, inset).</w:t>
      </w:r>
      <w:r w:rsidRPr="00AE1B1D">
        <w:rPr>
          <w:noProof/>
          <w:vertAlign w:val="superscript"/>
          <w:lang w:val="en-US" w:eastAsia="en-US"/>
        </w:rPr>
        <w:t>[8]</w:t>
      </w:r>
      <w:r w:rsidRPr="00AE1B1D">
        <w:rPr>
          <w:lang w:val="en-US" w:eastAsia="en-US"/>
        </w:rPr>
        <w:t xml:space="preserve"> This maleimide-related band appears as a small shoulder in the copolymer spectrum, corroborating a successful synthesis. Alternatively, the small peak obtained at 696 cm</w:t>
      </w:r>
      <w:r w:rsidRPr="00AE1B1D">
        <w:rPr>
          <w:vertAlign w:val="superscript"/>
          <w:lang w:val="en-US" w:eastAsia="en-US"/>
        </w:rPr>
        <w:t>-1</w:t>
      </w:r>
      <w:r w:rsidRPr="00AE1B1D">
        <w:rPr>
          <w:lang w:val="en-US" w:eastAsia="en-US"/>
        </w:rPr>
        <w:t xml:space="preserve"> in the mPEG-MAL spectrum corresponds to cis-</w:t>
      </w:r>
      <w:r w:rsidRPr="00AE1B1D">
        <w:rPr>
          <w:b/>
          <w:lang w:val="en-US" w:eastAsia="en-US"/>
        </w:rPr>
        <w:t>CH=CH</w:t>
      </w:r>
      <w:r w:rsidRPr="00AE1B1D">
        <w:rPr>
          <w:lang w:val="en-US" w:eastAsia="en-US"/>
        </w:rPr>
        <w:t xml:space="preserve"> imide and is reported to be characteristic of unreacted maleimide </w:t>
      </w:r>
      <w:proofErr w:type="gramStart"/>
      <w:r w:rsidRPr="00AE1B1D">
        <w:rPr>
          <w:lang w:val="en-US" w:eastAsia="en-US"/>
        </w:rPr>
        <w:t>groups.</w:t>
      </w:r>
      <w:r w:rsidRPr="00AE1B1D">
        <w:rPr>
          <w:noProof/>
          <w:vertAlign w:val="superscript"/>
          <w:lang w:val="en-US" w:eastAsia="en-US"/>
        </w:rPr>
        <w:t>[</w:t>
      </w:r>
      <w:proofErr w:type="gramEnd"/>
      <w:r w:rsidRPr="00AE1B1D">
        <w:rPr>
          <w:noProof/>
          <w:vertAlign w:val="superscript"/>
          <w:lang w:val="en-US" w:eastAsia="en-US"/>
        </w:rPr>
        <w:t>8,9]</w:t>
      </w:r>
      <w:r w:rsidRPr="00AE1B1D">
        <w:rPr>
          <w:lang w:val="en-US" w:eastAsia="en-US"/>
        </w:rPr>
        <w:t xml:space="preserve"> Therefore, it could be useful for further corroborating the conjugation of the two polymers. However, this weak band is overlapped in the copolymer </w:t>
      </w:r>
      <w:r w:rsidRPr="00AE1B1D">
        <w:rPr>
          <w:lang w:val="en-US" w:eastAsia="en-US"/>
        </w:rPr>
        <w:lastRenderedPageBreak/>
        <w:t>spectra with the characteristic PLA bands in the region of 760-650 cm</w:t>
      </w:r>
      <w:r w:rsidRPr="00AE1B1D">
        <w:rPr>
          <w:vertAlign w:val="superscript"/>
          <w:lang w:val="en-US" w:eastAsia="en-US"/>
        </w:rPr>
        <w:t>-1</w:t>
      </w:r>
      <w:r w:rsidRPr="00AE1B1D">
        <w:rPr>
          <w:lang w:val="en-US" w:eastAsia="en-US"/>
        </w:rPr>
        <w:t>. The peak observed in mPEG-MAL at 1466 cm</w:t>
      </w:r>
      <w:r w:rsidRPr="00AE1B1D">
        <w:rPr>
          <w:vertAlign w:val="superscript"/>
          <w:lang w:val="en-US" w:eastAsia="en-US"/>
        </w:rPr>
        <w:t>-1</w:t>
      </w:r>
      <w:r w:rsidRPr="00AE1B1D">
        <w:rPr>
          <w:lang w:val="en-US" w:eastAsia="en-US"/>
        </w:rPr>
        <w:t xml:space="preserve"> corresponds to </w:t>
      </w:r>
      <w:r w:rsidRPr="00AE1B1D">
        <w:rPr>
          <w:b/>
          <w:lang w:val="en-US" w:eastAsia="en-US"/>
        </w:rPr>
        <w:t>-C-H</w:t>
      </w:r>
      <w:r w:rsidRPr="00AE1B1D">
        <w:rPr>
          <w:lang w:val="en-US" w:eastAsia="en-US"/>
        </w:rPr>
        <w:t xml:space="preserve"> deformation (CH</w:t>
      </w:r>
      <w:r w:rsidRPr="00AE1B1D">
        <w:rPr>
          <w:vertAlign w:val="subscript"/>
          <w:lang w:val="en-US" w:eastAsia="en-US"/>
        </w:rPr>
        <w:t>2</w:t>
      </w:r>
      <w:r w:rsidRPr="00AE1B1D">
        <w:rPr>
          <w:lang w:val="en-US" w:eastAsia="en-US"/>
        </w:rPr>
        <w:t xml:space="preserve"> scissoring), while the peak at 1456 cm</w:t>
      </w:r>
      <w:r w:rsidRPr="00AE1B1D">
        <w:rPr>
          <w:vertAlign w:val="superscript"/>
          <w:lang w:val="en-US" w:eastAsia="en-US"/>
        </w:rPr>
        <w:t>-1</w:t>
      </w:r>
      <w:r w:rsidRPr="00AE1B1D">
        <w:rPr>
          <w:lang w:val="en-US" w:eastAsia="en-US"/>
        </w:rPr>
        <w:t xml:space="preserve"> is assigned to </w:t>
      </w:r>
      <w:r w:rsidRPr="00AE1B1D">
        <w:rPr>
          <w:b/>
          <w:lang w:val="en-US" w:eastAsia="en-US"/>
        </w:rPr>
        <w:t>-CH</w:t>
      </w:r>
      <w:r w:rsidRPr="00AE1B1D">
        <w:rPr>
          <w:b/>
          <w:vertAlign w:val="subscript"/>
          <w:lang w:val="en-US" w:eastAsia="en-US"/>
        </w:rPr>
        <w:t>3</w:t>
      </w:r>
      <w:r w:rsidRPr="00AE1B1D">
        <w:rPr>
          <w:lang w:val="en-US" w:eastAsia="en-US"/>
        </w:rPr>
        <w:t xml:space="preserve"> bending in the PLA-SH </w:t>
      </w:r>
      <w:proofErr w:type="gramStart"/>
      <w:r w:rsidRPr="00AE1B1D">
        <w:rPr>
          <w:lang w:val="en-US" w:eastAsia="en-US"/>
        </w:rPr>
        <w:t>spectrum.</w:t>
      </w:r>
      <w:r w:rsidRPr="00AE1B1D">
        <w:rPr>
          <w:noProof/>
          <w:vertAlign w:val="superscript"/>
          <w:lang w:val="en-US" w:eastAsia="en-US"/>
        </w:rPr>
        <w:t>[</w:t>
      </w:r>
      <w:proofErr w:type="gramEnd"/>
      <w:r w:rsidRPr="00AE1B1D">
        <w:rPr>
          <w:noProof/>
          <w:vertAlign w:val="superscript"/>
          <w:lang w:val="en-US" w:eastAsia="en-US"/>
        </w:rPr>
        <w:t>7,10]</w:t>
      </w:r>
      <w:r w:rsidRPr="00AE1B1D">
        <w:rPr>
          <w:lang w:val="en-US" w:eastAsia="en-US"/>
        </w:rPr>
        <w:t xml:space="preserve"> Both peaks are visibly overlapped in the 1467-1455 cm</w:t>
      </w:r>
      <w:r w:rsidRPr="00AE1B1D">
        <w:rPr>
          <w:vertAlign w:val="superscript"/>
          <w:lang w:val="en-US" w:eastAsia="en-US"/>
        </w:rPr>
        <w:t>-1</w:t>
      </w:r>
      <w:r w:rsidRPr="00AE1B1D">
        <w:rPr>
          <w:lang w:val="en-US" w:eastAsia="en-US"/>
        </w:rPr>
        <w:t xml:space="preserve"> region in the copolymer spectrum (Figure S3).</w:t>
      </w:r>
    </w:p>
    <w:p w14:paraId="523C18CA" w14:textId="4FDC23F5" w:rsidR="00134C13" w:rsidRPr="00AE1B1D" w:rsidRDefault="009A4872" w:rsidP="00134C13">
      <w:pPr>
        <w:spacing w:after="120" w:line="480" w:lineRule="auto"/>
        <w:jc w:val="center"/>
        <w:rPr>
          <w:lang w:val="en-US" w:eastAsia="en-US"/>
        </w:rPr>
      </w:pPr>
      <w:r w:rsidRPr="00AE1B1D">
        <w:rPr>
          <w:noProof/>
          <w:lang w:val="en-US" w:eastAsia="en-US"/>
        </w:rPr>
        <w:drawing>
          <wp:inline distT="0" distB="0" distL="0" distR="0" wp14:anchorId="75AD3C3A" wp14:editId="13C6E216">
            <wp:extent cx="5524500" cy="2514600"/>
            <wp:effectExtent l="0" t="0" r="0" b="0"/>
            <wp:docPr id="12" name="Imagem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74"/>
                    <pic:cNvPicPr>
                      <a:picLocks noChangeAspect="1" noChangeArrowheads="1"/>
                    </pic:cNvPicPr>
                  </pic:nvPicPr>
                  <pic:blipFill>
                    <a:blip r:embed="rId21" cstate="print">
                      <a:extLst>
                        <a:ext uri="{28A0092B-C50C-407E-A947-70E740481C1C}">
                          <a14:useLocalDpi xmlns:a14="http://schemas.microsoft.com/office/drawing/2010/main" val="0"/>
                        </a:ext>
                      </a:extLst>
                    </a:blip>
                    <a:srcRect l="3189" t="1437" r="1074" b="3093"/>
                    <a:stretch>
                      <a:fillRect/>
                    </a:stretch>
                  </pic:blipFill>
                  <pic:spPr bwMode="auto">
                    <a:xfrm>
                      <a:off x="0" y="0"/>
                      <a:ext cx="5524500" cy="2514600"/>
                    </a:xfrm>
                    <a:prstGeom prst="rect">
                      <a:avLst/>
                    </a:prstGeom>
                    <a:noFill/>
                    <a:ln>
                      <a:noFill/>
                    </a:ln>
                  </pic:spPr>
                </pic:pic>
              </a:graphicData>
            </a:graphic>
          </wp:inline>
        </w:drawing>
      </w:r>
    </w:p>
    <w:p w14:paraId="668FE814" w14:textId="77777777" w:rsidR="00134C13" w:rsidRPr="00AE1B1D" w:rsidRDefault="00134C13" w:rsidP="00134C13">
      <w:pPr>
        <w:pStyle w:val="Legenda"/>
        <w:spacing w:after="240"/>
        <w:jc w:val="both"/>
        <w:rPr>
          <w:lang w:eastAsia="en-US"/>
        </w:rPr>
      </w:pPr>
      <w:bookmarkStart w:id="11" w:name="_Toc500090044"/>
      <w:r w:rsidRPr="00AE1B1D">
        <w:rPr>
          <w:b/>
          <w:i w:val="0"/>
          <w:color w:val="auto"/>
          <w:sz w:val="24"/>
          <w:szCs w:val="24"/>
        </w:rPr>
        <w:t>Figure</w:t>
      </w:r>
      <w:r w:rsidR="00D76E5F" w:rsidRPr="00AE1B1D">
        <w:rPr>
          <w:b/>
          <w:i w:val="0"/>
          <w:color w:val="auto"/>
          <w:sz w:val="24"/>
          <w:szCs w:val="24"/>
        </w:rPr>
        <w:t xml:space="preserve"> S</w:t>
      </w:r>
      <w:r w:rsidRPr="00AE1B1D">
        <w:rPr>
          <w:b/>
          <w:i w:val="0"/>
          <w:color w:val="auto"/>
          <w:sz w:val="24"/>
          <w:szCs w:val="24"/>
        </w:rPr>
        <w:t>3.</w:t>
      </w:r>
      <w:r w:rsidRPr="00AE1B1D">
        <w:rPr>
          <w:i w:val="0"/>
          <w:color w:val="auto"/>
          <w:sz w:val="24"/>
          <w:szCs w:val="24"/>
        </w:rPr>
        <w:t xml:space="preserve"> </w:t>
      </w:r>
      <w:r w:rsidRPr="00AE1B1D">
        <w:rPr>
          <w:i w:val="0"/>
          <w:color w:val="auto"/>
          <w:sz w:val="24"/>
          <w:szCs w:val="24"/>
          <w:lang w:eastAsia="en-US"/>
        </w:rPr>
        <w:t>ATR-FTIR spectra of mPEG-MS-PLA diblock copolymer and its unitary components (mPEG-MAL and PLA-SH).</w:t>
      </w:r>
      <w:bookmarkEnd w:id="11"/>
    </w:p>
    <w:p w14:paraId="39C73A48" w14:textId="77777777" w:rsidR="00134C13" w:rsidRPr="00AE1B1D" w:rsidRDefault="00134C13" w:rsidP="00134C13">
      <w:pPr>
        <w:spacing w:after="240" w:line="480" w:lineRule="auto"/>
        <w:ind w:firstLine="284"/>
        <w:jc w:val="both"/>
        <w:rPr>
          <w:lang w:val="en-US" w:eastAsia="en-US"/>
        </w:rPr>
      </w:pPr>
      <w:r w:rsidRPr="00AE1B1D">
        <w:rPr>
          <w:lang w:val="en-US" w:eastAsia="en-US"/>
        </w:rPr>
        <w:t>In addition, the spectra of PLA-SH and mPEG-MS-PLA copolymer exhibited a characteristic band at 1184 cm</w:t>
      </w:r>
      <w:r w:rsidRPr="00AE1B1D">
        <w:rPr>
          <w:vertAlign w:val="superscript"/>
          <w:lang w:val="en-US" w:eastAsia="en-US"/>
        </w:rPr>
        <w:t>-1</w:t>
      </w:r>
      <w:r w:rsidRPr="00AE1B1D">
        <w:rPr>
          <w:lang w:val="en-US" w:eastAsia="en-US"/>
        </w:rPr>
        <w:t xml:space="preserve"> which is assigned to </w:t>
      </w:r>
      <w:r w:rsidRPr="00AE1B1D">
        <w:rPr>
          <w:b/>
          <w:lang w:val="en-US" w:eastAsia="en-US"/>
        </w:rPr>
        <w:t>-C-O</w:t>
      </w:r>
      <w:r w:rsidRPr="00AE1B1D">
        <w:rPr>
          <w:lang w:val="en-US" w:eastAsia="en-US"/>
        </w:rPr>
        <w:t xml:space="preserve"> bending in lactic acid esters.</w:t>
      </w:r>
      <w:r w:rsidRPr="00AE1B1D">
        <w:rPr>
          <w:noProof/>
          <w:vertAlign w:val="superscript"/>
          <w:lang w:val="en-US" w:eastAsia="en-US"/>
        </w:rPr>
        <w:t>[11]</w:t>
      </w:r>
      <w:r w:rsidRPr="00AE1B1D">
        <w:rPr>
          <w:lang w:val="en-US" w:eastAsia="en-US"/>
        </w:rPr>
        <w:t xml:space="preserve"> The </w:t>
      </w:r>
      <w:r w:rsidRPr="00AE1B1D">
        <w:rPr>
          <w:b/>
          <w:lang w:val="en-US" w:eastAsia="en-US"/>
        </w:rPr>
        <w:t>-C-O-C</w:t>
      </w:r>
      <w:r w:rsidRPr="00AE1B1D">
        <w:rPr>
          <w:lang w:val="en-US" w:eastAsia="en-US"/>
        </w:rPr>
        <w:t xml:space="preserve"> ether asymmetric stretching vibrations present in both PEG and PLA overlap in the range 1150 to 1040 cm</w:t>
      </w:r>
      <w:r w:rsidRPr="00AE1B1D">
        <w:rPr>
          <w:vertAlign w:val="superscript"/>
          <w:lang w:val="en-US" w:eastAsia="en-US"/>
        </w:rPr>
        <w:t>-1</w:t>
      </w:r>
      <w:r w:rsidRPr="00AE1B1D">
        <w:rPr>
          <w:lang w:val="en-US" w:eastAsia="en-US"/>
        </w:rPr>
        <w:t>.</w:t>
      </w:r>
      <w:r w:rsidRPr="00AE1B1D">
        <w:rPr>
          <w:noProof/>
          <w:vertAlign w:val="superscript"/>
          <w:lang w:val="en-US" w:eastAsia="en-US"/>
        </w:rPr>
        <w:t>[6,7]</w:t>
      </w:r>
      <w:r w:rsidRPr="00AE1B1D">
        <w:rPr>
          <w:lang w:val="en-US" w:eastAsia="en-US"/>
        </w:rPr>
        <w:t xml:space="preserve"> The bands at 959 and 962 cm</w:t>
      </w:r>
      <w:r w:rsidRPr="00AE1B1D">
        <w:rPr>
          <w:vertAlign w:val="superscript"/>
          <w:lang w:val="en-US" w:eastAsia="en-US"/>
        </w:rPr>
        <w:t>-1</w:t>
      </w:r>
      <w:r w:rsidRPr="00AE1B1D">
        <w:rPr>
          <w:lang w:val="en-US" w:eastAsia="en-US"/>
        </w:rPr>
        <w:t xml:space="preserve"> correspond to </w:t>
      </w:r>
      <w:r w:rsidRPr="00AE1B1D">
        <w:rPr>
          <w:b/>
          <w:lang w:val="en-US" w:eastAsia="en-US"/>
        </w:rPr>
        <w:t>-CH</w:t>
      </w:r>
      <w:r w:rsidRPr="00AE1B1D">
        <w:rPr>
          <w:b/>
          <w:vertAlign w:val="subscript"/>
          <w:lang w:val="en-US" w:eastAsia="en-US"/>
        </w:rPr>
        <w:t>2</w:t>
      </w:r>
      <w:r w:rsidRPr="00AE1B1D">
        <w:rPr>
          <w:lang w:val="en-US" w:eastAsia="en-US"/>
        </w:rPr>
        <w:t xml:space="preserve"> rocking (</w:t>
      </w:r>
      <w:r w:rsidRPr="00AE1B1D">
        <w:rPr>
          <w:b/>
          <w:lang w:val="en-US" w:eastAsia="en-US"/>
        </w:rPr>
        <w:t>CH</w:t>
      </w:r>
      <w:r w:rsidRPr="00AE1B1D">
        <w:rPr>
          <w:b/>
          <w:vertAlign w:val="subscript"/>
          <w:lang w:val="en-US" w:eastAsia="en-US"/>
        </w:rPr>
        <w:t>2</w:t>
      </w:r>
      <w:r w:rsidRPr="00AE1B1D">
        <w:rPr>
          <w:b/>
          <w:lang w:val="en-US" w:eastAsia="en-US"/>
        </w:rPr>
        <w:t>-CH</w:t>
      </w:r>
      <w:r w:rsidRPr="00AE1B1D">
        <w:rPr>
          <w:b/>
          <w:vertAlign w:val="subscript"/>
          <w:lang w:val="en-US" w:eastAsia="en-US"/>
        </w:rPr>
        <w:t>2</w:t>
      </w:r>
      <w:r w:rsidRPr="00AE1B1D">
        <w:rPr>
          <w:lang w:val="en-US" w:eastAsia="en-US"/>
        </w:rPr>
        <w:t>-O) in mPEG-MAL and mPEG-MS-PLA copolymer, respectively, further confirming the presence of the mPEG backbone in the final copolymer.</w:t>
      </w:r>
      <w:r w:rsidRPr="00AE1B1D">
        <w:rPr>
          <w:noProof/>
          <w:vertAlign w:val="superscript"/>
          <w:lang w:val="en-US" w:eastAsia="en-US"/>
        </w:rPr>
        <w:t>[10]</w:t>
      </w:r>
      <w:r w:rsidRPr="00AE1B1D">
        <w:rPr>
          <w:lang w:val="en-US" w:eastAsia="en-US"/>
        </w:rPr>
        <w:t xml:space="preserve"> Taken together, both characterization techniques establish the successful conjugation of the two monomers, resulting in the mPEG-MS-PLA copolymer. This synthesis alternative not only allows for facile production of a reproducible mPEG-MS-PLA diblock copolymer, but can also be carried out under mild reaction conditions.</w:t>
      </w:r>
    </w:p>
    <w:p w14:paraId="2B13AF07" w14:textId="77777777" w:rsidR="00134C13" w:rsidRPr="00AE1B1D" w:rsidRDefault="00134C13" w:rsidP="00CE1242">
      <w:pPr>
        <w:pStyle w:val="Head1"/>
      </w:pPr>
      <w:r w:rsidRPr="00AE1B1D">
        <w:t xml:space="preserve">Colloidal Stability of Naringin-loaded mPEG-MS-PLA </w:t>
      </w:r>
      <w:proofErr w:type="spellStart"/>
      <w:r w:rsidRPr="00AE1B1D">
        <w:t>Nanomicelles</w:t>
      </w:r>
      <w:proofErr w:type="spellEnd"/>
    </w:p>
    <w:p w14:paraId="2D2E7556" w14:textId="34DAD2CC" w:rsidR="00134C13" w:rsidRPr="00AE1B1D" w:rsidRDefault="009A4872" w:rsidP="00134C13">
      <w:pPr>
        <w:spacing w:after="120" w:line="480" w:lineRule="auto"/>
        <w:jc w:val="center"/>
        <w:rPr>
          <w:lang w:val="en-US" w:eastAsia="en-US"/>
        </w:rPr>
      </w:pPr>
      <w:r w:rsidRPr="00AE1B1D">
        <w:rPr>
          <w:noProof/>
          <w:lang w:val="en-US" w:eastAsia="en-US"/>
        </w:rPr>
        <w:lastRenderedPageBreak/>
        <w:drawing>
          <wp:inline distT="0" distB="0" distL="0" distR="0" wp14:anchorId="11EC73C3" wp14:editId="5E1DB5F8">
            <wp:extent cx="5438775" cy="1419225"/>
            <wp:effectExtent l="0" t="0" r="0" b="0"/>
            <wp:docPr id="13"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1"/>
                    <pic:cNvPicPr>
                      <a:picLocks noChangeAspect="1" noChangeArrowheads="1"/>
                    </pic:cNvPicPr>
                  </pic:nvPicPr>
                  <pic:blipFill>
                    <a:blip r:embed="rId22" cstate="print">
                      <a:extLst>
                        <a:ext uri="{28A0092B-C50C-407E-A947-70E740481C1C}">
                          <a14:useLocalDpi xmlns:a14="http://schemas.microsoft.com/office/drawing/2010/main" val="0"/>
                        </a:ext>
                      </a:extLst>
                    </a:blip>
                    <a:srcRect l="1311" t="4761" r="2460" b="3770"/>
                    <a:stretch>
                      <a:fillRect/>
                    </a:stretch>
                  </pic:blipFill>
                  <pic:spPr bwMode="auto">
                    <a:xfrm>
                      <a:off x="0" y="0"/>
                      <a:ext cx="5438775" cy="1419225"/>
                    </a:xfrm>
                    <a:prstGeom prst="rect">
                      <a:avLst/>
                    </a:prstGeom>
                    <a:noFill/>
                    <a:ln>
                      <a:noFill/>
                    </a:ln>
                  </pic:spPr>
                </pic:pic>
              </a:graphicData>
            </a:graphic>
          </wp:inline>
        </w:drawing>
      </w:r>
    </w:p>
    <w:p w14:paraId="6A583D41" w14:textId="77777777" w:rsidR="00134C13" w:rsidRPr="00AE1B1D" w:rsidRDefault="00134C13" w:rsidP="00134C13">
      <w:pPr>
        <w:pStyle w:val="Legenda"/>
        <w:spacing w:after="240"/>
        <w:jc w:val="both"/>
        <w:rPr>
          <w:i w:val="0"/>
          <w:color w:val="auto"/>
          <w:sz w:val="24"/>
          <w:szCs w:val="24"/>
          <w:lang w:eastAsia="en-US"/>
        </w:rPr>
      </w:pPr>
      <w:bookmarkStart w:id="12" w:name="_Toc500090048"/>
      <w:r w:rsidRPr="00AE1B1D">
        <w:rPr>
          <w:b/>
          <w:i w:val="0"/>
          <w:color w:val="auto"/>
          <w:sz w:val="24"/>
          <w:szCs w:val="24"/>
        </w:rPr>
        <w:t xml:space="preserve">Figure </w:t>
      </w:r>
      <w:r w:rsidR="00D76E5F" w:rsidRPr="00AE1B1D">
        <w:rPr>
          <w:b/>
          <w:i w:val="0"/>
          <w:color w:val="auto"/>
          <w:sz w:val="24"/>
          <w:szCs w:val="24"/>
        </w:rPr>
        <w:t>S</w:t>
      </w:r>
      <w:r w:rsidRPr="00AE1B1D">
        <w:rPr>
          <w:b/>
          <w:i w:val="0"/>
          <w:color w:val="auto"/>
          <w:sz w:val="24"/>
          <w:szCs w:val="24"/>
        </w:rPr>
        <w:t>4.</w:t>
      </w:r>
      <w:r w:rsidRPr="00AE1B1D">
        <w:rPr>
          <w:i w:val="0"/>
          <w:color w:val="auto"/>
          <w:sz w:val="24"/>
          <w:szCs w:val="24"/>
        </w:rPr>
        <w:t xml:space="preserve"> </w:t>
      </w:r>
      <w:r w:rsidRPr="00AE1B1D">
        <w:rPr>
          <w:i w:val="0"/>
          <w:color w:val="auto"/>
          <w:sz w:val="24"/>
          <w:szCs w:val="24"/>
          <w:lang w:eastAsia="en-US"/>
        </w:rPr>
        <w:t xml:space="preserve">Colloidal stability of mPEG-MS-PLA </w:t>
      </w:r>
      <w:proofErr w:type="spellStart"/>
      <w:r w:rsidRPr="00AE1B1D">
        <w:rPr>
          <w:i w:val="0"/>
          <w:color w:val="auto"/>
          <w:sz w:val="24"/>
          <w:szCs w:val="24"/>
          <w:lang w:eastAsia="en-US"/>
        </w:rPr>
        <w:t>nanomicelles</w:t>
      </w:r>
      <w:proofErr w:type="spellEnd"/>
      <w:r w:rsidRPr="00AE1B1D">
        <w:rPr>
          <w:i w:val="0"/>
          <w:color w:val="auto"/>
          <w:sz w:val="24"/>
          <w:szCs w:val="24"/>
          <w:lang w:eastAsia="en-US"/>
        </w:rPr>
        <w:t xml:space="preserve"> in aqueous conditions: water (sphere, blue) and PBS at pH 7.4 (square, black). </w:t>
      </w:r>
      <w:r w:rsidRPr="00AE1B1D">
        <w:rPr>
          <w:b/>
          <w:i w:val="0"/>
          <w:color w:val="auto"/>
          <w:sz w:val="24"/>
          <w:szCs w:val="24"/>
          <w:lang w:eastAsia="en-US"/>
        </w:rPr>
        <w:t>(A)</w:t>
      </w:r>
      <w:r w:rsidRPr="00AE1B1D">
        <w:rPr>
          <w:i w:val="0"/>
          <w:color w:val="auto"/>
          <w:sz w:val="24"/>
          <w:szCs w:val="24"/>
          <w:lang w:eastAsia="en-US"/>
        </w:rPr>
        <w:t xml:space="preserve"> Particle size (nm), </w:t>
      </w:r>
      <w:r w:rsidRPr="00AE1B1D">
        <w:rPr>
          <w:b/>
          <w:i w:val="0"/>
          <w:color w:val="auto"/>
          <w:sz w:val="24"/>
          <w:szCs w:val="24"/>
          <w:lang w:eastAsia="en-US"/>
        </w:rPr>
        <w:t>(B)</w:t>
      </w:r>
      <w:r w:rsidRPr="00AE1B1D">
        <w:rPr>
          <w:i w:val="0"/>
          <w:color w:val="auto"/>
          <w:sz w:val="24"/>
          <w:szCs w:val="24"/>
          <w:lang w:eastAsia="en-US"/>
        </w:rPr>
        <w:t xml:space="preserve"> PDI and </w:t>
      </w:r>
      <w:r w:rsidRPr="00AE1B1D">
        <w:rPr>
          <w:b/>
          <w:i w:val="0"/>
          <w:color w:val="auto"/>
          <w:sz w:val="24"/>
          <w:szCs w:val="24"/>
          <w:lang w:eastAsia="en-US"/>
        </w:rPr>
        <w:t>(C)</w:t>
      </w:r>
      <w:r w:rsidRPr="00AE1B1D">
        <w:rPr>
          <w:i w:val="0"/>
          <w:color w:val="auto"/>
          <w:sz w:val="24"/>
          <w:szCs w:val="24"/>
          <w:lang w:eastAsia="en-US"/>
        </w:rPr>
        <w:t xml:space="preserve"> </w:t>
      </w:r>
      <w:r w:rsidRPr="00AE1B1D">
        <w:rPr>
          <w:rFonts w:ascii="Symbol" w:hAnsi="Symbol"/>
          <w:i w:val="0"/>
          <w:color w:val="auto"/>
          <w:sz w:val="24"/>
          <w:szCs w:val="24"/>
          <w:shd w:val="clear" w:color="auto" w:fill="FFFFFF"/>
          <w:lang w:val="pt-PT" w:eastAsia="en-US"/>
        </w:rPr>
        <w:t></w:t>
      </w:r>
      <w:r w:rsidRPr="00AE1B1D">
        <w:rPr>
          <w:i w:val="0"/>
          <w:color w:val="auto"/>
          <w:sz w:val="24"/>
          <w:szCs w:val="24"/>
          <w:lang w:eastAsia="en-US"/>
        </w:rPr>
        <w:t>-potential (mV).</w:t>
      </w:r>
      <w:bookmarkEnd w:id="12"/>
    </w:p>
    <w:p w14:paraId="5632DEB9" w14:textId="77777777" w:rsidR="00134C13" w:rsidRPr="00AE1B1D" w:rsidRDefault="00134C13" w:rsidP="00134C13">
      <w:pPr>
        <w:rPr>
          <w:lang w:val="en-US" w:eastAsia="en-US"/>
        </w:rPr>
      </w:pPr>
    </w:p>
    <w:p w14:paraId="78973F90" w14:textId="77777777" w:rsidR="00134C13" w:rsidRPr="00AE1B1D" w:rsidRDefault="00134C13" w:rsidP="00CE1242">
      <w:pPr>
        <w:pStyle w:val="Head1"/>
      </w:pPr>
      <w:r w:rsidRPr="00AE1B1D">
        <w:t>Naringin Calibration Curve in Water</w:t>
      </w:r>
    </w:p>
    <w:p w14:paraId="6F902FDB" w14:textId="59C3FEE1" w:rsidR="00134C13" w:rsidRPr="00AE1B1D" w:rsidRDefault="009A4872" w:rsidP="00CE1242">
      <w:pPr>
        <w:pStyle w:val="Legend"/>
        <w:spacing w:line="480" w:lineRule="auto"/>
        <w:jc w:val="center"/>
      </w:pPr>
      <w:r w:rsidRPr="00AE1B1D">
        <w:rPr>
          <w:noProof/>
          <w:lang w:val="de-DE"/>
        </w:rPr>
        <w:drawing>
          <wp:inline distT="0" distB="0" distL="0" distR="0" wp14:anchorId="3721A887" wp14:editId="4471B89C">
            <wp:extent cx="3771900" cy="2638425"/>
            <wp:effectExtent l="0" t="0" r="0" b="0"/>
            <wp:docPr id="1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23">
                      <a:extLst>
                        <a:ext uri="{28A0092B-C50C-407E-A947-70E740481C1C}">
                          <a14:useLocalDpi xmlns:a14="http://schemas.microsoft.com/office/drawing/2010/main" val="0"/>
                        </a:ext>
                      </a:extLst>
                    </a:blip>
                    <a:srcRect l="2776" t="2219" r="1617" b="2263"/>
                    <a:stretch>
                      <a:fillRect/>
                    </a:stretch>
                  </pic:blipFill>
                  <pic:spPr bwMode="auto">
                    <a:xfrm>
                      <a:off x="0" y="0"/>
                      <a:ext cx="3771900" cy="2638425"/>
                    </a:xfrm>
                    <a:prstGeom prst="rect">
                      <a:avLst/>
                    </a:prstGeom>
                    <a:noFill/>
                    <a:ln>
                      <a:noFill/>
                    </a:ln>
                  </pic:spPr>
                </pic:pic>
              </a:graphicData>
            </a:graphic>
          </wp:inline>
        </w:drawing>
      </w:r>
    </w:p>
    <w:p w14:paraId="0988DA59" w14:textId="73806449" w:rsidR="00134C13" w:rsidRPr="00AE1B1D" w:rsidRDefault="00134C13" w:rsidP="00134C13">
      <w:pPr>
        <w:pStyle w:val="Legenda"/>
        <w:spacing w:after="240"/>
        <w:jc w:val="both"/>
        <w:rPr>
          <w:i w:val="0"/>
          <w:color w:val="auto"/>
          <w:sz w:val="24"/>
          <w:szCs w:val="24"/>
        </w:rPr>
      </w:pPr>
      <w:bookmarkStart w:id="13" w:name="_Toc500090060"/>
      <w:r w:rsidRPr="00AE1B1D">
        <w:rPr>
          <w:b/>
          <w:i w:val="0"/>
          <w:color w:val="auto"/>
          <w:sz w:val="24"/>
          <w:szCs w:val="24"/>
        </w:rPr>
        <w:t xml:space="preserve">Figure </w:t>
      </w:r>
      <w:r w:rsidR="00D76E5F" w:rsidRPr="00AE1B1D">
        <w:rPr>
          <w:b/>
          <w:i w:val="0"/>
          <w:color w:val="auto"/>
          <w:sz w:val="24"/>
          <w:szCs w:val="24"/>
        </w:rPr>
        <w:t>S</w:t>
      </w:r>
      <w:r w:rsidRPr="00AE1B1D">
        <w:rPr>
          <w:b/>
          <w:i w:val="0"/>
          <w:color w:val="auto"/>
          <w:sz w:val="24"/>
          <w:szCs w:val="24"/>
        </w:rPr>
        <w:t>5.</w:t>
      </w:r>
      <w:r w:rsidRPr="00AE1B1D">
        <w:rPr>
          <w:i w:val="0"/>
          <w:color w:val="auto"/>
          <w:sz w:val="24"/>
          <w:szCs w:val="24"/>
        </w:rPr>
        <w:t xml:space="preserve"> </w:t>
      </w:r>
      <w:r w:rsidRPr="00AE1B1D">
        <w:rPr>
          <w:b/>
          <w:i w:val="0"/>
          <w:color w:val="auto"/>
          <w:sz w:val="24"/>
          <w:szCs w:val="24"/>
        </w:rPr>
        <w:t>(A)</w:t>
      </w:r>
      <w:r w:rsidRPr="00AE1B1D">
        <w:rPr>
          <w:i w:val="0"/>
          <w:color w:val="auto"/>
          <w:sz w:val="24"/>
          <w:szCs w:val="24"/>
        </w:rPr>
        <w:t xml:space="preserve"> Naringin calibration curve in water calculated by mea</w:t>
      </w:r>
      <w:r w:rsidR="00A81681" w:rsidRPr="00AE1B1D">
        <w:rPr>
          <w:i w:val="0"/>
          <w:color w:val="auto"/>
          <w:sz w:val="24"/>
          <w:szCs w:val="24"/>
        </w:rPr>
        <w:t xml:space="preserve">suring the absorbance peak at λ </w:t>
      </w:r>
      <w:r w:rsidRPr="00AE1B1D">
        <w:rPr>
          <w:i w:val="0"/>
          <w:color w:val="auto"/>
          <w:sz w:val="24"/>
          <w:szCs w:val="24"/>
        </w:rPr>
        <w:t>=</w:t>
      </w:r>
      <w:r w:rsidR="00A81681" w:rsidRPr="00AE1B1D">
        <w:rPr>
          <w:i w:val="0"/>
          <w:color w:val="auto"/>
          <w:sz w:val="24"/>
          <w:szCs w:val="24"/>
        </w:rPr>
        <w:t xml:space="preserve"> </w:t>
      </w:r>
      <w:r w:rsidRPr="00AE1B1D">
        <w:rPr>
          <w:i w:val="0"/>
          <w:color w:val="auto"/>
          <w:sz w:val="24"/>
          <w:szCs w:val="24"/>
        </w:rPr>
        <w:t xml:space="preserve">282 nm, ranging from 2 to 100 </w:t>
      </w:r>
      <w:r w:rsidRPr="00AE1B1D">
        <w:rPr>
          <w:rFonts w:ascii="Symbol" w:hAnsi="Symbol"/>
          <w:i w:val="0"/>
          <w:color w:val="auto"/>
          <w:sz w:val="24"/>
          <w:szCs w:val="24"/>
        </w:rPr>
        <w:t></w:t>
      </w:r>
      <w:r w:rsidRPr="00AE1B1D">
        <w:rPr>
          <w:i w:val="0"/>
          <w:color w:val="auto"/>
          <w:sz w:val="24"/>
          <w:szCs w:val="24"/>
        </w:rPr>
        <w:t>g mL</w:t>
      </w:r>
      <w:r w:rsidRPr="00AE1B1D">
        <w:rPr>
          <w:i w:val="0"/>
          <w:color w:val="auto"/>
          <w:sz w:val="24"/>
          <w:szCs w:val="24"/>
          <w:vertAlign w:val="superscript"/>
        </w:rPr>
        <w:t>-1</w:t>
      </w:r>
      <w:r w:rsidRPr="00AE1B1D">
        <w:rPr>
          <w:i w:val="0"/>
          <w:color w:val="auto"/>
          <w:sz w:val="24"/>
          <w:szCs w:val="24"/>
        </w:rPr>
        <w:t xml:space="preserve">. </w:t>
      </w:r>
      <w:r w:rsidRPr="00AE1B1D">
        <w:rPr>
          <w:b/>
          <w:i w:val="0"/>
          <w:color w:val="auto"/>
          <w:sz w:val="24"/>
          <w:szCs w:val="24"/>
        </w:rPr>
        <w:t>(A</w:t>
      </w:r>
      <w:r w:rsidRPr="00AE1B1D">
        <w:rPr>
          <w:b/>
          <w:i w:val="0"/>
          <w:color w:val="auto"/>
          <w:sz w:val="24"/>
          <w:szCs w:val="24"/>
          <w:vertAlign w:val="subscript"/>
        </w:rPr>
        <w:t>1</w:t>
      </w:r>
      <w:r w:rsidRPr="00AE1B1D">
        <w:rPr>
          <w:b/>
          <w:i w:val="0"/>
          <w:color w:val="auto"/>
          <w:sz w:val="24"/>
          <w:szCs w:val="24"/>
        </w:rPr>
        <w:t>)</w:t>
      </w:r>
      <w:r w:rsidRPr="00AE1B1D">
        <w:rPr>
          <w:i w:val="0"/>
          <w:color w:val="auto"/>
          <w:sz w:val="24"/>
          <w:szCs w:val="24"/>
        </w:rPr>
        <w:t xml:space="preserve"> Inset represents the absorbance spectrum of Naringin within a spectral window from 250 to 370 nm.</w:t>
      </w:r>
      <w:bookmarkEnd w:id="13"/>
    </w:p>
    <w:p w14:paraId="622D507C" w14:textId="77777777" w:rsidR="00134C13" w:rsidRPr="00AE1B1D" w:rsidRDefault="00134C13" w:rsidP="00134C13">
      <w:pPr>
        <w:rPr>
          <w:lang w:val="en-US" w:eastAsia="en-US"/>
        </w:rPr>
      </w:pPr>
    </w:p>
    <w:p w14:paraId="7F75A22C" w14:textId="77777777" w:rsidR="00134C13" w:rsidRPr="00AE1B1D" w:rsidRDefault="00134C13" w:rsidP="00134C13">
      <w:pPr>
        <w:rPr>
          <w:lang w:val="en-US" w:eastAsia="en-US"/>
        </w:rPr>
      </w:pPr>
    </w:p>
    <w:p w14:paraId="10F54F06" w14:textId="0D12A26D" w:rsidR="00CE1242" w:rsidRPr="00AE1B1D" w:rsidRDefault="00CE1242" w:rsidP="00CE1242">
      <w:pPr>
        <w:jc w:val="center"/>
        <w:rPr>
          <w:lang w:val="en-US" w:eastAsia="en-US"/>
        </w:rPr>
      </w:pPr>
      <w:r w:rsidRPr="00AE1B1D">
        <w:rPr>
          <w:noProof/>
        </w:rPr>
        <w:lastRenderedPageBreak/>
        <w:drawing>
          <wp:inline distT="0" distB="0" distL="0" distR="0" wp14:anchorId="67CFE5BC" wp14:editId="5E0BC4E6">
            <wp:extent cx="5760720" cy="24079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407955"/>
                    </a:xfrm>
                    <a:prstGeom prst="rect">
                      <a:avLst/>
                    </a:prstGeom>
                    <a:noFill/>
                    <a:ln>
                      <a:noFill/>
                    </a:ln>
                  </pic:spPr>
                </pic:pic>
              </a:graphicData>
            </a:graphic>
          </wp:inline>
        </w:drawing>
      </w:r>
    </w:p>
    <w:p w14:paraId="11E7579C" w14:textId="1818F84D" w:rsidR="00CE1242" w:rsidRPr="00AE1B1D" w:rsidRDefault="00CE1242" w:rsidP="00CE1242">
      <w:pPr>
        <w:pStyle w:val="Legenda"/>
        <w:spacing w:after="240"/>
        <w:jc w:val="both"/>
        <w:rPr>
          <w:i w:val="0"/>
          <w:color w:val="auto"/>
          <w:sz w:val="24"/>
          <w:szCs w:val="24"/>
          <w:lang w:eastAsia="en-US"/>
        </w:rPr>
      </w:pPr>
      <w:r w:rsidRPr="00AE1B1D">
        <w:rPr>
          <w:b/>
          <w:i w:val="0"/>
          <w:color w:val="auto"/>
          <w:sz w:val="24"/>
          <w:szCs w:val="24"/>
        </w:rPr>
        <w:t>Figure S6.</w:t>
      </w:r>
      <w:r w:rsidRPr="00AE1B1D">
        <w:rPr>
          <w:i w:val="0"/>
          <w:color w:val="auto"/>
          <w:sz w:val="24"/>
          <w:szCs w:val="24"/>
          <w:lang w:eastAsia="en-US"/>
        </w:rPr>
        <w:t xml:space="preserve"> Characterization of Coumarin-6 loaded mPEG-MS-PLA micelles</w:t>
      </w:r>
      <w:r w:rsidR="00E16D9B" w:rsidRPr="00AE1B1D">
        <w:rPr>
          <w:i w:val="0"/>
          <w:color w:val="auto"/>
          <w:sz w:val="24"/>
          <w:szCs w:val="24"/>
          <w:lang w:eastAsia="en-US"/>
        </w:rPr>
        <w:t>.</w:t>
      </w:r>
      <w:r w:rsidRPr="00AE1B1D">
        <w:rPr>
          <w:i w:val="0"/>
          <w:color w:val="auto"/>
          <w:sz w:val="24"/>
          <w:szCs w:val="24"/>
          <w:lang w:eastAsia="en-US"/>
        </w:rPr>
        <w:t xml:space="preserve"> </w:t>
      </w:r>
      <w:r w:rsidRPr="00AE1B1D">
        <w:rPr>
          <w:b/>
          <w:i w:val="0"/>
          <w:color w:val="auto"/>
          <w:sz w:val="24"/>
          <w:szCs w:val="24"/>
          <w:lang w:eastAsia="en-US"/>
        </w:rPr>
        <w:t>(A)</w:t>
      </w:r>
      <w:r w:rsidRPr="00AE1B1D">
        <w:rPr>
          <w:i w:val="0"/>
          <w:color w:val="auto"/>
          <w:sz w:val="24"/>
          <w:szCs w:val="24"/>
          <w:lang w:eastAsia="en-US"/>
        </w:rPr>
        <w:t xml:space="preserve"> DLS analysis of Coumarin-6 micelles. </w:t>
      </w:r>
      <w:r w:rsidRPr="00AE1B1D">
        <w:rPr>
          <w:b/>
          <w:i w:val="0"/>
          <w:color w:val="auto"/>
          <w:sz w:val="24"/>
          <w:szCs w:val="24"/>
          <w:lang w:eastAsia="en-US"/>
        </w:rPr>
        <w:t>(B)</w:t>
      </w:r>
      <w:r w:rsidRPr="00AE1B1D">
        <w:rPr>
          <w:i w:val="0"/>
          <w:color w:val="auto"/>
          <w:sz w:val="24"/>
          <w:szCs w:val="24"/>
          <w:lang w:eastAsia="en-US"/>
        </w:rPr>
        <w:t xml:space="preserve"> Fluorescence micrograph of Coumarin-6 micelles. Green channel: Coumarin-6. </w:t>
      </w:r>
    </w:p>
    <w:p w14:paraId="3F790CB7" w14:textId="27AD2EB1" w:rsidR="00134C13" w:rsidRPr="00AE1B1D" w:rsidRDefault="00134C13" w:rsidP="00134C13">
      <w:pPr>
        <w:rPr>
          <w:lang w:val="en-US" w:eastAsia="en-US"/>
        </w:rPr>
      </w:pPr>
    </w:p>
    <w:p w14:paraId="1CEA3AD1" w14:textId="7B606441" w:rsidR="0019045E" w:rsidRPr="00AE1B1D" w:rsidRDefault="0019045E" w:rsidP="0019045E">
      <w:pPr>
        <w:pStyle w:val="Head1"/>
      </w:pPr>
      <w:r w:rsidRPr="00AE1B1D">
        <w:t xml:space="preserve">Cellular uptake and intracellular trafficking </w:t>
      </w:r>
    </w:p>
    <w:p w14:paraId="1CAB4FB6" w14:textId="1A62406E" w:rsidR="0019045E" w:rsidRPr="00AE1B1D" w:rsidRDefault="0019045E" w:rsidP="0019045E">
      <w:pPr>
        <w:pStyle w:val="Head1"/>
        <w:spacing w:line="240" w:lineRule="auto"/>
      </w:pPr>
      <w:r w:rsidRPr="00AE1B1D">
        <w:rPr>
          <w:noProof/>
        </w:rPr>
        <w:drawing>
          <wp:inline distT="0" distB="0" distL="0" distR="0" wp14:anchorId="0CFA0214" wp14:editId="462ED4CC">
            <wp:extent cx="5760053" cy="35337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8556" cy="3538991"/>
                    </a:xfrm>
                    <a:prstGeom prst="rect">
                      <a:avLst/>
                    </a:prstGeom>
                    <a:noFill/>
                    <a:ln>
                      <a:noFill/>
                    </a:ln>
                  </pic:spPr>
                </pic:pic>
              </a:graphicData>
            </a:graphic>
          </wp:inline>
        </w:drawing>
      </w:r>
    </w:p>
    <w:p w14:paraId="13A2B65E" w14:textId="7440B9D1" w:rsidR="0019045E" w:rsidRPr="00AE1B1D" w:rsidRDefault="0019045E" w:rsidP="0019045E">
      <w:pPr>
        <w:pStyle w:val="Legenda"/>
        <w:spacing w:after="240"/>
        <w:jc w:val="both"/>
        <w:rPr>
          <w:i w:val="0"/>
          <w:color w:val="auto"/>
          <w:sz w:val="24"/>
          <w:szCs w:val="24"/>
          <w:lang w:eastAsia="en-US"/>
        </w:rPr>
      </w:pPr>
      <w:r w:rsidRPr="00AE1B1D">
        <w:rPr>
          <w:b/>
          <w:i w:val="0"/>
          <w:color w:val="auto"/>
          <w:sz w:val="24"/>
          <w:szCs w:val="24"/>
        </w:rPr>
        <w:t>Figure S7.</w:t>
      </w:r>
      <w:r w:rsidRPr="00AE1B1D">
        <w:rPr>
          <w:i w:val="0"/>
          <w:color w:val="auto"/>
          <w:sz w:val="24"/>
          <w:szCs w:val="24"/>
          <w:lang w:eastAsia="en-US"/>
        </w:rPr>
        <w:t xml:space="preserve"> Confocal laser scanning</w:t>
      </w:r>
      <w:r w:rsidR="002A389E" w:rsidRPr="00AE1B1D">
        <w:rPr>
          <w:i w:val="0"/>
          <w:color w:val="auto"/>
          <w:sz w:val="24"/>
          <w:szCs w:val="24"/>
          <w:lang w:eastAsia="en-US"/>
        </w:rPr>
        <w:t xml:space="preserve"> (CLSM)</w:t>
      </w:r>
      <w:r w:rsidRPr="00AE1B1D">
        <w:rPr>
          <w:i w:val="0"/>
          <w:color w:val="auto"/>
          <w:sz w:val="24"/>
          <w:szCs w:val="24"/>
          <w:lang w:eastAsia="en-US"/>
        </w:rPr>
        <w:t xml:space="preserve"> micrographs of Coumarin-6 micelles</w:t>
      </w:r>
      <w:r w:rsidR="008C5974" w:rsidRPr="00AE1B1D">
        <w:rPr>
          <w:i w:val="0"/>
          <w:color w:val="auto"/>
          <w:sz w:val="24"/>
          <w:szCs w:val="24"/>
          <w:lang w:eastAsia="en-US"/>
        </w:rPr>
        <w:t xml:space="preserve"> uptake in </w:t>
      </w:r>
      <w:proofErr w:type="spellStart"/>
      <w:r w:rsidR="008C5974" w:rsidRPr="00AE1B1D">
        <w:rPr>
          <w:i w:val="0"/>
          <w:color w:val="auto"/>
          <w:sz w:val="24"/>
          <w:szCs w:val="24"/>
          <w:lang w:eastAsia="en-US"/>
        </w:rPr>
        <w:t>hASCs</w:t>
      </w:r>
      <w:proofErr w:type="spellEnd"/>
      <w:r w:rsidR="008C5974" w:rsidRPr="00AE1B1D">
        <w:rPr>
          <w:i w:val="0"/>
          <w:color w:val="auto"/>
          <w:sz w:val="24"/>
          <w:szCs w:val="24"/>
          <w:lang w:eastAsia="en-US"/>
        </w:rPr>
        <w:t xml:space="preserve"> at 4</w:t>
      </w:r>
      <w:r w:rsidR="00C144DE" w:rsidRPr="00AE1B1D">
        <w:rPr>
          <w:i w:val="0"/>
          <w:color w:val="auto"/>
          <w:sz w:val="24"/>
          <w:szCs w:val="24"/>
          <w:lang w:eastAsia="en-US"/>
        </w:rPr>
        <w:t xml:space="preserve"> </w:t>
      </w:r>
      <w:r w:rsidR="008C5974" w:rsidRPr="00AE1B1D">
        <w:rPr>
          <w:i w:val="0"/>
          <w:color w:val="auto"/>
          <w:sz w:val="24"/>
          <w:szCs w:val="24"/>
          <w:lang w:eastAsia="en-US"/>
        </w:rPr>
        <w:t>h following incubation</w:t>
      </w:r>
      <w:r w:rsidRPr="00AE1B1D">
        <w:rPr>
          <w:i w:val="0"/>
          <w:color w:val="auto"/>
          <w:sz w:val="24"/>
          <w:szCs w:val="24"/>
          <w:lang w:eastAsia="en-US"/>
        </w:rPr>
        <w:t xml:space="preserve">. </w:t>
      </w:r>
      <w:r w:rsidRPr="00AE1B1D">
        <w:rPr>
          <w:b/>
          <w:i w:val="0"/>
          <w:color w:val="auto"/>
          <w:sz w:val="24"/>
          <w:szCs w:val="24"/>
          <w:lang w:eastAsia="en-US"/>
        </w:rPr>
        <w:t>(A)</w:t>
      </w:r>
      <w:r w:rsidRPr="00AE1B1D">
        <w:rPr>
          <w:i w:val="0"/>
          <w:color w:val="auto"/>
          <w:sz w:val="24"/>
          <w:szCs w:val="24"/>
          <w:lang w:eastAsia="en-US"/>
        </w:rPr>
        <w:t xml:space="preserve"> 3D </w:t>
      </w:r>
      <w:r w:rsidR="002A389E" w:rsidRPr="00AE1B1D">
        <w:rPr>
          <w:i w:val="0"/>
          <w:color w:val="auto"/>
          <w:sz w:val="24"/>
          <w:szCs w:val="24"/>
          <w:lang w:eastAsia="en-US"/>
        </w:rPr>
        <w:t>CLSM</w:t>
      </w:r>
      <w:r w:rsidRPr="00AE1B1D">
        <w:rPr>
          <w:i w:val="0"/>
          <w:color w:val="auto"/>
          <w:sz w:val="24"/>
          <w:szCs w:val="24"/>
          <w:lang w:eastAsia="en-US"/>
        </w:rPr>
        <w:t xml:space="preserve"> reconstruction</w:t>
      </w:r>
      <w:r w:rsidR="002A389E" w:rsidRPr="00AE1B1D">
        <w:rPr>
          <w:i w:val="0"/>
          <w:color w:val="auto"/>
          <w:sz w:val="24"/>
          <w:szCs w:val="24"/>
          <w:lang w:eastAsia="en-US"/>
        </w:rPr>
        <w:t xml:space="preserve"> of the cell volume</w:t>
      </w:r>
      <w:r w:rsidRPr="00AE1B1D">
        <w:rPr>
          <w:i w:val="0"/>
          <w:color w:val="auto"/>
          <w:sz w:val="24"/>
          <w:szCs w:val="24"/>
          <w:lang w:eastAsia="en-US"/>
        </w:rPr>
        <w:t xml:space="preserve">. </w:t>
      </w:r>
      <w:r w:rsidRPr="00AE1B1D">
        <w:rPr>
          <w:b/>
          <w:i w:val="0"/>
          <w:color w:val="auto"/>
          <w:sz w:val="24"/>
          <w:szCs w:val="24"/>
          <w:lang w:eastAsia="en-US"/>
        </w:rPr>
        <w:t xml:space="preserve">(B) </w:t>
      </w:r>
      <w:r w:rsidRPr="00AE1B1D">
        <w:rPr>
          <w:i w:val="0"/>
          <w:color w:val="auto"/>
          <w:sz w:val="24"/>
          <w:szCs w:val="24"/>
          <w:lang w:eastAsia="en-US"/>
        </w:rPr>
        <w:t xml:space="preserve">Orthogonal projection of </w:t>
      </w:r>
      <w:proofErr w:type="spellStart"/>
      <w:r w:rsidR="008C5974" w:rsidRPr="00AE1B1D">
        <w:rPr>
          <w:i w:val="0"/>
          <w:color w:val="auto"/>
          <w:sz w:val="24"/>
          <w:szCs w:val="24"/>
          <w:lang w:eastAsia="en-US"/>
        </w:rPr>
        <w:t>nanomicelles</w:t>
      </w:r>
      <w:proofErr w:type="spellEnd"/>
      <w:r w:rsidR="008C5974" w:rsidRPr="00AE1B1D">
        <w:rPr>
          <w:i w:val="0"/>
          <w:color w:val="auto"/>
          <w:sz w:val="24"/>
          <w:szCs w:val="24"/>
          <w:lang w:eastAsia="en-US"/>
        </w:rPr>
        <w:t xml:space="preserve"> internalization in </w:t>
      </w:r>
      <w:proofErr w:type="spellStart"/>
      <w:r w:rsidR="008C5974" w:rsidRPr="00AE1B1D">
        <w:rPr>
          <w:i w:val="0"/>
          <w:color w:val="auto"/>
          <w:sz w:val="24"/>
          <w:szCs w:val="24"/>
          <w:lang w:eastAsia="en-US"/>
        </w:rPr>
        <w:t>hASCs</w:t>
      </w:r>
      <w:proofErr w:type="spellEnd"/>
      <w:r w:rsidR="008C5974" w:rsidRPr="00AE1B1D">
        <w:rPr>
          <w:i w:val="0"/>
          <w:color w:val="auto"/>
          <w:sz w:val="24"/>
          <w:szCs w:val="24"/>
          <w:lang w:eastAsia="en-US"/>
        </w:rPr>
        <w:t>.</w:t>
      </w:r>
      <w:r w:rsidRPr="00AE1B1D">
        <w:rPr>
          <w:i w:val="0"/>
          <w:color w:val="auto"/>
          <w:sz w:val="24"/>
          <w:szCs w:val="24"/>
          <w:lang w:eastAsia="en-US"/>
        </w:rPr>
        <w:t xml:space="preserve"> </w:t>
      </w:r>
      <w:r w:rsidR="008C5974" w:rsidRPr="00AE1B1D">
        <w:rPr>
          <w:i w:val="0"/>
          <w:color w:val="auto"/>
          <w:sz w:val="24"/>
          <w:szCs w:val="24"/>
          <w:lang w:eastAsia="en-US"/>
        </w:rPr>
        <w:t xml:space="preserve">Blue channel: </w:t>
      </w:r>
      <w:proofErr w:type="spellStart"/>
      <w:r w:rsidR="008C5974" w:rsidRPr="00AE1B1D">
        <w:rPr>
          <w:i w:val="0"/>
          <w:color w:val="auto"/>
          <w:sz w:val="24"/>
          <w:szCs w:val="24"/>
          <w:lang w:eastAsia="en-US"/>
        </w:rPr>
        <w:t>Hoescht</w:t>
      </w:r>
      <w:proofErr w:type="spellEnd"/>
      <w:r w:rsidR="008C5974" w:rsidRPr="00AE1B1D">
        <w:rPr>
          <w:i w:val="0"/>
          <w:color w:val="auto"/>
          <w:sz w:val="24"/>
          <w:szCs w:val="24"/>
          <w:lang w:eastAsia="en-US"/>
        </w:rPr>
        <w:t xml:space="preserve"> 33342 labelled nucleus, </w:t>
      </w:r>
      <w:r w:rsidRPr="00AE1B1D">
        <w:rPr>
          <w:i w:val="0"/>
          <w:color w:val="auto"/>
          <w:sz w:val="24"/>
          <w:szCs w:val="24"/>
          <w:lang w:eastAsia="en-US"/>
        </w:rPr>
        <w:t>Green channel: Coumarin-6</w:t>
      </w:r>
      <w:r w:rsidR="008C5974" w:rsidRPr="00AE1B1D">
        <w:rPr>
          <w:i w:val="0"/>
          <w:color w:val="auto"/>
          <w:sz w:val="24"/>
          <w:szCs w:val="24"/>
          <w:lang w:eastAsia="en-US"/>
        </w:rPr>
        <w:t>, Red channel: WGA-Alexa 594</w:t>
      </w:r>
      <w:r w:rsidR="008C5974" w:rsidRPr="00AE1B1D">
        <w:rPr>
          <w:i w:val="0"/>
          <w:color w:val="auto"/>
          <w:sz w:val="24"/>
          <w:szCs w:val="24"/>
          <w:vertAlign w:val="superscript"/>
          <w:lang w:eastAsia="en-US"/>
        </w:rPr>
        <w:t>®</w:t>
      </w:r>
      <w:r w:rsidR="008C5974" w:rsidRPr="00AE1B1D">
        <w:rPr>
          <w:i w:val="0"/>
          <w:color w:val="auto"/>
          <w:sz w:val="24"/>
          <w:szCs w:val="24"/>
          <w:lang w:eastAsia="en-US"/>
        </w:rPr>
        <w:t xml:space="preserve"> labelled cells</w:t>
      </w:r>
      <w:r w:rsidRPr="00AE1B1D">
        <w:rPr>
          <w:i w:val="0"/>
          <w:color w:val="auto"/>
          <w:sz w:val="24"/>
          <w:szCs w:val="24"/>
          <w:lang w:eastAsia="en-US"/>
        </w:rPr>
        <w:t>.</w:t>
      </w:r>
      <w:r w:rsidR="008C5974" w:rsidRPr="00AE1B1D">
        <w:rPr>
          <w:i w:val="0"/>
          <w:color w:val="auto"/>
          <w:sz w:val="24"/>
          <w:szCs w:val="24"/>
          <w:lang w:eastAsia="en-US"/>
        </w:rPr>
        <w:t xml:space="preserve"> White arrows indicate nanomicelles. </w:t>
      </w:r>
      <w:r w:rsidR="008C5974" w:rsidRPr="00AE1B1D">
        <w:rPr>
          <w:b/>
          <w:i w:val="0"/>
          <w:color w:val="auto"/>
          <w:sz w:val="24"/>
          <w:szCs w:val="24"/>
          <w:lang w:eastAsia="en-US"/>
        </w:rPr>
        <w:t xml:space="preserve">(C to E) </w:t>
      </w:r>
      <w:r w:rsidR="008C5974" w:rsidRPr="00AE1B1D">
        <w:rPr>
          <w:i w:val="0"/>
          <w:color w:val="auto"/>
          <w:sz w:val="24"/>
          <w:szCs w:val="24"/>
          <w:lang w:eastAsia="en-US"/>
        </w:rPr>
        <w:t xml:space="preserve">Intracellular trafficking and colocalization analysis of nanomicelles in lysosomal compartments at different time points. Blue channel: </w:t>
      </w:r>
      <w:proofErr w:type="spellStart"/>
      <w:r w:rsidR="008C5974" w:rsidRPr="00AE1B1D">
        <w:rPr>
          <w:i w:val="0"/>
          <w:color w:val="auto"/>
          <w:sz w:val="24"/>
          <w:szCs w:val="24"/>
          <w:lang w:eastAsia="en-US"/>
        </w:rPr>
        <w:t>Hoescht</w:t>
      </w:r>
      <w:proofErr w:type="spellEnd"/>
      <w:r w:rsidR="008C5974" w:rsidRPr="00AE1B1D">
        <w:rPr>
          <w:i w:val="0"/>
          <w:color w:val="auto"/>
          <w:sz w:val="24"/>
          <w:szCs w:val="24"/>
          <w:lang w:eastAsia="en-US"/>
        </w:rPr>
        <w:t xml:space="preserve"> 33342 l</w:t>
      </w:r>
      <w:r w:rsidR="00C144DE" w:rsidRPr="00AE1B1D">
        <w:rPr>
          <w:i w:val="0"/>
          <w:color w:val="auto"/>
          <w:sz w:val="24"/>
          <w:szCs w:val="24"/>
          <w:lang w:eastAsia="en-US"/>
        </w:rPr>
        <w:t>abelled nucleus, Green channel:</w:t>
      </w:r>
      <w:r w:rsidR="008C5974" w:rsidRPr="00AE1B1D">
        <w:rPr>
          <w:i w:val="0"/>
          <w:color w:val="auto"/>
          <w:sz w:val="24"/>
          <w:szCs w:val="24"/>
          <w:lang w:eastAsia="en-US"/>
        </w:rPr>
        <w:t xml:space="preserve"> Coumarin-6, Red channel: Lysotracker </w:t>
      </w:r>
      <w:r w:rsidR="008C5974" w:rsidRPr="00AE1B1D">
        <w:rPr>
          <w:i w:val="0"/>
          <w:color w:val="auto"/>
          <w:sz w:val="24"/>
          <w:szCs w:val="24"/>
          <w:vertAlign w:val="superscript"/>
          <w:lang w:eastAsia="en-US"/>
        </w:rPr>
        <w:t>®</w:t>
      </w:r>
      <w:r w:rsidR="00C144DE" w:rsidRPr="00AE1B1D">
        <w:rPr>
          <w:i w:val="0"/>
          <w:color w:val="auto"/>
          <w:sz w:val="24"/>
          <w:szCs w:val="24"/>
          <w:lang w:eastAsia="en-US"/>
        </w:rPr>
        <w:t xml:space="preserve"> Deep R</w:t>
      </w:r>
      <w:r w:rsidR="008C5974" w:rsidRPr="00AE1B1D">
        <w:rPr>
          <w:i w:val="0"/>
          <w:color w:val="auto"/>
          <w:sz w:val="24"/>
          <w:szCs w:val="24"/>
          <w:lang w:eastAsia="en-US"/>
        </w:rPr>
        <w:t xml:space="preserve">ed. White arrows indicate micelles-lysosome colocalization hotspots. </w:t>
      </w:r>
    </w:p>
    <w:p w14:paraId="21E9A41F" w14:textId="440FCD9C" w:rsidR="00134C13" w:rsidRPr="00AE1B1D" w:rsidRDefault="0019045E" w:rsidP="008C6CC9">
      <w:pPr>
        <w:rPr>
          <w:b/>
        </w:rPr>
      </w:pPr>
      <w:r w:rsidRPr="00AE1B1D">
        <w:rPr>
          <w:lang w:val="en-US" w:eastAsia="en-US"/>
        </w:rPr>
        <w:br w:type="column"/>
      </w:r>
      <w:r w:rsidR="00134C13" w:rsidRPr="00AE1B1D">
        <w:rPr>
          <w:b/>
        </w:rPr>
        <w:lastRenderedPageBreak/>
        <w:t>Biocompatibility and Cell Proliferation Assays</w:t>
      </w:r>
    </w:p>
    <w:p w14:paraId="7F2F1F0A" w14:textId="7B09DDB9" w:rsidR="00ED7D44" w:rsidRPr="00AE1B1D" w:rsidRDefault="00ED7D44" w:rsidP="00ED7D44">
      <w:pPr>
        <w:pStyle w:val="Head1"/>
        <w:jc w:val="center"/>
      </w:pPr>
      <w:r w:rsidRPr="00AE1B1D">
        <w:rPr>
          <w:noProof/>
        </w:rPr>
        <w:drawing>
          <wp:inline distT="0" distB="0" distL="0" distR="0" wp14:anchorId="448BF958" wp14:editId="48C3BC84">
            <wp:extent cx="5100938" cy="4453200"/>
            <wp:effectExtent l="0" t="0" r="508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7b.tif"/>
                    <pic:cNvPicPr/>
                  </pic:nvPicPr>
                  <pic:blipFill>
                    <a:blip r:embed="rId26">
                      <a:extLst>
                        <a:ext uri="{28A0092B-C50C-407E-A947-70E740481C1C}">
                          <a14:useLocalDpi xmlns:a14="http://schemas.microsoft.com/office/drawing/2010/main" val="0"/>
                        </a:ext>
                      </a:extLst>
                    </a:blip>
                    <a:stretch>
                      <a:fillRect/>
                    </a:stretch>
                  </pic:blipFill>
                  <pic:spPr>
                    <a:xfrm>
                      <a:off x="0" y="0"/>
                      <a:ext cx="5100938" cy="4453200"/>
                    </a:xfrm>
                    <a:prstGeom prst="rect">
                      <a:avLst/>
                    </a:prstGeom>
                  </pic:spPr>
                </pic:pic>
              </a:graphicData>
            </a:graphic>
          </wp:inline>
        </w:drawing>
      </w:r>
    </w:p>
    <w:p w14:paraId="7EE376A1" w14:textId="1B07CF48" w:rsidR="00134C13" w:rsidRPr="00AE1B1D" w:rsidRDefault="00134C13" w:rsidP="00134C13">
      <w:pPr>
        <w:pStyle w:val="Legenda"/>
        <w:spacing w:after="240"/>
        <w:jc w:val="both"/>
        <w:rPr>
          <w:i w:val="0"/>
          <w:color w:val="auto"/>
          <w:sz w:val="24"/>
          <w:szCs w:val="24"/>
          <w:lang w:eastAsia="en-US"/>
        </w:rPr>
      </w:pPr>
      <w:r w:rsidRPr="00AE1B1D">
        <w:rPr>
          <w:b/>
          <w:i w:val="0"/>
          <w:color w:val="auto"/>
          <w:sz w:val="24"/>
          <w:szCs w:val="24"/>
        </w:rPr>
        <w:t>Figure S</w:t>
      </w:r>
      <w:r w:rsidR="004C5A83" w:rsidRPr="00AE1B1D">
        <w:rPr>
          <w:b/>
          <w:i w:val="0"/>
          <w:color w:val="auto"/>
          <w:sz w:val="24"/>
          <w:szCs w:val="24"/>
        </w:rPr>
        <w:t>8</w:t>
      </w:r>
      <w:r w:rsidRPr="00AE1B1D">
        <w:rPr>
          <w:b/>
          <w:i w:val="0"/>
          <w:color w:val="auto"/>
          <w:sz w:val="24"/>
          <w:szCs w:val="24"/>
        </w:rPr>
        <w:t>.</w:t>
      </w:r>
      <w:r w:rsidRPr="00AE1B1D">
        <w:rPr>
          <w:i w:val="0"/>
          <w:color w:val="auto"/>
          <w:sz w:val="24"/>
          <w:szCs w:val="24"/>
          <w:lang w:eastAsia="en-US"/>
        </w:rPr>
        <w:t xml:space="preserve"> Characterization of </w:t>
      </w:r>
      <w:r w:rsidR="00ED7D44" w:rsidRPr="00AE1B1D">
        <w:rPr>
          <w:i w:val="0"/>
          <w:color w:val="auto"/>
          <w:sz w:val="24"/>
          <w:szCs w:val="24"/>
          <w:lang w:eastAsia="en-US"/>
        </w:rPr>
        <w:t xml:space="preserve">free Naringin </w:t>
      </w:r>
      <w:r w:rsidR="00ED7D44" w:rsidRPr="00AE1B1D">
        <w:rPr>
          <w:b/>
          <w:i w:val="0"/>
          <w:color w:val="auto"/>
          <w:sz w:val="24"/>
          <w:szCs w:val="24"/>
          <w:lang w:eastAsia="en-US"/>
        </w:rPr>
        <w:t>(A)</w:t>
      </w:r>
      <w:r w:rsidR="00ED7D44" w:rsidRPr="00AE1B1D">
        <w:rPr>
          <w:i w:val="0"/>
          <w:color w:val="auto"/>
          <w:sz w:val="24"/>
          <w:szCs w:val="24"/>
          <w:lang w:eastAsia="en-US"/>
        </w:rPr>
        <w:t xml:space="preserve">, </w:t>
      </w:r>
      <w:r w:rsidRPr="00AE1B1D">
        <w:rPr>
          <w:i w:val="0"/>
          <w:color w:val="auto"/>
          <w:sz w:val="24"/>
          <w:szCs w:val="24"/>
          <w:lang w:eastAsia="en-US"/>
        </w:rPr>
        <w:t xml:space="preserve">blank </w:t>
      </w:r>
      <w:r w:rsidR="00ED7D44" w:rsidRPr="00AE1B1D">
        <w:rPr>
          <w:b/>
          <w:i w:val="0"/>
          <w:color w:val="auto"/>
          <w:sz w:val="24"/>
          <w:szCs w:val="24"/>
          <w:lang w:eastAsia="en-US"/>
        </w:rPr>
        <w:t>(B)</w:t>
      </w:r>
      <w:r w:rsidR="00ED7D44" w:rsidRPr="00AE1B1D">
        <w:rPr>
          <w:i w:val="0"/>
          <w:color w:val="auto"/>
          <w:sz w:val="24"/>
          <w:szCs w:val="24"/>
          <w:lang w:eastAsia="en-US"/>
        </w:rPr>
        <w:t xml:space="preserve"> and Naringin-loaded </w:t>
      </w:r>
      <w:r w:rsidRPr="00AE1B1D">
        <w:rPr>
          <w:i w:val="0"/>
          <w:color w:val="auto"/>
          <w:sz w:val="24"/>
          <w:szCs w:val="24"/>
          <w:lang w:eastAsia="en-US"/>
        </w:rPr>
        <w:t>mPEG-MS-PLA micelles</w:t>
      </w:r>
      <w:r w:rsidR="00ED7D44" w:rsidRPr="00AE1B1D">
        <w:rPr>
          <w:b/>
          <w:i w:val="0"/>
          <w:color w:val="auto"/>
          <w:sz w:val="24"/>
          <w:szCs w:val="24"/>
          <w:lang w:eastAsia="en-US"/>
        </w:rPr>
        <w:t xml:space="preserve"> (C</w:t>
      </w:r>
      <w:r w:rsidRPr="00AE1B1D">
        <w:rPr>
          <w:b/>
          <w:i w:val="0"/>
          <w:color w:val="auto"/>
          <w:sz w:val="24"/>
          <w:szCs w:val="24"/>
          <w:lang w:eastAsia="en-US"/>
        </w:rPr>
        <w:t xml:space="preserve">) </w:t>
      </w:r>
      <w:r w:rsidRPr="00AE1B1D">
        <w:rPr>
          <w:i w:val="0"/>
          <w:color w:val="auto"/>
          <w:sz w:val="24"/>
          <w:szCs w:val="24"/>
          <w:lang w:eastAsia="en-US"/>
        </w:rPr>
        <w:t xml:space="preserve">effect in </w:t>
      </w:r>
      <w:proofErr w:type="spellStart"/>
      <w:r w:rsidRPr="00AE1B1D">
        <w:rPr>
          <w:i w:val="0"/>
          <w:color w:val="auto"/>
          <w:sz w:val="24"/>
          <w:szCs w:val="24"/>
          <w:lang w:eastAsia="en-US"/>
        </w:rPr>
        <w:t>hASCs</w:t>
      </w:r>
      <w:proofErr w:type="spellEnd"/>
      <w:r w:rsidRPr="00AE1B1D">
        <w:rPr>
          <w:i w:val="0"/>
          <w:color w:val="auto"/>
          <w:sz w:val="24"/>
          <w:szCs w:val="24"/>
          <w:lang w:eastAsia="en-US"/>
        </w:rPr>
        <w:t xml:space="preserve"> cell viability following incubation at different time points. BM represents basal medium negative cytotoxicity (K-) control. Data </w:t>
      </w:r>
      <w:r w:rsidR="00215C13" w:rsidRPr="00AE1B1D">
        <w:rPr>
          <w:i w:val="0"/>
          <w:color w:val="auto"/>
          <w:sz w:val="24"/>
          <w:szCs w:val="24"/>
          <w:lang w:eastAsia="en-US"/>
        </w:rPr>
        <w:t xml:space="preserve">is </w:t>
      </w:r>
      <w:r w:rsidRPr="00AE1B1D">
        <w:rPr>
          <w:i w:val="0"/>
          <w:color w:val="auto"/>
          <w:sz w:val="24"/>
          <w:szCs w:val="24"/>
          <w:lang w:eastAsia="en-US"/>
        </w:rPr>
        <w:t xml:space="preserve">represented as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Pr="00AE1B1D">
        <w:rPr>
          <w:i w:val="0"/>
          <w:color w:val="auto"/>
          <w:sz w:val="24"/>
          <w:szCs w:val="24"/>
          <w:lang w:eastAsia="en-US"/>
        </w:rPr>
        <w:t>=5).</w:t>
      </w:r>
      <w:r w:rsidR="00A21F52" w:rsidRPr="00AE1B1D">
        <w:rPr>
          <w:i w:val="0"/>
          <w:color w:val="auto"/>
          <w:sz w:val="24"/>
          <w:szCs w:val="24"/>
          <w:lang w:eastAsia="en-US"/>
        </w:rPr>
        <w:t xml:space="preserve"> </w:t>
      </w:r>
      <w:proofErr w:type="spellStart"/>
      <w:r w:rsidR="00A21F52" w:rsidRPr="00AE1B1D">
        <w:rPr>
          <w:i w:val="0"/>
          <w:color w:val="auto"/>
          <w:sz w:val="24"/>
          <w:szCs w:val="24"/>
          <w:lang w:eastAsia="en-US"/>
        </w:rPr>
        <w:t>n.s</w:t>
      </w:r>
      <w:proofErr w:type="spellEnd"/>
      <w:r w:rsidR="00A21F52" w:rsidRPr="00AE1B1D">
        <w:rPr>
          <w:i w:val="0"/>
          <w:color w:val="auto"/>
          <w:sz w:val="24"/>
          <w:szCs w:val="24"/>
          <w:lang w:eastAsia="en-US"/>
        </w:rPr>
        <w:t>. stands for non-significant, *p &lt; 0.05.</w:t>
      </w:r>
    </w:p>
    <w:p w14:paraId="452DB8C0" w14:textId="417842ED" w:rsidR="000058AE" w:rsidRPr="00AE1B1D" w:rsidRDefault="009A4872" w:rsidP="00134C13">
      <w:pPr>
        <w:spacing w:after="240" w:line="480" w:lineRule="auto"/>
        <w:jc w:val="center"/>
        <w:rPr>
          <w:lang w:val="en-US" w:eastAsia="en-US"/>
        </w:rPr>
      </w:pPr>
      <w:r w:rsidRPr="00AE1B1D">
        <w:rPr>
          <w:noProof/>
          <w:lang w:val="en-US" w:eastAsia="en-US"/>
        </w:rPr>
        <w:drawing>
          <wp:inline distT="0" distB="0" distL="0" distR="0" wp14:anchorId="57809437" wp14:editId="13446235">
            <wp:extent cx="3524250" cy="2933700"/>
            <wp:effectExtent l="0" t="0" r="0" b="0"/>
            <wp:docPr id="16" name="Imagem 16" descr="Figure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S7"/>
                    <pic:cNvPicPr>
                      <a:picLocks noChangeAspect="1" noChangeArrowheads="1"/>
                    </pic:cNvPicPr>
                  </pic:nvPicPr>
                  <pic:blipFill>
                    <a:blip r:embed="rId27" cstate="print">
                      <a:extLst>
                        <a:ext uri="{28A0092B-C50C-407E-A947-70E740481C1C}">
                          <a14:useLocalDpi xmlns:a14="http://schemas.microsoft.com/office/drawing/2010/main" val="0"/>
                        </a:ext>
                      </a:extLst>
                    </a:blip>
                    <a:srcRect l="4636" t="6226" r="10927" b="5797"/>
                    <a:stretch>
                      <a:fillRect/>
                    </a:stretch>
                  </pic:blipFill>
                  <pic:spPr bwMode="auto">
                    <a:xfrm>
                      <a:off x="0" y="0"/>
                      <a:ext cx="3524250" cy="2933700"/>
                    </a:xfrm>
                    <a:prstGeom prst="rect">
                      <a:avLst/>
                    </a:prstGeom>
                    <a:noFill/>
                    <a:ln>
                      <a:noFill/>
                    </a:ln>
                  </pic:spPr>
                </pic:pic>
              </a:graphicData>
            </a:graphic>
          </wp:inline>
        </w:drawing>
      </w:r>
    </w:p>
    <w:p w14:paraId="061565D6" w14:textId="08A9C10E" w:rsidR="00134C13" w:rsidRPr="00AE1B1D" w:rsidRDefault="00134C13" w:rsidP="00134C13">
      <w:pPr>
        <w:pStyle w:val="Legenda"/>
        <w:spacing w:after="240"/>
        <w:jc w:val="both"/>
        <w:rPr>
          <w:i w:val="0"/>
          <w:color w:val="auto"/>
          <w:sz w:val="24"/>
          <w:szCs w:val="24"/>
          <w:lang w:eastAsia="en-US"/>
        </w:rPr>
      </w:pPr>
      <w:bookmarkStart w:id="14" w:name="_Toc500090054"/>
      <w:r w:rsidRPr="00AE1B1D">
        <w:rPr>
          <w:b/>
          <w:i w:val="0"/>
          <w:color w:val="auto"/>
          <w:sz w:val="24"/>
          <w:szCs w:val="24"/>
        </w:rPr>
        <w:lastRenderedPageBreak/>
        <w:t>Figure S</w:t>
      </w:r>
      <w:r w:rsidR="004C5A83" w:rsidRPr="00AE1B1D">
        <w:rPr>
          <w:b/>
          <w:i w:val="0"/>
          <w:color w:val="auto"/>
          <w:sz w:val="24"/>
          <w:szCs w:val="24"/>
        </w:rPr>
        <w:t>9</w:t>
      </w:r>
      <w:r w:rsidRPr="00AE1B1D">
        <w:rPr>
          <w:b/>
          <w:i w:val="0"/>
          <w:color w:val="auto"/>
          <w:sz w:val="24"/>
          <w:szCs w:val="24"/>
        </w:rPr>
        <w:t>.</w:t>
      </w:r>
      <w:r w:rsidRPr="00AE1B1D">
        <w:rPr>
          <w:i w:val="0"/>
          <w:color w:val="auto"/>
          <w:sz w:val="24"/>
          <w:szCs w:val="24"/>
          <w:lang w:eastAsia="en-US"/>
        </w:rPr>
        <w:t xml:space="preserve"> Effect of free Naringin on the proliferation of </w:t>
      </w:r>
      <w:proofErr w:type="spellStart"/>
      <w:r w:rsidRPr="00AE1B1D">
        <w:rPr>
          <w:i w:val="0"/>
          <w:color w:val="auto"/>
          <w:sz w:val="24"/>
          <w:szCs w:val="24"/>
          <w:lang w:eastAsia="en-US"/>
        </w:rPr>
        <w:t>hASCs</w:t>
      </w:r>
      <w:proofErr w:type="spellEnd"/>
      <w:r w:rsidRPr="00AE1B1D">
        <w:rPr>
          <w:i w:val="0"/>
          <w:color w:val="auto"/>
          <w:sz w:val="24"/>
          <w:szCs w:val="24"/>
          <w:lang w:eastAsia="en-US"/>
        </w:rPr>
        <w:t xml:space="preserve"> relative to the negative control, basal medium (BM)</w:t>
      </w:r>
      <w:r w:rsidR="00B54B56" w:rsidRPr="00AE1B1D">
        <w:rPr>
          <w:i w:val="0"/>
          <w:color w:val="auto"/>
          <w:sz w:val="24"/>
          <w:szCs w:val="24"/>
          <w:lang w:eastAsia="en-US"/>
        </w:rPr>
        <w:t xml:space="preserve"> after </w:t>
      </w:r>
      <w:r w:rsidRPr="00AE1B1D">
        <w:rPr>
          <w:i w:val="0"/>
          <w:color w:val="auto"/>
          <w:sz w:val="24"/>
          <w:szCs w:val="24"/>
          <w:lang w:eastAsia="en-US"/>
        </w:rPr>
        <w:t xml:space="preserve">to 24, 48 and 72 h of incubation. Data is represented as mean ± </w:t>
      </w:r>
      <w:proofErr w:type="spellStart"/>
      <w:r w:rsidRPr="00AE1B1D">
        <w:rPr>
          <w:i w:val="0"/>
          <w:color w:val="auto"/>
          <w:sz w:val="24"/>
          <w:szCs w:val="24"/>
          <w:lang w:eastAsia="en-US"/>
        </w:rPr>
        <w:t>s.d.</w:t>
      </w:r>
      <w:proofErr w:type="spellEnd"/>
      <w:r w:rsidRPr="00AE1B1D">
        <w:rPr>
          <w:i w:val="0"/>
          <w:color w:val="auto"/>
          <w:sz w:val="24"/>
          <w:szCs w:val="24"/>
          <w:lang w:eastAsia="en-US"/>
        </w:rPr>
        <w:t xml:space="preserve"> (</w:t>
      </w:r>
      <w:r w:rsidRPr="00AE1B1D">
        <w:rPr>
          <w:color w:val="auto"/>
          <w:sz w:val="24"/>
          <w:szCs w:val="24"/>
          <w:lang w:eastAsia="en-US"/>
        </w:rPr>
        <w:t>n</w:t>
      </w:r>
      <w:r w:rsidRPr="00AE1B1D">
        <w:rPr>
          <w:i w:val="0"/>
          <w:color w:val="auto"/>
          <w:sz w:val="24"/>
          <w:szCs w:val="24"/>
          <w:lang w:eastAsia="en-US"/>
        </w:rPr>
        <w:t>=5).</w:t>
      </w:r>
      <w:bookmarkEnd w:id="14"/>
      <w:r w:rsidR="00B54B56" w:rsidRPr="00AE1B1D">
        <w:rPr>
          <w:i w:val="0"/>
          <w:color w:val="auto"/>
          <w:sz w:val="24"/>
          <w:szCs w:val="24"/>
          <w:lang w:eastAsia="en-US"/>
        </w:rPr>
        <w:t xml:space="preserve"> *p &lt; 0.05.</w:t>
      </w:r>
    </w:p>
    <w:p w14:paraId="7DF06C2D" w14:textId="77777777" w:rsidR="00134C13" w:rsidRPr="00AE1B1D" w:rsidRDefault="00134C13" w:rsidP="00CE1242">
      <w:pPr>
        <w:pStyle w:val="Head1"/>
      </w:pPr>
      <w:r w:rsidRPr="00AE1B1D">
        <w:t>Cytotoxicity Assay for Naringin Dose Regimen Studies</w:t>
      </w:r>
    </w:p>
    <w:p w14:paraId="0B72E559" w14:textId="57AAE66A" w:rsidR="0024131D" w:rsidRPr="00AE1B1D" w:rsidRDefault="009A4872" w:rsidP="00134C13">
      <w:pPr>
        <w:pStyle w:val="Legend"/>
        <w:spacing w:after="120" w:line="480" w:lineRule="auto"/>
        <w:jc w:val="center"/>
      </w:pPr>
      <w:r w:rsidRPr="00AE1B1D">
        <w:rPr>
          <w:noProof/>
        </w:rPr>
        <w:drawing>
          <wp:inline distT="0" distB="0" distL="0" distR="0" wp14:anchorId="7AC2E6FB" wp14:editId="0288DDA0">
            <wp:extent cx="3924300" cy="3257550"/>
            <wp:effectExtent l="0" t="0" r="0" b="0"/>
            <wp:docPr id="17" name="Imagem 17" descr="Figure 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S8"/>
                    <pic:cNvPicPr>
                      <a:picLocks noChangeAspect="1" noChangeArrowheads="1"/>
                    </pic:cNvPicPr>
                  </pic:nvPicPr>
                  <pic:blipFill>
                    <a:blip r:embed="rId28" cstate="print">
                      <a:extLst>
                        <a:ext uri="{28A0092B-C50C-407E-A947-70E740481C1C}">
                          <a14:useLocalDpi xmlns:a14="http://schemas.microsoft.com/office/drawing/2010/main" val="0"/>
                        </a:ext>
                      </a:extLst>
                    </a:blip>
                    <a:srcRect l="4021" t="5482" r="10139" b="5045"/>
                    <a:stretch>
                      <a:fillRect/>
                    </a:stretch>
                  </pic:blipFill>
                  <pic:spPr bwMode="auto">
                    <a:xfrm>
                      <a:off x="0" y="0"/>
                      <a:ext cx="3924300" cy="3257550"/>
                    </a:xfrm>
                    <a:prstGeom prst="rect">
                      <a:avLst/>
                    </a:prstGeom>
                    <a:noFill/>
                    <a:ln>
                      <a:noFill/>
                    </a:ln>
                  </pic:spPr>
                </pic:pic>
              </a:graphicData>
            </a:graphic>
          </wp:inline>
        </w:drawing>
      </w:r>
    </w:p>
    <w:p w14:paraId="51D5497E" w14:textId="635D6DC8" w:rsidR="00134C13" w:rsidRPr="00AE1B1D" w:rsidRDefault="00134C13" w:rsidP="00134C13">
      <w:pPr>
        <w:pStyle w:val="Legend"/>
        <w:jc w:val="both"/>
        <w:rPr>
          <w:lang w:eastAsia="en-US"/>
        </w:rPr>
      </w:pPr>
      <w:r w:rsidRPr="00AE1B1D">
        <w:rPr>
          <w:b/>
        </w:rPr>
        <w:t>Figure S</w:t>
      </w:r>
      <w:r w:rsidR="004C5A83" w:rsidRPr="00AE1B1D">
        <w:rPr>
          <w:b/>
        </w:rPr>
        <w:t>10</w:t>
      </w:r>
      <w:r w:rsidRPr="00AE1B1D">
        <w:rPr>
          <w:b/>
        </w:rPr>
        <w:t>.</w:t>
      </w:r>
      <w:r w:rsidRPr="00AE1B1D">
        <w:rPr>
          <w:lang w:eastAsia="en-US"/>
        </w:rPr>
        <w:t xml:space="preserve"> Quantification of dsDNA content after One dose and Two dose free Naringin regimen experiments, normalized to </w:t>
      </w:r>
      <w:proofErr w:type="spellStart"/>
      <w:r w:rsidR="0024131D" w:rsidRPr="00AE1B1D">
        <w:rPr>
          <w:lang w:eastAsia="en-US"/>
        </w:rPr>
        <w:t>rOS</w:t>
      </w:r>
      <w:proofErr w:type="spellEnd"/>
      <w:r w:rsidR="0024131D" w:rsidRPr="00AE1B1D">
        <w:rPr>
          <w:lang w:eastAsia="en-US"/>
        </w:rPr>
        <w:t xml:space="preserve"> control group. </w:t>
      </w:r>
      <w:proofErr w:type="spellStart"/>
      <w:r w:rsidRPr="00AE1B1D">
        <w:rPr>
          <w:lang w:eastAsia="en-US"/>
        </w:rPr>
        <w:t>rOS</w:t>
      </w:r>
      <w:proofErr w:type="spellEnd"/>
      <w:r w:rsidRPr="00AE1B1D">
        <w:rPr>
          <w:lang w:eastAsia="en-US"/>
        </w:rPr>
        <w:t xml:space="preserve"> represents the osteogenic control group. Data </w:t>
      </w:r>
      <w:r w:rsidR="0024131D" w:rsidRPr="00AE1B1D">
        <w:rPr>
          <w:lang w:eastAsia="en-US"/>
        </w:rPr>
        <w:t xml:space="preserve">is </w:t>
      </w:r>
      <w:r w:rsidRPr="00AE1B1D">
        <w:rPr>
          <w:lang w:eastAsia="en-US"/>
        </w:rPr>
        <w:t xml:space="preserve">represented as mean ± </w:t>
      </w:r>
      <w:proofErr w:type="spellStart"/>
      <w:r w:rsidRPr="00AE1B1D">
        <w:rPr>
          <w:lang w:eastAsia="en-US"/>
        </w:rPr>
        <w:t>s.d.</w:t>
      </w:r>
      <w:proofErr w:type="spellEnd"/>
      <w:r w:rsidRPr="00AE1B1D">
        <w:rPr>
          <w:lang w:eastAsia="en-US"/>
        </w:rPr>
        <w:t xml:space="preserve"> (</w:t>
      </w:r>
      <w:r w:rsidRPr="00AE1B1D">
        <w:rPr>
          <w:i/>
          <w:lang w:eastAsia="en-US"/>
        </w:rPr>
        <w:t>n</w:t>
      </w:r>
      <w:r w:rsidRPr="00AE1B1D">
        <w:rPr>
          <w:lang w:eastAsia="en-US"/>
        </w:rPr>
        <w:t>=4).</w:t>
      </w:r>
      <w:r w:rsidR="0024131D" w:rsidRPr="00AE1B1D">
        <w:rPr>
          <w:lang w:eastAsia="en-US"/>
        </w:rPr>
        <w:t xml:space="preserve"> </w:t>
      </w:r>
      <w:proofErr w:type="spellStart"/>
      <w:r w:rsidR="0024131D" w:rsidRPr="00AE1B1D">
        <w:rPr>
          <w:lang w:eastAsia="en-US"/>
        </w:rPr>
        <w:t>n.s</w:t>
      </w:r>
      <w:proofErr w:type="spellEnd"/>
      <w:r w:rsidR="0024131D" w:rsidRPr="00AE1B1D">
        <w:rPr>
          <w:lang w:eastAsia="en-US"/>
        </w:rPr>
        <w:t>. stands for non-significant.</w:t>
      </w:r>
    </w:p>
    <w:p w14:paraId="6A40441C" w14:textId="1EB8A6BE" w:rsidR="00E83F47" w:rsidRPr="00AE1B1D" w:rsidRDefault="00B55A3B" w:rsidP="00B55A3B">
      <w:pPr>
        <w:pStyle w:val="Legend"/>
        <w:spacing w:line="480" w:lineRule="auto"/>
        <w:jc w:val="center"/>
      </w:pPr>
      <w:r w:rsidRPr="00AE1B1D">
        <w:rPr>
          <w:noProof/>
        </w:rPr>
        <w:drawing>
          <wp:inline distT="0" distB="0" distL="0" distR="0" wp14:anchorId="7A0D6391" wp14:editId="5DA837E0">
            <wp:extent cx="3657600" cy="2815747"/>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7969" cy="2823729"/>
                    </a:xfrm>
                    <a:prstGeom prst="rect">
                      <a:avLst/>
                    </a:prstGeom>
                    <a:noFill/>
                    <a:ln>
                      <a:noFill/>
                    </a:ln>
                  </pic:spPr>
                </pic:pic>
              </a:graphicData>
            </a:graphic>
          </wp:inline>
        </w:drawing>
      </w:r>
    </w:p>
    <w:p w14:paraId="2ACF75BB" w14:textId="2A7484AD" w:rsidR="00370D7F" w:rsidRPr="00AE1B1D" w:rsidRDefault="00370D7F" w:rsidP="00B55A3B">
      <w:pPr>
        <w:pStyle w:val="Legend"/>
        <w:jc w:val="both"/>
      </w:pPr>
      <w:r w:rsidRPr="00AE1B1D">
        <w:rPr>
          <w:b/>
        </w:rPr>
        <w:t>Figure S11.</w:t>
      </w:r>
      <w:r w:rsidRPr="00AE1B1D">
        <w:rPr>
          <w:lang w:eastAsia="en-US"/>
        </w:rPr>
        <w:t xml:space="preserve"> Naringin-loaded micelles induced BMP-2 secretion in </w:t>
      </w:r>
      <w:proofErr w:type="spellStart"/>
      <w:r w:rsidRPr="00AE1B1D">
        <w:rPr>
          <w:lang w:eastAsia="en-US"/>
        </w:rPr>
        <w:t>hASCs</w:t>
      </w:r>
      <w:proofErr w:type="spellEnd"/>
      <w:r w:rsidRPr="00AE1B1D">
        <w:rPr>
          <w:lang w:eastAsia="en-US"/>
        </w:rPr>
        <w:t xml:space="preserve"> at 14 and 21 days, after incubation with </w:t>
      </w:r>
      <w:r w:rsidR="00C144DE" w:rsidRPr="00AE1B1D">
        <w:rPr>
          <w:lang w:eastAsia="en-US"/>
        </w:rPr>
        <w:t>osteogenic differen</w:t>
      </w:r>
      <w:r w:rsidRPr="00AE1B1D">
        <w:rPr>
          <w:lang w:eastAsia="en-US"/>
        </w:rPr>
        <w:t>tiation medium (</w:t>
      </w:r>
      <w:proofErr w:type="spellStart"/>
      <w:r w:rsidR="00095A65" w:rsidRPr="00AE1B1D">
        <w:rPr>
          <w:lang w:eastAsia="en-US"/>
        </w:rPr>
        <w:t>r</w:t>
      </w:r>
      <w:r w:rsidRPr="00AE1B1D">
        <w:rPr>
          <w:lang w:eastAsia="en-US"/>
        </w:rPr>
        <w:t>OS</w:t>
      </w:r>
      <w:proofErr w:type="spellEnd"/>
      <w:r w:rsidRPr="00AE1B1D">
        <w:rPr>
          <w:lang w:eastAsia="en-US"/>
        </w:rPr>
        <w:t>) control group and with</w:t>
      </w:r>
      <w:r w:rsidR="00095A65" w:rsidRPr="00AE1B1D">
        <w:rPr>
          <w:lang w:eastAsia="en-US"/>
        </w:rPr>
        <w:t xml:space="preserve"> different</w:t>
      </w:r>
      <w:r w:rsidRPr="00AE1B1D">
        <w:rPr>
          <w:lang w:eastAsia="en-US"/>
        </w:rPr>
        <w:t xml:space="preserve"> Naringin doses. Cumulative BMP-2 levels were normalized to DNA content. Data is represented as mean ± </w:t>
      </w:r>
      <w:proofErr w:type="spellStart"/>
      <w:r w:rsidRPr="00AE1B1D">
        <w:rPr>
          <w:lang w:eastAsia="en-US"/>
        </w:rPr>
        <w:t>s.d.</w:t>
      </w:r>
      <w:proofErr w:type="spellEnd"/>
      <w:r w:rsidRPr="00AE1B1D">
        <w:rPr>
          <w:lang w:eastAsia="en-US"/>
        </w:rPr>
        <w:t xml:space="preserve"> (</w:t>
      </w:r>
      <w:r w:rsidRPr="00AE1B1D">
        <w:rPr>
          <w:i/>
          <w:lang w:eastAsia="en-US"/>
        </w:rPr>
        <w:t>n</w:t>
      </w:r>
      <w:r w:rsidRPr="00AE1B1D">
        <w:rPr>
          <w:lang w:eastAsia="en-US"/>
        </w:rPr>
        <w:t>=3). *p &lt; 0.05</w:t>
      </w:r>
      <w:r w:rsidR="00B55A3B" w:rsidRPr="00AE1B1D">
        <w:rPr>
          <w:lang w:eastAsia="en-US"/>
        </w:rPr>
        <w:t>.</w:t>
      </w:r>
    </w:p>
    <w:p w14:paraId="5C049EF8" w14:textId="337B5503" w:rsidR="00134C13" w:rsidRPr="00AE1B1D" w:rsidRDefault="00B55A3B" w:rsidP="00134C13">
      <w:pPr>
        <w:pStyle w:val="Legend"/>
        <w:spacing w:after="240" w:line="480" w:lineRule="auto"/>
        <w:jc w:val="both"/>
        <w:rPr>
          <w:b/>
        </w:rPr>
      </w:pPr>
      <w:r w:rsidRPr="00AE1B1D">
        <w:br w:type="column"/>
      </w:r>
      <w:r w:rsidR="00134C13" w:rsidRPr="00AE1B1D">
        <w:rPr>
          <w:b/>
        </w:rPr>
        <w:lastRenderedPageBreak/>
        <w:t>References:</w:t>
      </w:r>
    </w:p>
    <w:p w14:paraId="38538176"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[1]</w:t>
      </w:r>
      <w:r w:rsidRPr="00AE1B1D">
        <w:rPr>
          <w:noProof/>
        </w:rPr>
        <w:tab/>
        <w:t xml:space="preserve">S. D. Fontaine, R. Reid, L. Robinson, G. W. Ashley, D. V. Santi, </w:t>
      </w:r>
      <w:r w:rsidRPr="00AE1B1D">
        <w:rPr>
          <w:i/>
          <w:iCs/>
          <w:noProof/>
        </w:rPr>
        <w:t>Bioconjug. Chem.</w:t>
      </w:r>
      <w:r w:rsidRPr="00AE1B1D">
        <w:rPr>
          <w:noProof/>
        </w:rPr>
        <w:t xml:space="preserve"> </w:t>
      </w:r>
      <w:r w:rsidRPr="00AE1B1D">
        <w:rPr>
          <w:b/>
          <w:bCs/>
          <w:noProof/>
        </w:rPr>
        <w:t>2015</w:t>
      </w:r>
      <w:r w:rsidRPr="00AE1B1D">
        <w:rPr>
          <w:noProof/>
        </w:rPr>
        <w:t xml:space="preserve">, </w:t>
      </w:r>
      <w:r w:rsidRPr="00AE1B1D">
        <w:rPr>
          <w:i/>
          <w:iCs/>
          <w:noProof/>
        </w:rPr>
        <w:t>26</w:t>
      </w:r>
      <w:r w:rsidRPr="00AE1B1D">
        <w:rPr>
          <w:noProof/>
        </w:rPr>
        <w:t>, 145.</w:t>
      </w:r>
    </w:p>
    <w:p w14:paraId="769A5EE2"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[2]</w:t>
      </w:r>
      <w:r w:rsidRPr="00AE1B1D">
        <w:rPr>
          <w:noProof/>
        </w:rPr>
        <w:tab/>
        <w:t xml:space="preserve">O. Mert, E. Doganci, H. Y. Erbil,  a S. Demir, </w:t>
      </w:r>
      <w:r w:rsidRPr="00AE1B1D">
        <w:rPr>
          <w:i/>
          <w:iCs/>
          <w:noProof/>
        </w:rPr>
        <w:t>Langmuir</w:t>
      </w:r>
      <w:r w:rsidRPr="00AE1B1D">
        <w:rPr>
          <w:noProof/>
        </w:rPr>
        <w:t xml:space="preserve"> </w:t>
      </w:r>
      <w:r w:rsidRPr="00AE1B1D">
        <w:rPr>
          <w:b/>
          <w:bCs/>
          <w:noProof/>
        </w:rPr>
        <w:t>2008</w:t>
      </w:r>
      <w:r w:rsidRPr="00AE1B1D">
        <w:rPr>
          <w:noProof/>
        </w:rPr>
        <w:t xml:space="preserve">, </w:t>
      </w:r>
      <w:r w:rsidRPr="00AE1B1D">
        <w:rPr>
          <w:i/>
          <w:iCs/>
          <w:noProof/>
        </w:rPr>
        <w:t>24</w:t>
      </w:r>
      <w:r w:rsidRPr="00AE1B1D">
        <w:rPr>
          <w:noProof/>
        </w:rPr>
        <w:t>, 749.</w:t>
      </w:r>
    </w:p>
    <w:p w14:paraId="1B370E32"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[3]</w:t>
      </w:r>
      <w:r w:rsidRPr="00AE1B1D">
        <w:rPr>
          <w:noProof/>
        </w:rPr>
        <w:tab/>
        <w:t xml:space="preserve">K. Boua-In, N. Chaiyut, B. Ksapabutr, </w:t>
      </w:r>
      <w:r w:rsidRPr="00AE1B1D">
        <w:rPr>
          <w:i/>
          <w:iCs/>
          <w:noProof/>
        </w:rPr>
        <w:t>Optoelectron. Adv. Mater. Rapid Commun.</w:t>
      </w:r>
      <w:r w:rsidRPr="00AE1B1D">
        <w:rPr>
          <w:noProof/>
        </w:rPr>
        <w:t xml:space="preserve"> </w:t>
      </w:r>
      <w:r w:rsidRPr="00AE1B1D">
        <w:rPr>
          <w:b/>
          <w:bCs/>
          <w:noProof/>
        </w:rPr>
        <w:t>2010</w:t>
      </w:r>
      <w:r w:rsidRPr="00AE1B1D">
        <w:rPr>
          <w:noProof/>
        </w:rPr>
        <w:t xml:space="preserve">, </w:t>
      </w:r>
      <w:r w:rsidRPr="00AE1B1D">
        <w:rPr>
          <w:i/>
          <w:iCs/>
          <w:noProof/>
        </w:rPr>
        <w:t>4</w:t>
      </w:r>
      <w:r w:rsidRPr="00AE1B1D">
        <w:rPr>
          <w:noProof/>
        </w:rPr>
        <w:t>, 1404.</w:t>
      </w:r>
    </w:p>
    <w:p w14:paraId="2A286503"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[4]</w:t>
      </w:r>
      <w:r w:rsidRPr="00AE1B1D">
        <w:rPr>
          <w:noProof/>
        </w:rPr>
        <w:tab/>
        <w:t xml:space="preserve">A. Cunningham, J. K. Oh, </w:t>
      </w:r>
      <w:r w:rsidRPr="00AE1B1D">
        <w:rPr>
          <w:i/>
          <w:iCs/>
          <w:noProof/>
        </w:rPr>
        <w:t>Macromol. Rapid Commun.</w:t>
      </w:r>
      <w:r w:rsidRPr="00AE1B1D">
        <w:rPr>
          <w:noProof/>
        </w:rPr>
        <w:t xml:space="preserve"> </w:t>
      </w:r>
      <w:r w:rsidRPr="00AE1B1D">
        <w:rPr>
          <w:b/>
          <w:bCs/>
          <w:noProof/>
        </w:rPr>
        <w:t>2013</w:t>
      </w:r>
      <w:r w:rsidRPr="00AE1B1D">
        <w:rPr>
          <w:noProof/>
        </w:rPr>
        <w:t xml:space="preserve">, </w:t>
      </w:r>
      <w:r w:rsidRPr="00AE1B1D">
        <w:rPr>
          <w:i/>
          <w:iCs/>
          <w:noProof/>
        </w:rPr>
        <w:t>34</w:t>
      </w:r>
      <w:r w:rsidRPr="00AE1B1D">
        <w:rPr>
          <w:noProof/>
        </w:rPr>
        <w:t>, 163.</w:t>
      </w:r>
    </w:p>
    <w:p w14:paraId="6AB7FD8D"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[5]</w:t>
      </w:r>
      <w:r w:rsidRPr="00AE1B1D">
        <w:rPr>
          <w:noProof/>
        </w:rPr>
        <w:tab/>
        <w:t xml:space="preserve">Y. Zhou, W. Nie, J. Zhao, X. Yuan, </w:t>
      </w:r>
      <w:r w:rsidRPr="00AE1B1D">
        <w:rPr>
          <w:i/>
          <w:iCs/>
          <w:noProof/>
        </w:rPr>
        <w:t>J. Mater. Sci. Mater. Med.</w:t>
      </w:r>
      <w:r w:rsidRPr="00AE1B1D">
        <w:rPr>
          <w:noProof/>
        </w:rPr>
        <w:t xml:space="preserve"> </w:t>
      </w:r>
      <w:r w:rsidRPr="00AE1B1D">
        <w:rPr>
          <w:b/>
          <w:bCs/>
          <w:noProof/>
        </w:rPr>
        <w:t>2013</w:t>
      </w:r>
      <w:r w:rsidRPr="00AE1B1D">
        <w:rPr>
          <w:noProof/>
        </w:rPr>
        <w:t xml:space="preserve">, </w:t>
      </w:r>
      <w:r w:rsidRPr="00AE1B1D">
        <w:rPr>
          <w:i/>
          <w:iCs/>
          <w:noProof/>
        </w:rPr>
        <w:t>24</w:t>
      </w:r>
      <w:r w:rsidRPr="00AE1B1D">
        <w:rPr>
          <w:noProof/>
        </w:rPr>
        <w:t>, 2277.</w:t>
      </w:r>
    </w:p>
    <w:p w14:paraId="2F8705C8"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[6]</w:t>
      </w:r>
      <w:r w:rsidRPr="00AE1B1D">
        <w:rPr>
          <w:noProof/>
        </w:rPr>
        <w:tab/>
        <w:t xml:space="preserve">S. Pramanik, F. Ataollahi, B. Pingguan-Murphy, A. A. Oshkour, N. A. A. Osman, </w:t>
      </w:r>
      <w:r w:rsidRPr="00AE1B1D">
        <w:rPr>
          <w:i/>
          <w:iCs/>
          <w:noProof/>
        </w:rPr>
        <w:t>Sci. Rep.</w:t>
      </w:r>
      <w:r w:rsidRPr="00AE1B1D">
        <w:rPr>
          <w:noProof/>
        </w:rPr>
        <w:t xml:space="preserve"> </w:t>
      </w:r>
      <w:r w:rsidRPr="00AE1B1D">
        <w:rPr>
          <w:b/>
          <w:bCs/>
          <w:noProof/>
        </w:rPr>
        <w:t>2015</w:t>
      </w:r>
      <w:r w:rsidRPr="00AE1B1D">
        <w:rPr>
          <w:noProof/>
        </w:rPr>
        <w:t xml:space="preserve">, </w:t>
      </w:r>
      <w:r w:rsidRPr="00AE1B1D">
        <w:rPr>
          <w:i/>
          <w:iCs/>
          <w:noProof/>
        </w:rPr>
        <w:t>5</w:t>
      </w:r>
      <w:r w:rsidRPr="00AE1B1D">
        <w:rPr>
          <w:noProof/>
        </w:rPr>
        <w:t>, 9806.</w:t>
      </w:r>
    </w:p>
    <w:p w14:paraId="69F59149"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[7]</w:t>
      </w:r>
      <w:r w:rsidRPr="00AE1B1D">
        <w:rPr>
          <w:noProof/>
        </w:rPr>
        <w:tab/>
        <w:t xml:space="preserve">D. Garlotta, </w:t>
      </w:r>
      <w:r w:rsidRPr="00AE1B1D">
        <w:rPr>
          <w:i/>
          <w:iCs/>
          <w:noProof/>
        </w:rPr>
        <w:t>J. Polym. Environ.</w:t>
      </w:r>
      <w:r w:rsidRPr="00AE1B1D">
        <w:rPr>
          <w:noProof/>
        </w:rPr>
        <w:t xml:space="preserve"> </w:t>
      </w:r>
      <w:r w:rsidRPr="00AE1B1D">
        <w:rPr>
          <w:b/>
          <w:bCs/>
          <w:noProof/>
        </w:rPr>
        <w:t>2001</w:t>
      </w:r>
      <w:r w:rsidRPr="00AE1B1D">
        <w:rPr>
          <w:noProof/>
        </w:rPr>
        <w:t xml:space="preserve">, </w:t>
      </w:r>
      <w:r w:rsidRPr="00AE1B1D">
        <w:rPr>
          <w:i/>
          <w:iCs/>
          <w:noProof/>
        </w:rPr>
        <w:t>9</w:t>
      </w:r>
      <w:r w:rsidRPr="00AE1B1D">
        <w:rPr>
          <w:noProof/>
        </w:rPr>
        <w:t>, 63.</w:t>
      </w:r>
    </w:p>
    <w:p w14:paraId="0CD3903D"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[8]</w:t>
      </w:r>
      <w:r w:rsidRPr="00AE1B1D">
        <w:rPr>
          <w:noProof/>
        </w:rPr>
        <w:tab/>
        <w:t xml:space="preserve">C. Zeng, H. Seino, J. Ren, K. Hatanaka, N. Yoshie, </w:t>
      </w:r>
      <w:r w:rsidRPr="00AE1B1D">
        <w:rPr>
          <w:i/>
          <w:iCs/>
          <w:noProof/>
        </w:rPr>
        <w:t>Macromolecules</w:t>
      </w:r>
      <w:r w:rsidRPr="00AE1B1D">
        <w:rPr>
          <w:noProof/>
        </w:rPr>
        <w:t xml:space="preserve"> </w:t>
      </w:r>
      <w:r w:rsidRPr="00AE1B1D">
        <w:rPr>
          <w:b/>
          <w:bCs/>
          <w:noProof/>
        </w:rPr>
        <w:t>2013</w:t>
      </w:r>
      <w:r w:rsidRPr="00AE1B1D">
        <w:rPr>
          <w:noProof/>
        </w:rPr>
        <w:t xml:space="preserve">, </w:t>
      </w:r>
      <w:r w:rsidRPr="00AE1B1D">
        <w:rPr>
          <w:i/>
          <w:iCs/>
          <w:noProof/>
        </w:rPr>
        <w:t>46</w:t>
      </w:r>
      <w:r w:rsidRPr="00AE1B1D">
        <w:rPr>
          <w:noProof/>
        </w:rPr>
        <w:t>, 1794.</w:t>
      </w:r>
    </w:p>
    <w:p w14:paraId="2B512B29"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[9]</w:t>
      </w:r>
      <w:r w:rsidRPr="00AE1B1D">
        <w:rPr>
          <w:noProof/>
        </w:rPr>
        <w:tab/>
        <w:t xml:space="preserve">T. Oishi, M. Fujimoto, </w:t>
      </w:r>
      <w:r w:rsidRPr="00AE1B1D">
        <w:rPr>
          <w:i/>
          <w:iCs/>
          <w:noProof/>
        </w:rPr>
        <w:t>J. Macromol. Sci. Part A</w:t>
      </w:r>
      <w:r w:rsidRPr="00AE1B1D">
        <w:rPr>
          <w:noProof/>
        </w:rPr>
        <w:t xml:space="preserve"> </w:t>
      </w:r>
      <w:r w:rsidRPr="00AE1B1D">
        <w:rPr>
          <w:b/>
          <w:bCs/>
          <w:noProof/>
        </w:rPr>
        <w:t>1992</w:t>
      </w:r>
      <w:r w:rsidRPr="00AE1B1D">
        <w:rPr>
          <w:noProof/>
        </w:rPr>
        <w:t xml:space="preserve">, </w:t>
      </w:r>
      <w:r w:rsidRPr="00AE1B1D">
        <w:rPr>
          <w:i/>
          <w:iCs/>
          <w:noProof/>
        </w:rPr>
        <w:t>29</w:t>
      </w:r>
      <w:r w:rsidRPr="00AE1B1D">
        <w:rPr>
          <w:noProof/>
        </w:rPr>
        <w:t>, 1187.</w:t>
      </w:r>
    </w:p>
    <w:p w14:paraId="63F183CE" w14:textId="77777777" w:rsidR="00134C13" w:rsidRPr="00AE1B1D" w:rsidRDefault="00134C13" w:rsidP="00134C13">
      <w:pPr>
        <w:widowControl w:val="0"/>
        <w:autoSpaceDE w:val="0"/>
        <w:autoSpaceDN w:val="0"/>
        <w:adjustRightInd w:val="0"/>
        <w:spacing w:after="240" w:line="480" w:lineRule="auto"/>
        <w:ind w:left="640" w:hanging="640"/>
        <w:jc w:val="both"/>
        <w:rPr>
          <w:noProof/>
        </w:rPr>
      </w:pPr>
      <w:r w:rsidRPr="00AE1B1D">
        <w:rPr>
          <w:noProof/>
        </w:rPr>
        <w:t>[10]</w:t>
      </w:r>
      <w:r w:rsidRPr="00AE1B1D">
        <w:rPr>
          <w:noProof/>
        </w:rPr>
        <w:tab/>
        <w:t xml:space="preserve">D. K. Wang, S. Varanasi, P. M. Fredericks, D. J. T. Hill, A. L. Symons, A. K. Whittaker, F. Rasoul, </w:t>
      </w:r>
      <w:r w:rsidRPr="00AE1B1D">
        <w:rPr>
          <w:i/>
          <w:iCs/>
          <w:noProof/>
        </w:rPr>
        <w:t>J. Polym. Sci. Part A Polym. Chem.</w:t>
      </w:r>
      <w:r w:rsidRPr="00AE1B1D">
        <w:rPr>
          <w:noProof/>
        </w:rPr>
        <w:t xml:space="preserve"> </w:t>
      </w:r>
      <w:r w:rsidRPr="00AE1B1D">
        <w:rPr>
          <w:b/>
          <w:bCs/>
          <w:noProof/>
        </w:rPr>
        <w:t>2013</w:t>
      </w:r>
      <w:r w:rsidRPr="00AE1B1D">
        <w:rPr>
          <w:noProof/>
        </w:rPr>
        <w:t xml:space="preserve">, </w:t>
      </w:r>
      <w:r w:rsidRPr="00AE1B1D">
        <w:rPr>
          <w:i/>
          <w:iCs/>
          <w:noProof/>
        </w:rPr>
        <w:t>51</w:t>
      </w:r>
      <w:r w:rsidRPr="00AE1B1D">
        <w:rPr>
          <w:noProof/>
        </w:rPr>
        <w:t>, 5163.</w:t>
      </w:r>
    </w:p>
    <w:p w14:paraId="435A73B7" w14:textId="77777777" w:rsidR="00134C13" w:rsidRPr="00BD2F17" w:rsidRDefault="00134C13" w:rsidP="00134C13">
      <w:pPr>
        <w:widowControl w:val="0"/>
        <w:autoSpaceDE w:val="0"/>
        <w:autoSpaceDN w:val="0"/>
        <w:adjustRightInd w:val="0"/>
        <w:spacing w:after="240" w:line="480" w:lineRule="auto"/>
        <w:ind w:left="640" w:hanging="640"/>
        <w:jc w:val="both"/>
        <w:rPr>
          <w:noProof/>
        </w:rPr>
      </w:pPr>
      <w:r w:rsidRPr="00AE1B1D">
        <w:rPr>
          <w:noProof/>
        </w:rPr>
        <w:t>[11]</w:t>
      </w:r>
      <w:r w:rsidRPr="00AE1B1D">
        <w:rPr>
          <w:noProof/>
        </w:rPr>
        <w:tab/>
        <w:t xml:space="preserve">W. H. Hoidy, M. B. Ahmad, E. A. Jaffar Al-, N. A. Bt Ibrahim, </w:t>
      </w:r>
      <w:r w:rsidRPr="00AE1B1D">
        <w:rPr>
          <w:i/>
          <w:iCs/>
          <w:noProof/>
        </w:rPr>
        <w:t>J. Appl. Sci.</w:t>
      </w:r>
      <w:r w:rsidRPr="00AE1B1D">
        <w:rPr>
          <w:noProof/>
        </w:rPr>
        <w:t xml:space="preserve"> </w:t>
      </w:r>
      <w:r w:rsidRPr="00AE1B1D">
        <w:rPr>
          <w:b/>
          <w:bCs/>
          <w:noProof/>
        </w:rPr>
        <w:t>2010</w:t>
      </w:r>
      <w:r w:rsidRPr="00AE1B1D">
        <w:rPr>
          <w:noProof/>
        </w:rPr>
        <w:t xml:space="preserve">, </w:t>
      </w:r>
      <w:r w:rsidRPr="00AE1B1D">
        <w:rPr>
          <w:i/>
          <w:iCs/>
          <w:noProof/>
        </w:rPr>
        <w:t>10</w:t>
      </w:r>
      <w:r w:rsidRPr="00AE1B1D">
        <w:rPr>
          <w:noProof/>
        </w:rPr>
        <w:t>, 97.</w:t>
      </w:r>
    </w:p>
    <w:p w14:paraId="00161351" w14:textId="77777777" w:rsidR="00134C13" w:rsidRDefault="00134C13" w:rsidP="00134C13">
      <w:pPr>
        <w:pStyle w:val="Legend"/>
        <w:spacing w:after="240" w:line="480" w:lineRule="auto"/>
        <w:jc w:val="both"/>
      </w:pPr>
    </w:p>
    <w:p w14:paraId="69EFCA1D" w14:textId="77777777" w:rsidR="00E47E7D" w:rsidRPr="00134C13" w:rsidRDefault="00E47E7D" w:rsidP="00EA0A27">
      <w:pPr>
        <w:rPr>
          <w:lang w:val="en-US"/>
        </w:rPr>
      </w:pPr>
    </w:p>
    <w:sectPr w:rsidR="00E47E7D" w:rsidRPr="00134C13" w:rsidSect="007D72A6">
      <w:footerReference w:type="first" r:id="rId30"/>
      <w:pgSz w:w="11906" w:h="16838"/>
      <w:pgMar w:top="1417" w:right="1417" w:bottom="1134" w:left="1417" w:header="708" w:footer="708"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158DC" w14:textId="77777777" w:rsidR="00EC7370" w:rsidRDefault="00EC7370">
      <w:r>
        <w:separator/>
      </w:r>
    </w:p>
  </w:endnote>
  <w:endnote w:type="continuationSeparator" w:id="0">
    <w:p w14:paraId="1065BB99" w14:textId="77777777" w:rsidR="00EC7370" w:rsidRDefault="00EC7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5CEF5" w14:textId="77777777" w:rsidR="00D5755C" w:rsidRDefault="00D5755C" w:rsidP="00881456">
    <w:pPr>
      <w:pStyle w:val="Rodap"/>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643329"/>
      <w:docPartObj>
        <w:docPartGallery w:val="Page Numbers (Bottom of Page)"/>
        <w:docPartUnique/>
      </w:docPartObj>
    </w:sdtPr>
    <w:sdtEndPr/>
    <w:sdtContent>
      <w:p w14:paraId="3D25FCDD" w14:textId="5E87DBE6" w:rsidR="007D72A6" w:rsidRDefault="007D72A6">
        <w:pPr>
          <w:pStyle w:val="Rodap"/>
          <w:jc w:val="right"/>
        </w:pPr>
        <w:r>
          <w:fldChar w:fldCharType="begin"/>
        </w:r>
        <w:r>
          <w:instrText>PAGE   \* MERGEFORMAT</w:instrText>
        </w:r>
        <w:r>
          <w:fldChar w:fldCharType="separate"/>
        </w:r>
        <w:r>
          <w:rPr>
            <w:lang w:val="pt-PT"/>
          </w:rPr>
          <w:t>2</w:t>
        </w:r>
        <w:r>
          <w:fldChar w:fldCharType="end"/>
        </w:r>
      </w:p>
    </w:sdtContent>
  </w:sdt>
  <w:p w14:paraId="33242314" w14:textId="77777777" w:rsidR="007D72A6" w:rsidRDefault="007D72A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C9D1A" w14:textId="77777777" w:rsidR="00EC7370" w:rsidRDefault="00EC7370">
      <w:r>
        <w:separator/>
      </w:r>
    </w:p>
  </w:footnote>
  <w:footnote w:type="continuationSeparator" w:id="0">
    <w:p w14:paraId="2DCA79D3" w14:textId="77777777" w:rsidR="00EC7370" w:rsidRDefault="00EC7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D8085" w14:textId="68BF78A0" w:rsidR="00D5755C" w:rsidRPr="009B44CC" w:rsidRDefault="00D5755C" w:rsidP="009B44CC">
    <w:pPr>
      <w:pStyle w:val="Cabealho"/>
      <w:tabs>
        <w:tab w:val="left" w:pos="5003"/>
      </w:tabs>
      <w:jc w:val="right"/>
      <w:rPr>
        <w:lang w:val="en-US"/>
      </w:rPr>
    </w:pPr>
    <w:r>
      <w:tab/>
    </w:r>
    <w:r>
      <w:rPr>
        <w:noProof/>
        <w:lang w:val="en-US" w:eastAsia="en-US"/>
      </w:rPr>
      <w:drawing>
        <wp:inline distT="0" distB="0" distL="0" distR="0" wp14:anchorId="474C5CDD" wp14:editId="1B7B6ADE">
          <wp:extent cx="1485900" cy="409575"/>
          <wp:effectExtent l="0" t="0" r="0" b="0"/>
          <wp:docPr id="18"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F02E12"/>
    <w:multiLevelType w:val="multilevel"/>
    <w:tmpl w:val="4D2ABBB4"/>
    <w:lvl w:ilvl="0">
      <w:start w:val="1"/>
      <w:numFmt w:val="decimal"/>
      <w:lvlText w:val="%1"/>
      <w:lvlJc w:val="left"/>
      <w:pPr>
        <w:ind w:left="432" w:hanging="432"/>
      </w:pPr>
      <w:rPr>
        <w:sz w:val="40"/>
      </w:rPr>
    </w:lvl>
    <w:lvl w:ilvl="1">
      <w:start w:val="1"/>
      <w:numFmt w:val="decimal"/>
      <w:lvlText w:val="%1.%2"/>
      <w:lvlJc w:val="left"/>
      <w:pPr>
        <w:ind w:left="3554" w:hanging="576"/>
      </w:pPr>
      <w:rPr>
        <w:sz w:val="28"/>
      </w:rPr>
    </w:lvl>
    <w:lvl w:ilvl="2">
      <w:start w:val="1"/>
      <w:numFmt w:val="decimal"/>
      <w:pStyle w:val="Cabealho3"/>
      <w:lvlText w:val="%1.%2.%3"/>
      <w:lvlJc w:val="left"/>
      <w:pPr>
        <w:ind w:left="720" w:hanging="720"/>
      </w:pPr>
    </w:lvl>
    <w:lvl w:ilvl="3">
      <w:start w:val="1"/>
      <w:numFmt w:val="decimal"/>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03BB"/>
    <w:rsid w:val="0000078A"/>
    <w:rsid w:val="0000374D"/>
    <w:rsid w:val="00004488"/>
    <w:rsid w:val="00004A23"/>
    <w:rsid w:val="000058AE"/>
    <w:rsid w:val="00005CD9"/>
    <w:rsid w:val="00006A0A"/>
    <w:rsid w:val="0000703E"/>
    <w:rsid w:val="00007B5D"/>
    <w:rsid w:val="000112FC"/>
    <w:rsid w:val="000118B0"/>
    <w:rsid w:val="00011F40"/>
    <w:rsid w:val="0001454A"/>
    <w:rsid w:val="0001683C"/>
    <w:rsid w:val="000172E7"/>
    <w:rsid w:val="0001744E"/>
    <w:rsid w:val="00020794"/>
    <w:rsid w:val="000214A8"/>
    <w:rsid w:val="00021C97"/>
    <w:rsid w:val="00023F64"/>
    <w:rsid w:val="00024F1F"/>
    <w:rsid w:val="00025D04"/>
    <w:rsid w:val="00027FB5"/>
    <w:rsid w:val="00030768"/>
    <w:rsid w:val="000314D2"/>
    <w:rsid w:val="0003318F"/>
    <w:rsid w:val="0004094E"/>
    <w:rsid w:val="00040B7B"/>
    <w:rsid w:val="000437F7"/>
    <w:rsid w:val="000450FA"/>
    <w:rsid w:val="0004737F"/>
    <w:rsid w:val="00047D0A"/>
    <w:rsid w:val="00050985"/>
    <w:rsid w:val="00054D80"/>
    <w:rsid w:val="0005501E"/>
    <w:rsid w:val="00055883"/>
    <w:rsid w:val="00055BDB"/>
    <w:rsid w:val="00057140"/>
    <w:rsid w:val="0006044D"/>
    <w:rsid w:val="00061EDE"/>
    <w:rsid w:val="00062324"/>
    <w:rsid w:val="00063A1D"/>
    <w:rsid w:val="00063C0E"/>
    <w:rsid w:val="00072E5D"/>
    <w:rsid w:val="00072EA7"/>
    <w:rsid w:val="0007322A"/>
    <w:rsid w:val="00075044"/>
    <w:rsid w:val="000761ED"/>
    <w:rsid w:val="000763BB"/>
    <w:rsid w:val="00076EAD"/>
    <w:rsid w:val="000823F2"/>
    <w:rsid w:val="0008287E"/>
    <w:rsid w:val="000829A4"/>
    <w:rsid w:val="00083031"/>
    <w:rsid w:val="0008592D"/>
    <w:rsid w:val="000870B3"/>
    <w:rsid w:val="0008740B"/>
    <w:rsid w:val="000904D3"/>
    <w:rsid w:val="0009309C"/>
    <w:rsid w:val="00093F1B"/>
    <w:rsid w:val="00095A65"/>
    <w:rsid w:val="000A1F4B"/>
    <w:rsid w:val="000A21A9"/>
    <w:rsid w:val="000A3C07"/>
    <w:rsid w:val="000A3E93"/>
    <w:rsid w:val="000A472C"/>
    <w:rsid w:val="000A5773"/>
    <w:rsid w:val="000A682F"/>
    <w:rsid w:val="000A6C59"/>
    <w:rsid w:val="000A6C88"/>
    <w:rsid w:val="000B05A0"/>
    <w:rsid w:val="000B33EE"/>
    <w:rsid w:val="000B39F5"/>
    <w:rsid w:val="000B4293"/>
    <w:rsid w:val="000B68D9"/>
    <w:rsid w:val="000C259E"/>
    <w:rsid w:val="000C3D5B"/>
    <w:rsid w:val="000C3E0C"/>
    <w:rsid w:val="000C3F7F"/>
    <w:rsid w:val="000C6252"/>
    <w:rsid w:val="000C6F8A"/>
    <w:rsid w:val="000D1408"/>
    <w:rsid w:val="000D2D4B"/>
    <w:rsid w:val="000D45F4"/>
    <w:rsid w:val="000D5AB4"/>
    <w:rsid w:val="000D66DB"/>
    <w:rsid w:val="000D7272"/>
    <w:rsid w:val="000D7EBA"/>
    <w:rsid w:val="000E788B"/>
    <w:rsid w:val="000E7A5B"/>
    <w:rsid w:val="000E7BBA"/>
    <w:rsid w:val="000F32FB"/>
    <w:rsid w:val="000F512F"/>
    <w:rsid w:val="001005AE"/>
    <w:rsid w:val="001013F4"/>
    <w:rsid w:val="00102233"/>
    <w:rsid w:val="001054D4"/>
    <w:rsid w:val="0010686C"/>
    <w:rsid w:val="00107052"/>
    <w:rsid w:val="00107C5F"/>
    <w:rsid w:val="00107CCC"/>
    <w:rsid w:val="00110011"/>
    <w:rsid w:val="001105BD"/>
    <w:rsid w:val="00112788"/>
    <w:rsid w:val="001144E6"/>
    <w:rsid w:val="00116C82"/>
    <w:rsid w:val="00120E85"/>
    <w:rsid w:val="00123ADA"/>
    <w:rsid w:val="00125573"/>
    <w:rsid w:val="0012642A"/>
    <w:rsid w:val="00126D17"/>
    <w:rsid w:val="001305BF"/>
    <w:rsid w:val="00131D58"/>
    <w:rsid w:val="0013231D"/>
    <w:rsid w:val="00132CC4"/>
    <w:rsid w:val="0013346D"/>
    <w:rsid w:val="00134C13"/>
    <w:rsid w:val="001370B1"/>
    <w:rsid w:val="001377CA"/>
    <w:rsid w:val="00140B94"/>
    <w:rsid w:val="00141503"/>
    <w:rsid w:val="00144E1E"/>
    <w:rsid w:val="001450FB"/>
    <w:rsid w:val="00145BA2"/>
    <w:rsid w:val="0014658A"/>
    <w:rsid w:val="00146D5B"/>
    <w:rsid w:val="00147DB8"/>
    <w:rsid w:val="00150C54"/>
    <w:rsid w:val="00151683"/>
    <w:rsid w:val="00151787"/>
    <w:rsid w:val="0015392F"/>
    <w:rsid w:val="0015563E"/>
    <w:rsid w:val="00155F66"/>
    <w:rsid w:val="001604B3"/>
    <w:rsid w:val="0016390D"/>
    <w:rsid w:val="00163F67"/>
    <w:rsid w:val="00164057"/>
    <w:rsid w:val="00165B37"/>
    <w:rsid w:val="0016754A"/>
    <w:rsid w:val="00170369"/>
    <w:rsid w:val="00173757"/>
    <w:rsid w:val="00174176"/>
    <w:rsid w:val="001763E5"/>
    <w:rsid w:val="001815D1"/>
    <w:rsid w:val="00181D92"/>
    <w:rsid w:val="001823B6"/>
    <w:rsid w:val="001848EB"/>
    <w:rsid w:val="00186C5C"/>
    <w:rsid w:val="001872EF"/>
    <w:rsid w:val="00187DB9"/>
    <w:rsid w:val="0019045E"/>
    <w:rsid w:val="0019077D"/>
    <w:rsid w:val="001911AA"/>
    <w:rsid w:val="0019194D"/>
    <w:rsid w:val="00193B99"/>
    <w:rsid w:val="001A2786"/>
    <w:rsid w:val="001A4240"/>
    <w:rsid w:val="001A6821"/>
    <w:rsid w:val="001A734D"/>
    <w:rsid w:val="001B4224"/>
    <w:rsid w:val="001B7472"/>
    <w:rsid w:val="001C10AC"/>
    <w:rsid w:val="001C55FB"/>
    <w:rsid w:val="001D12BC"/>
    <w:rsid w:val="001D5044"/>
    <w:rsid w:val="001D561D"/>
    <w:rsid w:val="001E18CC"/>
    <w:rsid w:val="001E3D2D"/>
    <w:rsid w:val="001E4605"/>
    <w:rsid w:val="001E4FE3"/>
    <w:rsid w:val="001E5EBC"/>
    <w:rsid w:val="001E5F4E"/>
    <w:rsid w:val="001E6956"/>
    <w:rsid w:val="001F15CE"/>
    <w:rsid w:val="001F21DB"/>
    <w:rsid w:val="001F2689"/>
    <w:rsid w:val="001F2AB7"/>
    <w:rsid w:val="001F3C9B"/>
    <w:rsid w:val="001F3E77"/>
    <w:rsid w:val="001F4BD1"/>
    <w:rsid w:val="001F5110"/>
    <w:rsid w:val="001F5702"/>
    <w:rsid w:val="001F65A2"/>
    <w:rsid w:val="001F7E45"/>
    <w:rsid w:val="002002FC"/>
    <w:rsid w:val="00201F71"/>
    <w:rsid w:val="002036DB"/>
    <w:rsid w:val="00203934"/>
    <w:rsid w:val="0020446B"/>
    <w:rsid w:val="00204B7D"/>
    <w:rsid w:val="00204BA7"/>
    <w:rsid w:val="00205109"/>
    <w:rsid w:val="002072AB"/>
    <w:rsid w:val="00210140"/>
    <w:rsid w:val="00210D33"/>
    <w:rsid w:val="00211942"/>
    <w:rsid w:val="002133A4"/>
    <w:rsid w:val="00214D95"/>
    <w:rsid w:val="00215531"/>
    <w:rsid w:val="00215C13"/>
    <w:rsid w:val="00215D54"/>
    <w:rsid w:val="002162B2"/>
    <w:rsid w:val="002163E1"/>
    <w:rsid w:val="00220933"/>
    <w:rsid w:val="00220C72"/>
    <w:rsid w:val="002223B0"/>
    <w:rsid w:val="0022540C"/>
    <w:rsid w:val="00226AA4"/>
    <w:rsid w:val="00232D93"/>
    <w:rsid w:val="00232DC2"/>
    <w:rsid w:val="00232DE8"/>
    <w:rsid w:val="00233C8A"/>
    <w:rsid w:val="00236036"/>
    <w:rsid w:val="00240D90"/>
    <w:rsid w:val="0024131D"/>
    <w:rsid w:val="00241C05"/>
    <w:rsid w:val="0024329D"/>
    <w:rsid w:val="00245BDA"/>
    <w:rsid w:val="0024628E"/>
    <w:rsid w:val="00247286"/>
    <w:rsid w:val="0025175E"/>
    <w:rsid w:val="00253CB1"/>
    <w:rsid w:val="002543F9"/>
    <w:rsid w:val="00257ADD"/>
    <w:rsid w:val="00261A6C"/>
    <w:rsid w:val="00263723"/>
    <w:rsid w:val="00263CF8"/>
    <w:rsid w:val="00264FCF"/>
    <w:rsid w:val="00265635"/>
    <w:rsid w:val="00266389"/>
    <w:rsid w:val="002675F7"/>
    <w:rsid w:val="002725A5"/>
    <w:rsid w:val="0027314F"/>
    <w:rsid w:val="002749AB"/>
    <w:rsid w:val="00275C7D"/>
    <w:rsid w:val="00275F34"/>
    <w:rsid w:val="002769C8"/>
    <w:rsid w:val="00277D1A"/>
    <w:rsid w:val="00277F92"/>
    <w:rsid w:val="00282668"/>
    <w:rsid w:val="0028289F"/>
    <w:rsid w:val="00284157"/>
    <w:rsid w:val="00285631"/>
    <w:rsid w:val="00290D94"/>
    <w:rsid w:val="0029203C"/>
    <w:rsid w:val="00294873"/>
    <w:rsid w:val="002A0352"/>
    <w:rsid w:val="002A0911"/>
    <w:rsid w:val="002A2638"/>
    <w:rsid w:val="002A389E"/>
    <w:rsid w:val="002A4A81"/>
    <w:rsid w:val="002A719A"/>
    <w:rsid w:val="002A73A2"/>
    <w:rsid w:val="002A7CE8"/>
    <w:rsid w:val="002A7F78"/>
    <w:rsid w:val="002B0671"/>
    <w:rsid w:val="002B0B58"/>
    <w:rsid w:val="002B262F"/>
    <w:rsid w:val="002B3553"/>
    <w:rsid w:val="002B5E06"/>
    <w:rsid w:val="002C0436"/>
    <w:rsid w:val="002C0CFF"/>
    <w:rsid w:val="002C0F7B"/>
    <w:rsid w:val="002C2BCD"/>
    <w:rsid w:val="002C4339"/>
    <w:rsid w:val="002C5C6E"/>
    <w:rsid w:val="002C71AF"/>
    <w:rsid w:val="002D09B9"/>
    <w:rsid w:val="002D1378"/>
    <w:rsid w:val="002D16A0"/>
    <w:rsid w:val="002D2930"/>
    <w:rsid w:val="002D2DFF"/>
    <w:rsid w:val="002D5BF8"/>
    <w:rsid w:val="002D7AC3"/>
    <w:rsid w:val="002D7ECC"/>
    <w:rsid w:val="002E1B8F"/>
    <w:rsid w:val="002E2DEF"/>
    <w:rsid w:val="002E3C4A"/>
    <w:rsid w:val="002E419D"/>
    <w:rsid w:val="002E4E3E"/>
    <w:rsid w:val="002E68F6"/>
    <w:rsid w:val="002E738B"/>
    <w:rsid w:val="002E76B2"/>
    <w:rsid w:val="002E79A2"/>
    <w:rsid w:val="002F1D94"/>
    <w:rsid w:val="002F4F4B"/>
    <w:rsid w:val="002F55FD"/>
    <w:rsid w:val="002F594C"/>
    <w:rsid w:val="002F7A38"/>
    <w:rsid w:val="003003BE"/>
    <w:rsid w:val="0030067D"/>
    <w:rsid w:val="00301984"/>
    <w:rsid w:val="00301B0B"/>
    <w:rsid w:val="00301E84"/>
    <w:rsid w:val="00302E7A"/>
    <w:rsid w:val="00303D1B"/>
    <w:rsid w:val="003046B7"/>
    <w:rsid w:val="00317A57"/>
    <w:rsid w:val="00320A99"/>
    <w:rsid w:val="0032144B"/>
    <w:rsid w:val="00322D5B"/>
    <w:rsid w:val="0032588F"/>
    <w:rsid w:val="00325AC2"/>
    <w:rsid w:val="00326A1C"/>
    <w:rsid w:val="00327FDC"/>
    <w:rsid w:val="003314D5"/>
    <w:rsid w:val="00331CE0"/>
    <w:rsid w:val="003360E3"/>
    <w:rsid w:val="003371D5"/>
    <w:rsid w:val="00337428"/>
    <w:rsid w:val="003376CD"/>
    <w:rsid w:val="00343410"/>
    <w:rsid w:val="003452C3"/>
    <w:rsid w:val="00347626"/>
    <w:rsid w:val="003501A7"/>
    <w:rsid w:val="0035048A"/>
    <w:rsid w:val="00351817"/>
    <w:rsid w:val="003526DA"/>
    <w:rsid w:val="003553DC"/>
    <w:rsid w:val="003606BF"/>
    <w:rsid w:val="0036263B"/>
    <w:rsid w:val="00363B62"/>
    <w:rsid w:val="003645B0"/>
    <w:rsid w:val="00364B2C"/>
    <w:rsid w:val="003664F1"/>
    <w:rsid w:val="00367E3F"/>
    <w:rsid w:val="00370D7F"/>
    <w:rsid w:val="00372ABE"/>
    <w:rsid w:val="00372F8D"/>
    <w:rsid w:val="0037792D"/>
    <w:rsid w:val="00377EA5"/>
    <w:rsid w:val="00377F77"/>
    <w:rsid w:val="003825F0"/>
    <w:rsid w:val="00382F06"/>
    <w:rsid w:val="00383073"/>
    <w:rsid w:val="0038438F"/>
    <w:rsid w:val="00386EB1"/>
    <w:rsid w:val="003876EF"/>
    <w:rsid w:val="00387C67"/>
    <w:rsid w:val="00387D98"/>
    <w:rsid w:val="00390B0F"/>
    <w:rsid w:val="00390B38"/>
    <w:rsid w:val="00390B6B"/>
    <w:rsid w:val="00391CFE"/>
    <w:rsid w:val="00392540"/>
    <w:rsid w:val="0039353B"/>
    <w:rsid w:val="00394D62"/>
    <w:rsid w:val="00394F9E"/>
    <w:rsid w:val="00395426"/>
    <w:rsid w:val="00395B91"/>
    <w:rsid w:val="00396615"/>
    <w:rsid w:val="0039700D"/>
    <w:rsid w:val="00397089"/>
    <w:rsid w:val="003978A8"/>
    <w:rsid w:val="003A0A02"/>
    <w:rsid w:val="003A0D25"/>
    <w:rsid w:val="003A0F30"/>
    <w:rsid w:val="003A412A"/>
    <w:rsid w:val="003A4C44"/>
    <w:rsid w:val="003A5AD0"/>
    <w:rsid w:val="003A6CE3"/>
    <w:rsid w:val="003A7899"/>
    <w:rsid w:val="003B15EE"/>
    <w:rsid w:val="003B517D"/>
    <w:rsid w:val="003B60EC"/>
    <w:rsid w:val="003B7BB4"/>
    <w:rsid w:val="003B7CE0"/>
    <w:rsid w:val="003C00ED"/>
    <w:rsid w:val="003C078C"/>
    <w:rsid w:val="003C0D59"/>
    <w:rsid w:val="003C1C0A"/>
    <w:rsid w:val="003C294C"/>
    <w:rsid w:val="003C35DF"/>
    <w:rsid w:val="003C4A68"/>
    <w:rsid w:val="003C554F"/>
    <w:rsid w:val="003C61DD"/>
    <w:rsid w:val="003C6A96"/>
    <w:rsid w:val="003D4459"/>
    <w:rsid w:val="003D4823"/>
    <w:rsid w:val="003D63E7"/>
    <w:rsid w:val="003E0361"/>
    <w:rsid w:val="003E05F1"/>
    <w:rsid w:val="003E113B"/>
    <w:rsid w:val="003E2F2B"/>
    <w:rsid w:val="003E3070"/>
    <w:rsid w:val="003E34DA"/>
    <w:rsid w:val="003E3FF5"/>
    <w:rsid w:val="003E5092"/>
    <w:rsid w:val="003E5C09"/>
    <w:rsid w:val="003E715D"/>
    <w:rsid w:val="003F033D"/>
    <w:rsid w:val="003F103E"/>
    <w:rsid w:val="003F1128"/>
    <w:rsid w:val="003F2E48"/>
    <w:rsid w:val="003F440C"/>
    <w:rsid w:val="003F4E9E"/>
    <w:rsid w:val="003F525A"/>
    <w:rsid w:val="003F7BE6"/>
    <w:rsid w:val="004006A9"/>
    <w:rsid w:val="00402602"/>
    <w:rsid w:val="00404CDA"/>
    <w:rsid w:val="004052AE"/>
    <w:rsid w:val="00406CA6"/>
    <w:rsid w:val="0040754E"/>
    <w:rsid w:val="004118A5"/>
    <w:rsid w:val="0041275E"/>
    <w:rsid w:val="00412FF3"/>
    <w:rsid w:val="00413672"/>
    <w:rsid w:val="00414041"/>
    <w:rsid w:val="00414465"/>
    <w:rsid w:val="00414729"/>
    <w:rsid w:val="00414C80"/>
    <w:rsid w:val="00414F4B"/>
    <w:rsid w:val="00415EF9"/>
    <w:rsid w:val="00416615"/>
    <w:rsid w:val="00416629"/>
    <w:rsid w:val="00417482"/>
    <w:rsid w:val="00417DA1"/>
    <w:rsid w:val="004219FA"/>
    <w:rsid w:val="00423036"/>
    <w:rsid w:val="00423478"/>
    <w:rsid w:val="00424669"/>
    <w:rsid w:val="00425B76"/>
    <w:rsid w:val="004260A2"/>
    <w:rsid w:val="00426FC6"/>
    <w:rsid w:val="004273BC"/>
    <w:rsid w:val="00427C5F"/>
    <w:rsid w:val="00441114"/>
    <w:rsid w:val="0044316B"/>
    <w:rsid w:val="004433F4"/>
    <w:rsid w:val="0044418D"/>
    <w:rsid w:val="004464C5"/>
    <w:rsid w:val="004507E5"/>
    <w:rsid w:val="004519AD"/>
    <w:rsid w:val="0045459A"/>
    <w:rsid w:val="004545DB"/>
    <w:rsid w:val="00454AFF"/>
    <w:rsid w:val="0045786A"/>
    <w:rsid w:val="00460F76"/>
    <w:rsid w:val="00462F12"/>
    <w:rsid w:val="00463050"/>
    <w:rsid w:val="0046340F"/>
    <w:rsid w:val="0046492A"/>
    <w:rsid w:val="00466168"/>
    <w:rsid w:val="0047071A"/>
    <w:rsid w:val="004714D4"/>
    <w:rsid w:val="00471EA0"/>
    <w:rsid w:val="00473BD0"/>
    <w:rsid w:val="00475712"/>
    <w:rsid w:val="00475980"/>
    <w:rsid w:val="00480CCE"/>
    <w:rsid w:val="00482094"/>
    <w:rsid w:val="00482FAA"/>
    <w:rsid w:val="00486640"/>
    <w:rsid w:val="0049075F"/>
    <w:rsid w:val="00492C90"/>
    <w:rsid w:val="00492DA8"/>
    <w:rsid w:val="00497DD4"/>
    <w:rsid w:val="004A0888"/>
    <w:rsid w:val="004A1BEF"/>
    <w:rsid w:val="004A43B6"/>
    <w:rsid w:val="004A6C7A"/>
    <w:rsid w:val="004A70EE"/>
    <w:rsid w:val="004A774E"/>
    <w:rsid w:val="004A7D3E"/>
    <w:rsid w:val="004A7FF9"/>
    <w:rsid w:val="004B0FD5"/>
    <w:rsid w:val="004B1D72"/>
    <w:rsid w:val="004B379D"/>
    <w:rsid w:val="004B5AF9"/>
    <w:rsid w:val="004B5F0C"/>
    <w:rsid w:val="004B6031"/>
    <w:rsid w:val="004B6984"/>
    <w:rsid w:val="004C046E"/>
    <w:rsid w:val="004C1609"/>
    <w:rsid w:val="004C216B"/>
    <w:rsid w:val="004C5A83"/>
    <w:rsid w:val="004C5DD3"/>
    <w:rsid w:val="004D30F9"/>
    <w:rsid w:val="004D4A32"/>
    <w:rsid w:val="004D64AB"/>
    <w:rsid w:val="004E46A1"/>
    <w:rsid w:val="004E62F2"/>
    <w:rsid w:val="004E65C6"/>
    <w:rsid w:val="004E7CE8"/>
    <w:rsid w:val="004F271D"/>
    <w:rsid w:val="004F27E6"/>
    <w:rsid w:val="004F5114"/>
    <w:rsid w:val="004F756C"/>
    <w:rsid w:val="005001FA"/>
    <w:rsid w:val="0050188C"/>
    <w:rsid w:val="005019AF"/>
    <w:rsid w:val="00503917"/>
    <w:rsid w:val="00504152"/>
    <w:rsid w:val="0050488D"/>
    <w:rsid w:val="00504D12"/>
    <w:rsid w:val="0050527A"/>
    <w:rsid w:val="0050535A"/>
    <w:rsid w:val="00511192"/>
    <w:rsid w:val="005118AD"/>
    <w:rsid w:val="00512353"/>
    <w:rsid w:val="005134DF"/>
    <w:rsid w:val="00521F96"/>
    <w:rsid w:val="005220C2"/>
    <w:rsid w:val="00523369"/>
    <w:rsid w:val="0052398F"/>
    <w:rsid w:val="00527EE5"/>
    <w:rsid w:val="00531173"/>
    <w:rsid w:val="00531920"/>
    <w:rsid w:val="00532960"/>
    <w:rsid w:val="00536529"/>
    <w:rsid w:val="00543ACC"/>
    <w:rsid w:val="00543CB4"/>
    <w:rsid w:val="0054566D"/>
    <w:rsid w:val="00545A73"/>
    <w:rsid w:val="00546DEB"/>
    <w:rsid w:val="00546F0F"/>
    <w:rsid w:val="005477E7"/>
    <w:rsid w:val="00547A4D"/>
    <w:rsid w:val="00550159"/>
    <w:rsid w:val="00551897"/>
    <w:rsid w:val="00551FFD"/>
    <w:rsid w:val="00552A0F"/>
    <w:rsid w:val="005551ED"/>
    <w:rsid w:val="00556419"/>
    <w:rsid w:val="005572B4"/>
    <w:rsid w:val="005572DD"/>
    <w:rsid w:val="00560564"/>
    <w:rsid w:val="0056173B"/>
    <w:rsid w:val="00562A40"/>
    <w:rsid w:val="00562E2B"/>
    <w:rsid w:val="0056461A"/>
    <w:rsid w:val="00564668"/>
    <w:rsid w:val="005646E4"/>
    <w:rsid w:val="00566BBC"/>
    <w:rsid w:val="00570353"/>
    <w:rsid w:val="005715F5"/>
    <w:rsid w:val="0057171E"/>
    <w:rsid w:val="00571EEC"/>
    <w:rsid w:val="00572666"/>
    <w:rsid w:val="0057267E"/>
    <w:rsid w:val="005726BD"/>
    <w:rsid w:val="00574A5A"/>
    <w:rsid w:val="005753B8"/>
    <w:rsid w:val="00583ED5"/>
    <w:rsid w:val="0058469A"/>
    <w:rsid w:val="00587437"/>
    <w:rsid w:val="00587D36"/>
    <w:rsid w:val="00592678"/>
    <w:rsid w:val="00594644"/>
    <w:rsid w:val="0059526F"/>
    <w:rsid w:val="00595C6E"/>
    <w:rsid w:val="00596F36"/>
    <w:rsid w:val="005A0992"/>
    <w:rsid w:val="005A1741"/>
    <w:rsid w:val="005A235F"/>
    <w:rsid w:val="005A3997"/>
    <w:rsid w:val="005A477B"/>
    <w:rsid w:val="005A4B49"/>
    <w:rsid w:val="005A64A6"/>
    <w:rsid w:val="005A751F"/>
    <w:rsid w:val="005A7719"/>
    <w:rsid w:val="005A77C2"/>
    <w:rsid w:val="005B291B"/>
    <w:rsid w:val="005B3325"/>
    <w:rsid w:val="005B76C5"/>
    <w:rsid w:val="005B7AF0"/>
    <w:rsid w:val="005B7B8A"/>
    <w:rsid w:val="005C09C6"/>
    <w:rsid w:val="005C193D"/>
    <w:rsid w:val="005C458D"/>
    <w:rsid w:val="005C491E"/>
    <w:rsid w:val="005C5E0A"/>
    <w:rsid w:val="005C6C0C"/>
    <w:rsid w:val="005D2276"/>
    <w:rsid w:val="005D25FD"/>
    <w:rsid w:val="005D2808"/>
    <w:rsid w:val="005D48FA"/>
    <w:rsid w:val="005D4F26"/>
    <w:rsid w:val="005D6107"/>
    <w:rsid w:val="005D7918"/>
    <w:rsid w:val="005E0858"/>
    <w:rsid w:val="005E2794"/>
    <w:rsid w:val="005E39AF"/>
    <w:rsid w:val="005E3CBF"/>
    <w:rsid w:val="005E6F9D"/>
    <w:rsid w:val="005E7B5A"/>
    <w:rsid w:val="005F01FC"/>
    <w:rsid w:val="005F0C89"/>
    <w:rsid w:val="005F148E"/>
    <w:rsid w:val="005F3701"/>
    <w:rsid w:val="005F41DF"/>
    <w:rsid w:val="005F4521"/>
    <w:rsid w:val="005F5478"/>
    <w:rsid w:val="005F583B"/>
    <w:rsid w:val="006006FC"/>
    <w:rsid w:val="00600BCF"/>
    <w:rsid w:val="00601A39"/>
    <w:rsid w:val="0060303F"/>
    <w:rsid w:val="006045BA"/>
    <w:rsid w:val="0060583A"/>
    <w:rsid w:val="00606311"/>
    <w:rsid w:val="0060653E"/>
    <w:rsid w:val="00606A82"/>
    <w:rsid w:val="00610E2D"/>
    <w:rsid w:val="00611649"/>
    <w:rsid w:val="00611A0E"/>
    <w:rsid w:val="0061214B"/>
    <w:rsid w:val="0061225D"/>
    <w:rsid w:val="00614154"/>
    <w:rsid w:val="00614BD3"/>
    <w:rsid w:val="006219A2"/>
    <w:rsid w:val="00623A77"/>
    <w:rsid w:val="006256F5"/>
    <w:rsid w:val="006267B9"/>
    <w:rsid w:val="0063097B"/>
    <w:rsid w:val="00631ED3"/>
    <w:rsid w:val="00632511"/>
    <w:rsid w:val="00633FE0"/>
    <w:rsid w:val="00635FAF"/>
    <w:rsid w:val="006364B8"/>
    <w:rsid w:val="00636A64"/>
    <w:rsid w:val="00636B93"/>
    <w:rsid w:val="00640550"/>
    <w:rsid w:val="0064326A"/>
    <w:rsid w:val="00644D5D"/>
    <w:rsid w:val="00646A05"/>
    <w:rsid w:val="00646DC7"/>
    <w:rsid w:val="006470C6"/>
    <w:rsid w:val="00650A47"/>
    <w:rsid w:val="006511FB"/>
    <w:rsid w:val="00651586"/>
    <w:rsid w:val="00651A9D"/>
    <w:rsid w:val="006531EA"/>
    <w:rsid w:val="00653AD2"/>
    <w:rsid w:val="006555EE"/>
    <w:rsid w:val="00656092"/>
    <w:rsid w:val="0065741C"/>
    <w:rsid w:val="00657FC7"/>
    <w:rsid w:val="00660024"/>
    <w:rsid w:val="00660B85"/>
    <w:rsid w:val="00661960"/>
    <w:rsid w:val="0066204D"/>
    <w:rsid w:val="0066271C"/>
    <w:rsid w:val="00662DCE"/>
    <w:rsid w:val="00664F6D"/>
    <w:rsid w:val="006650B8"/>
    <w:rsid w:val="00666329"/>
    <w:rsid w:val="006672EE"/>
    <w:rsid w:val="0067011F"/>
    <w:rsid w:val="0067015E"/>
    <w:rsid w:val="00674839"/>
    <w:rsid w:val="00676B8F"/>
    <w:rsid w:val="00680453"/>
    <w:rsid w:val="00682526"/>
    <w:rsid w:val="00682703"/>
    <w:rsid w:val="00682D5F"/>
    <w:rsid w:val="00683555"/>
    <w:rsid w:val="006839DD"/>
    <w:rsid w:val="00684457"/>
    <w:rsid w:val="00686F1D"/>
    <w:rsid w:val="0069199A"/>
    <w:rsid w:val="00692705"/>
    <w:rsid w:val="00692F7A"/>
    <w:rsid w:val="00695E06"/>
    <w:rsid w:val="00696315"/>
    <w:rsid w:val="006A0071"/>
    <w:rsid w:val="006A0D51"/>
    <w:rsid w:val="006A1C05"/>
    <w:rsid w:val="006A225B"/>
    <w:rsid w:val="006A30D2"/>
    <w:rsid w:val="006A5A6A"/>
    <w:rsid w:val="006A5FE3"/>
    <w:rsid w:val="006A61B0"/>
    <w:rsid w:val="006B04A5"/>
    <w:rsid w:val="006B23B2"/>
    <w:rsid w:val="006B4845"/>
    <w:rsid w:val="006B5349"/>
    <w:rsid w:val="006B5521"/>
    <w:rsid w:val="006B635C"/>
    <w:rsid w:val="006C1708"/>
    <w:rsid w:val="006C1C29"/>
    <w:rsid w:val="006C3782"/>
    <w:rsid w:val="006C3CDE"/>
    <w:rsid w:val="006C4745"/>
    <w:rsid w:val="006C481B"/>
    <w:rsid w:val="006C628D"/>
    <w:rsid w:val="006C62C4"/>
    <w:rsid w:val="006C6A72"/>
    <w:rsid w:val="006C73E2"/>
    <w:rsid w:val="006D0EE8"/>
    <w:rsid w:val="006D3162"/>
    <w:rsid w:val="006D37E7"/>
    <w:rsid w:val="006D3847"/>
    <w:rsid w:val="006D5146"/>
    <w:rsid w:val="006D59D6"/>
    <w:rsid w:val="006D5C04"/>
    <w:rsid w:val="006D7508"/>
    <w:rsid w:val="006E0982"/>
    <w:rsid w:val="006E0F2F"/>
    <w:rsid w:val="006E19D7"/>
    <w:rsid w:val="006E3308"/>
    <w:rsid w:val="006E422F"/>
    <w:rsid w:val="006E60F6"/>
    <w:rsid w:val="006E71B9"/>
    <w:rsid w:val="006E74B5"/>
    <w:rsid w:val="006F39B2"/>
    <w:rsid w:val="006F5384"/>
    <w:rsid w:val="006F59A3"/>
    <w:rsid w:val="006F617E"/>
    <w:rsid w:val="006F6604"/>
    <w:rsid w:val="006F6B97"/>
    <w:rsid w:val="006F71D8"/>
    <w:rsid w:val="006F7D1A"/>
    <w:rsid w:val="0070346C"/>
    <w:rsid w:val="007051A0"/>
    <w:rsid w:val="00706496"/>
    <w:rsid w:val="00706D75"/>
    <w:rsid w:val="00711A12"/>
    <w:rsid w:val="00711F11"/>
    <w:rsid w:val="00713244"/>
    <w:rsid w:val="00713323"/>
    <w:rsid w:val="00714A7A"/>
    <w:rsid w:val="007154C4"/>
    <w:rsid w:val="00715DB9"/>
    <w:rsid w:val="007218A0"/>
    <w:rsid w:val="00723469"/>
    <w:rsid w:val="007238AF"/>
    <w:rsid w:val="00726908"/>
    <w:rsid w:val="007270C7"/>
    <w:rsid w:val="00730F3A"/>
    <w:rsid w:val="00732D8B"/>
    <w:rsid w:val="00735F34"/>
    <w:rsid w:val="00736944"/>
    <w:rsid w:val="007371CD"/>
    <w:rsid w:val="00741200"/>
    <w:rsid w:val="00741333"/>
    <w:rsid w:val="00741A63"/>
    <w:rsid w:val="00741D53"/>
    <w:rsid w:val="00742FF2"/>
    <w:rsid w:val="00743648"/>
    <w:rsid w:val="00744D6A"/>
    <w:rsid w:val="00746138"/>
    <w:rsid w:val="0074620A"/>
    <w:rsid w:val="00750A76"/>
    <w:rsid w:val="00751D50"/>
    <w:rsid w:val="007527D5"/>
    <w:rsid w:val="00752F3C"/>
    <w:rsid w:val="007561FC"/>
    <w:rsid w:val="00757227"/>
    <w:rsid w:val="007579A6"/>
    <w:rsid w:val="0076173F"/>
    <w:rsid w:val="00761D34"/>
    <w:rsid w:val="00762D2D"/>
    <w:rsid w:val="00764622"/>
    <w:rsid w:val="00764CAD"/>
    <w:rsid w:val="00766D8D"/>
    <w:rsid w:val="0077020D"/>
    <w:rsid w:val="007705CC"/>
    <w:rsid w:val="00770FA1"/>
    <w:rsid w:val="00773884"/>
    <w:rsid w:val="0077417E"/>
    <w:rsid w:val="00774813"/>
    <w:rsid w:val="00774A4B"/>
    <w:rsid w:val="0078052A"/>
    <w:rsid w:val="007812FB"/>
    <w:rsid w:val="00784032"/>
    <w:rsid w:val="00784CA4"/>
    <w:rsid w:val="00786E79"/>
    <w:rsid w:val="00787925"/>
    <w:rsid w:val="007903C1"/>
    <w:rsid w:val="00790E31"/>
    <w:rsid w:val="007928B9"/>
    <w:rsid w:val="00793B87"/>
    <w:rsid w:val="007942FC"/>
    <w:rsid w:val="0079566E"/>
    <w:rsid w:val="00796509"/>
    <w:rsid w:val="0079691E"/>
    <w:rsid w:val="00797723"/>
    <w:rsid w:val="007A40F4"/>
    <w:rsid w:val="007A6DF9"/>
    <w:rsid w:val="007B1EEE"/>
    <w:rsid w:val="007B249B"/>
    <w:rsid w:val="007B3739"/>
    <w:rsid w:val="007B6AE1"/>
    <w:rsid w:val="007B6D4D"/>
    <w:rsid w:val="007B7A09"/>
    <w:rsid w:val="007C0F7A"/>
    <w:rsid w:val="007D24A9"/>
    <w:rsid w:val="007D27FA"/>
    <w:rsid w:val="007D30B5"/>
    <w:rsid w:val="007D439A"/>
    <w:rsid w:val="007D4974"/>
    <w:rsid w:val="007D4F44"/>
    <w:rsid w:val="007D6218"/>
    <w:rsid w:val="007D6699"/>
    <w:rsid w:val="007D72A6"/>
    <w:rsid w:val="007D7E30"/>
    <w:rsid w:val="007E28A0"/>
    <w:rsid w:val="007E385F"/>
    <w:rsid w:val="007E4DE4"/>
    <w:rsid w:val="007E6419"/>
    <w:rsid w:val="007E6DF8"/>
    <w:rsid w:val="007F231E"/>
    <w:rsid w:val="007F6815"/>
    <w:rsid w:val="007F6BA8"/>
    <w:rsid w:val="007F7536"/>
    <w:rsid w:val="007F76CF"/>
    <w:rsid w:val="0080422D"/>
    <w:rsid w:val="00805954"/>
    <w:rsid w:val="0080681B"/>
    <w:rsid w:val="0080738C"/>
    <w:rsid w:val="00807ECF"/>
    <w:rsid w:val="00810B77"/>
    <w:rsid w:val="008135E8"/>
    <w:rsid w:val="00817436"/>
    <w:rsid w:val="00817CAD"/>
    <w:rsid w:val="0082542D"/>
    <w:rsid w:val="00825599"/>
    <w:rsid w:val="00827834"/>
    <w:rsid w:val="00832835"/>
    <w:rsid w:val="00835110"/>
    <w:rsid w:val="008351FC"/>
    <w:rsid w:val="00837959"/>
    <w:rsid w:val="00840046"/>
    <w:rsid w:val="008403FE"/>
    <w:rsid w:val="00841F50"/>
    <w:rsid w:val="00843A0E"/>
    <w:rsid w:val="00845D45"/>
    <w:rsid w:val="00845DFE"/>
    <w:rsid w:val="00846E17"/>
    <w:rsid w:val="008513FC"/>
    <w:rsid w:val="00854283"/>
    <w:rsid w:val="00855E87"/>
    <w:rsid w:val="008573E3"/>
    <w:rsid w:val="00860D49"/>
    <w:rsid w:val="00861E81"/>
    <w:rsid w:val="008645FF"/>
    <w:rsid w:val="00866D42"/>
    <w:rsid w:val="0087030E"/>
    <w:rsid w:val="0087098B"/>
    <w:rsid w:val="00870AAC"/>
    <w:rsid w:val="00871942"/>
    <w:rsid w:val="00872D3D"/>
    <w:rsid w:val="008734F7"/>
    <w:rsid w:val="00874E9F"/>
    <w:rsid w:val="00877842"/>
    <w:rsid w:val="008806F8"/>
    <w:rsid w:val="008808E2"/>
    <w:rsid w:val="00881456"/>
    <w:rsid w:val="00881ACB"/>
    <w:rsid w:val="008847CC"/>
    <w:rsid w:val="00884839"/>
    <w:rsid w:val="00885FC9"/>
    <w:rsid w:val="00887196"/>
    <w:rsid w:val="0088728B"/>
    <w:rsid w:val="00891328"/>
    <w:rsid w:val="00891A47"/>
    <w:rsid w:val="00892809"/>
    <w:rsid w:val="0089370F"/>
    <w:rsid w:val="008939AF"/>
    <w:rsid w:val="00893FED"/>
    <w:rsid w:val="0089449A"/>
    <w:rsid w:val="0089503E"/>
    <w:rsid w:val="008950FF"/>
    <w:rsid w:val="00895E48"/>
    <w:rsid w:val="00896687"/>
    <w:rsid w:val="008971F4"/>
    <w:rsid w:val="008A0E7D"/>
    <w:rsid w:val="008A1180"/>
    <w:rsid w:val="008A3023"/>
    <w:rsid w:val="008A403F"/>
    <w:rsid w:val="008A4457"/>
    <w:rsid w:val="008A6815"/>
    <w:rsid w:val="008A7DC1"/>
    <w:rsid w:val="008B1031"/>
    <w:rsid w:val="008B2303"/>
    <w:rsid w:val="008B32E6"/>
    <w:rsid w:val="008B34A0"/>
    <w:rsid w:val="008B506B"/>
    <w:rsid w:val="008B5740"/>
    <w:rsid w:val="008C0B84"/>
    <w:rsid w:val="008C41DA"/>
    <w:rsid w:val="008C553A"/>
    <w:rsid w:val="008C588E"/>
    <w:rsid w:val="008C5974"/>
    <w:rsid w:val="008C66CA"/>
    <w:rsid w:val="008C6CC9"/>
    <w:rsid w:val="008C7226"/>
    <w:rsid w:val="008C7A19"/>
    <w:rsid w:val="008D2E57"/>
    <w:rsid w:val="008D70C5"/>
    <w:rsid w:val="008D748B"/>
    <w:rsid w:val="008D7B80"/>
    <w:rsid w:val="008E4184"/>
    <w:rsid w:val="008E549F"/>
    <w:rsid w:val="008E591D"/>
    <w:rsid w:val="008E6301"/>
    <w:rsid w:val="008F10BC"/>
    <w:rsid w:val="008F1248"/>
    <w:rsid w:val="008F2052"/>
    <w:rsid w:val="008F26ED"/>
    <w:rsid w:val="008F2A38"/>
    <w:rsid w:val="008F3012"/>
    <w:rsid w:val="008F3167"/>
    <w:rsid w:val="008F5121"/>
    <w:rsid w:val="008F55AA"/>
    <w:rsid w:val="008F592B"/>
    <w:rsid w:val="008F690D"/>
    <w:rsid w:val="008F73B6"/>
    <w:rsid w:val="009015AB"/>
    <w:rsid w:val="00901D14"/>
    <w:rsid w:val="00903775"/>
    <w:rsid w:val="00903957"/>
    <w:rsid w:val="0090568E"/>
    <w:rsid w:val="00907140"/>
    <w:rsid w:val="009109F7"/>
    <w:rsid w:val="00912137"/>
    <w:rsid w:val="009146E5"/>
    <w:rsid w:val="009147E0"/>
    <w:rsid w:val="00915BED"/>
    <w:rsid w:val="00916B64"/>
    <w:rsid w:val="00917529"/>
    <w:rsid w:val="0092145D"/>
    <w:rsid w:val="009241A8"/>
    <w:rsid w:val="009245DE"/>
    <w:rsid w:val="00925382"/>
    <w:rsid w:val="00930762"/>
    <w:rsid w:val="00930C0C"/>
    <w:rsid w:val="0093521B"/>
    <w:rsid w:val="0093567D"/>
    <w:rsid w:val="00936B81"/>
    <w:rsid w:val="00941B27"/>
    <w:rsid w:val="00943B61"/>
    <w:rsid w:val="00944701"/>
    <w:rsid w:val="00944712"/>
    <w:rsid w:val="00946286"/>
    <w:rsid w:val="009463D8"/>
    <w:rsid w:val="00946F86"/>
    <w:rsid w:val="009506EE"/>
    <w:rsid w:val="00950ED1"/>
    <w:rsid w:val="00952A7A"/>
    <w:rsid w:val="0095444E"/>
    <w:rsid w:val="00954673"/>
    <w:rsid w:val="0095587C"/>
    <w:rsid w:val="00955C67"/>
    <w:rsid w:val="00957B65"/>
    <w:rsid w:val="00960AFF"/>
    <w:rsid w:val="00963F62"/>
    <w:rsid w:val="00965EFC"/>
    <w:rsid w:val="00966A28"/>
    <w:rsid w:val="0097454D"/>
    <w:rsid w:val="009762D2"/>
    <w:rsid w:val="009762F1"/>
    <w:rsid w:val="0097692D"/>
    <w:rsid w:val="009776D2"/>
    <w:rsid w:val="00977EA8"/>
    <w:rsid w:val="0098140D"/>
    <w:rsid w:val="00981CED"/>
    <w:rsid w:val="009840AF"/>
    <w:rsid w:val="00985B9F"/>
    <w:rsid w:val="00986358"/>
    <w:rsid w:val="00986E6C"/>
    <w:rsid w:val="00987225"/>
    <w:rsid w:val="00990870"/>
    <w:rsid w:val="00990DCF"/>
    <w:rsid w:val="009920F5"/>
    <w:rsid w:val="00992B56"/>
    <w:rsid w:val="00992CDA"/>
    <w:rsid w:val="00993342"/>
    <w:rsid w:val="009953C0"/>
    <w:rsid w:val="00996CE4"/>
    <w:rsid w:val="009A0FB3"/>
    <w:rsid w:val="009A1905"/>
    <w:rsid w:val="009A262D"/>
    <w:rsid w:val="009A3F36"/>
    <w:rsid w:val="009A4872"/>
    <w:rsid w:val="009A48D8"/>
    <w:rsid w:val="009A604C"/>
    <w:rsid w:val="009A6C59"/>
    <w:rsid w:val="009A7878"/>
    <w:rsid w:val="009B0888"/>
    <w:rsid w:val="009B33DF"/>
    <w:rsid w:val="009B4270"/>
    <w:rsid w:val="009B44CC"/>
    <w:rsid w:val="009B5651"/>
    <w:rsid w:val="009B62E4"/>
    <w:rsid w:val="009B6593"/>
    <w:rsid w:val="009B71B7"/>
    <w:rsid w:val="009C37E6"/>
    <w:rsid w:val="009C4319"/>
    <w:rsid w:val="009C750C"/>
    <w:rsid w:val="009D0F39"/>
    <w:rsid w:val="009D109E"/>
    <w:rsid w:val="009D1CD9"/>
    <w:rsid w:val="009D1F28"/>
    <w:rsid w:val="009D23D9"/>
    <w:rsid w:val="009D4830"/>
    <w:rsid w:val="009D52B5"/>
    <w:rsid w:val="009D797A"/>
    <w:rsid w:val="009E026A"/>
    <w:rsid w:val="009E18B9"/>
    <w:rsid w:val="009E3B56"/>
    <w:rsid w:val="009E41D2"/>
    <w:rsid w:val="009E49B5"/>
    <w:rsid w:val="009E551E"/>
    <w:rsid w:val="009E7066"/>
    <w:rsid w:val="009E77EE"/>
    <w:rsid w:val="009F09A3"/>
    <w:rsid w:val="009F1EF8"/>
    <w:rsid w:val="009F4604"/>
    <w:rsid w:val="009F4B78"/>
    <w:rsid w:val="009F606B"/>
    <w:rsid w:val="009F6AFC"/>
    <w:rsid w:val="009F6E66"/>
    <w:rsid w:val="00A00926"/>
    <w:rsid w:val="00A03B3B"/>
    <w:rsid w:val="00A04D84"/>
    <w:rsid w:val="00A05659"/>
    <w:rsid w:val="00A06840"/>
    <w:rsid w:val="00A06EAD"/>
    <w:rsid w:val="00A1293C"/>
    <w:rsid w:val="00A14F9B"/>
    <w:rsid w:val="00A167F1"/>
    <w:rsid w:val="00A20131"/>
    <w:rsid w:val="00A2085F"/>
    <w:rsid w:val="00A20EC0"/>
    <w:rsid w:val="00A2150B"/>
    <w:rsid w:val="00A215D9"/>
    <w:rsid w:val="00A21F52"/>
    <w:rsid w:val="00A2205B"/>
    <w:rsid w:val="00A2292C"/>
    <w:rsid w:val="00A23FC3"/>
    <w:rsid w:val="00A24C3F"/>
    <w:rsid w:val="00A25F1B"/>
    <w:rsid w:val="00A3288D"/>
    <w:rsid w:val="00A329DC"/>
    <w:rsid w:val="00A349A3"/>
    <w:rsid w:val="00A34A89"/>
    <w:rsid w:val="00A367C8"/>
    <w:rsid w:val="00A37A76"/>
    <w:rsid w:val="00A40690"/>
    <w:rsid w:val="00A41135"/>
    <w:rsid w:val="00A41FEB"/>
    <w:rsid w:val="00A44033"/>
    <w:rsid w:val="00A44DA6"/>
    <w:rsid w:val="00A50921"/>
    <w:rsid w:val="00A5160D"/>
    <w:rsid w:val="00A54E2C"/>
    <w:rsid w:val="00A55061"/>
    <w:rsid w:val="00A56983"/>
    <w:rsid w:val="00A56CA4"/>
    <w:rsid w:val="00A56F44"/>
    <w:rsid w:val="00A652CD"/>
    <w:rsid w:val="00A65F04"/>
    <w:rsid w:val="00A65F2E"/>
    <w:rsid w:val="00A709A6"/>
    <w:rsid w:val="00A71AD5"/>
    <w:rsid w:val="00A77BD2"/>
    <w:rsid w:val="00A8073E"/>
    <w:rsid w:val="00A80883"/>
    <w:rsid w:val="00A81681"/>
    <w:rsid w:val="00A81BED"/>
    <w:rsid w:val="00A82FC6"/>
    <w:rsid w:val="00A871EE"/>
    <w:rsid w:val="00A92270"/>
    <w:rsid w:val="00A9234B"/>
    <w:rsid w:val="00A92579"/>
    <w:rsid w:val="00A94775"/>
    <w:rsid w:val="00AA0973"/>
    <w:rsid w:val="00AA10AE"/>
    <w:rsid w:val="00AA329F"/>
    <w:rsid w:val="00AA7B6A"/>
    <w:rsid w:val="00AB2E06"/>
    <w:rsid w:val="00AB539D"/>
    <w:rsid w:val="00AB593E"/>
    <w:rsid w:val="00AB5D37"/>
    <w:rsid w:val="00AB683F"/>
    <w:rsid w:val="00AC2073"/>
    <w:rsid w:val="00AC4A2E"/>
    <w:rsid w:val="00AD1885"/>
    <w:rsid w:val="00AD1AD4"/>
    <w:rsid w:val="00AD398D"/>
    <w:rsid w:val="00AD50BA"/>
    <w:rsid w:val="00AD5B0A"/>
    <w:rsid w:val="00AE02E7"/>
    <w:rsid w:val="00AE0F75"/>
    <w:rsid w:val="00AE1B1D"/>
    <w:rsid w:val="00AE319E"/>
    <w:rsid w:val="00AE3B2C"/>
    <w:rsid w:val="00AE3B4E"/>
    <w:rsid w:val="00AE676F"/>
    <w:rsid w:val="00AE709C"/>
    <w:rsid w:val="00AE7DD9"/>
    <w:rsid w:val="00AF0F0A"/>
    <w:rsid w:val="00AF2B38"/>
    <w:rsid w:val="00AF45DC"/>
    <w:rsid w:val="00B004C1"/>
    <w:rsid w:val="00B0168B"/>
    <w:rsid w:val="00B03458"/>
    <w:rsid w:val="00B04B8E"/>
    <w:rsid w:val="00B05980"/>
    <w:rsid w:val="00B1072F"/>
    <w:rsid w:val="00B114EC"/>
    <w:rsid w:val="00B15820"/>
    <w:rsid w:val="00B17BEE"/>
    <w:rsid w:val="00B215D8"/>
    <w:rsid w:val="00B2218A"/>
    <w:rsid w:val="00B22600"/>
    <w:rsid w:val="00B246ED"/>
    <w:rsid w:val="00B26863"/>
    <w:rsid w:val="00B26DD0"/>
    <w:rsid w:val="00B310FF"/>
    <w:rsid w:val="00B31DF0"/>
    <w:rsid w:val="00B32C51"/>
    <w:rsid w:val="00B338C8"/>
    <w:rsid w:val="00B341CC"/>
    <w:rsid w:val="00B35321"/>
    <w:rsid w:val="00B35505"/>
    <w:rsid w:val="00B359E8"/>
    <w:rsid w:val="00B35CB3"/>
    <w:rsid w:val="00B35E0A"/>
    <w:rsid w:val="00B40124"/>
    <w:rsid w:val="00B40B86"/>
    <w:rsid w:val="00B42E03"/>
    <w:rsid w:val="00B443E2"/>
    <w:rsid w:val="00B44680"/>
    <w:rsid w:val="00B46222"/>
    <w:rsid w:val="00B47557"/>
    <w:rsid w:val="00B5178F"/>
    <w:rsid w:val="00B53D7A"/>
    <w:rsid w:val="00B54092"/>
    <w:rsid w:val="00B5444C"/>
    <w:rsid w:val="00B54B56"/>
    <w:rsid w:val="00B5568B"/>
    <w:rsid w:val="00B557BF"/>
    <w:rsid w:val="00B55A3B"/>
    <w:rsid w:val="00B55BD6"/>
    <w:rsid w:val="00B56147"/>
    <w:rsid w:val="00B5720A"/>
    <w:rsid w:val="00B57A95"/>
    <w:rsid w:val="00B604A0"/>
    <w:rsid w:val="00B60761"/>
    <w:rsid w:val="00B620A5"/>
    <w:rsid w:val="00B62BB1"/>
    <w:rsid w:val="00B63559"/>
    <w:rsid w:val="00B63B24"/>
    <w:rsid w:val="00B662F8"/>
    <w:rsid w:val="00B73979"/>
    <w:rsid w:val="00B7399F"/>
    <w:rsid w:val="00B751B0"/>
    <w:rsid w:val="00B762E0"/>
    <w:rsid w:val="00B80BEC"/>
    <w:rsid w:val="00B86C54"/>
    <w:rsid w:val="00B874C4"/>
    <w:rsid w:val="00B8756F"/>
    <w:rsid w:val="00B9458B"/>
    <w:rsid w:val="00B971D8"/>
    <w:rsid w:val="00B97575"/>
    <w:rsid w:val="00B97AA2"/>
    <w:rsid w:val="00B97B8E"/>
    <w:rsid w:val="00BA00A8"/>
    <w:rsid w:val="00BA0378"/>
    <w:rsid w:val="00BA0533"/>
    <w:rsid w:val="00BA0A43"/>
    <w:rsid w:val="00BA1979"/>
    <w:rsid w:val="00BA37A4"/>
    <w:rsid w:val="00BA4F00"/>
    <w:rsid w:val="00BA4FB0"/>
    <w:rsid w:val="00BA54B4"/>
    <w:rsid w:val="00BA6138"/>
    <w:rsid w:val="00BA68F7"/>
    <w:rsid w:val="00BB1930"/>
    <w:rsid w:val="00BB2BE3"/>
    <w:rsid w:val="00BB3478"/>
    <w:rsid w:val="00BC2247"/>
    <w:rsid w:val="00BC3230"/>
    <w:rsid w:val="00BC5572"/>
    <w:rsid w:val="00BC5FB9"/>
    <w:rsid w:val="00BC6AD5"/>
    <w:rsid w:val="00BD352C"/>
    <w:rsid w:val="00BD497C"/>
    <w:rsid w:val="00BD57EE"/>
    <w:rsid w:val="00BD5FE7"/>
    <w:rsid w:val="00BE1499"/>
    <w:rsid w:val="00BE2BC6"/>
    <w:rsid w:val="00BE4E8A"/>
    <w:rsid w:val="00BE5115"/>
    <w:rsid w:val="00BE78A9"/>
    <w:rsid w:val="00BF269C"/>
    <w:rsid w:val="00BF288E"/>
    <w:rsid w:val="00BF2A79"/>
    <w:rsid w:val="00BF375F"/>
    <w:rsid w:val="00C02372"/>
    <w:rsid w:val="00C044C3"/>
    <w:rsid w:val="00C10453"/>
    <w:rsid w:val="00C13BCA"/>
    <w:rsid w:val="00C13C6C"/>
    <w:rsid w:val="00C141B9"/>
    <w:rsid w:val="00C144DE"/>
    <w:rsid w:val="00C155C3"/>
    <w:rsid w:val="00C158CF"/>
    <w:rsid w:val="00C16518"/>
    <w:rsid w:val="00C1787D"/>
    <w:rsid w:val="00C20F14"/>
    <w:rsid w:val="00C22B7C"/>
    <w:rsid w:val="00C3184D"/>
    <w:rsid w:val="00C331FD"/>
    <w:rsid w:val="00C34DCB"/>
    <w:rsid w:val="00C3566B"/>
    <w:rsid w:val="00C36D0C"/>
    <w:rsid w:val="00C3708D"/>
    <w:rsid w:val="00C4138A"/>
    <w:rsid w:val="00C440B4"/>
    <w:rsid w:val="00C446F9"/>
    <w:rsid w:val="00C462CB"/>
    <w:rsid w:val="00C46F39"/>
    <w:rsid w:val="00C47AFE"/>
    <w:rsid w:val="00C5067F"/>
    <w:rsid w:val="00C515C3"/>
    <w:rsid w:val="00C51AA2"/>
    <w:rsid w:val="00C52E43"/>
    <w:rsid w:val="00C556E3"/>
    <w:rsid w:val="00C609C3"/>
    <w:rsid w:val="00C60E16"/>
    <w:rsid w:val="00C64ACD"/>
    <w:rsid w:val="00C65E4E"/>
    <w:rsid w:val="00C66610"/>
    <w:rsid w:val="00C66648"/>
    <w:rsid w:val="00C66FEF"/>
    <w:rsid w:val="00C70CB4"/>
    <w:rsid w:val="00C717A4"/>
    <w:rsid w:val="00C72795"/>
    <w:rsid w:val="00C727A7"/>
    <w:rsid w:val="00C728D5"/>
    <w:rsid w:val="00C75119"/>
    <w:rsid w:val="00C76DD6"/>
    <w:rsid w:val="00C83750"/>
    <w:rsid w:val="00C854F5"/>
    <w:rsid w:val="00C85D06"/>
    <w:rsid w:val="00C8738B"/>
    <w:rsid w:val="00C90B62"/>
    <w:rsid w:val="00C90E56"/>
    <w:rsid w:val="00C91C08"/>
    <w:rsid w:val="00C97F0E"/>
    <w:rsid w:val="00CA06AC"/>
    <w:rsid w:val="00CA1D9E"/>
    <w:rsid w:val="00CA242A"/>
    <w:rsid w:val="00CA27BD"/>
    <w:rsid w:val="00CA2AB6"/>
    <w:rsid w:val="00CA4BCC"/>
    <w:rsid w:val="00CA64FB"/>
    <w:rsid w:val="00CB01D6"/>
    <w:rsid w:val="00CB14BB"/>
    <w:rsid w:val="00CB311E"/>
    <w:rsid w:val="00CB523A"/>
    <w:rsid w:val="00CB573F"/>
    <w:rsid w:val="00CB6F0B"/>
    <w:rsid w:val="00CB71E1"/>
    <w:rsid w:val="00CC0ED3"/>
    <w:rsid w:val="00CC1894"/>
    <w:rsid w:val="00CC2EE2"/>
    <w:rsid w:val="00CC3A47"/>
    <w:rsid w:val="00CC3D03"/>
    <w:rsid w:val="00CC45DB"/>
    <w:rsid w:val="00CC73FF"/>
    <w:rsid w:val="00CC7F09"/>
    <w:rsid w:val="00CD0FF1"/>
    <w:rsid w:val="00CD141E"/>
    <w:rsid w:val="00CD45DA"/>
    <w:rsid w:val="00CE1242"/>
    <w:rsid w:val="00CE1A49"/>
    <w:rsid w:val="00CE2EA4"/>
    <w:rsid w:val="00CE476A"/>
    <w:rsid w:val="00CE5714"/>
    <w:rsid w:val="00CE5B3C"/>
    <w:rsid w:val="00CE6138"/>
    <w:rsid w:val="00CE64EB"/>
    <w:rsid w:val="00CE6F59"/>
    <w:rsid w:val="00CE7AAB"/>
    <w:rsid w:val="00CF2144"/>
    <w:rsid w:val="00CF2673"/>
    <w:rsid w:val="00CF2DA1"/>
    <w:rsid w:val="00CF4141"/>
    <w:rsid w:val="00CF43B1"/>
    <w:rsid w:val="00CF5405"/>
    <w:rsid w:val="00CF68E2"/>
    <w:rsid w:val="00D02593"/>
    <w:rsid w:val="00D0614B"/>
    <w:rsid w:val="00D06AD1"/>
    <w:rsid w:val="00D06CC9"/>
    <w:rsid w:val="00D1012E"/>
    <w:rsid w:val="00D118C4"/>
    <w:rsid w:val="00D17549"/>
    <w:rsid w:val="00D17741"/>
    <w:rsid w:val="00D21481"/>
    <w:rsid w:val="00D24A48"/>
    <w:rsid w:val="00D24D97"/>
    <w:rsid w:val="00D275F5"/>
    <w:rsid w:val="00D376F1"/>
    <w:rsid w:val="00D43CA8"/>
    <w:rsid w:val="00D44EE3"/>
    <w:rsid w:val="00D4523D"/>
    <w:rsid w:val="00D4593F"/>
    <w:rsid w:val="00D45BD4"/>
    <w:rsid w:val="00D46322"/>
    <w:rsid w:val="00D4775B"/>
    <w:rsid w:val="00D47AB8"/>
    <w:rsid w:val="00D5536F"/>
    <w:rsid w:val="00D55D94"/>
    <w:rsid w:val="00D56566"/>
    <w:rsid w:val="00D5755C"/>
    <w:rsid w:val="00D57CB9"/>
    <w:rsid w:val="00D63980"/>
    <w:rsid w:val="00D64795"/>
    <w:rsid w:val="00D647A4"/>
    <w:rsid w:val="00D6487A"/>
    <w:rsid w:val="00D648BB"/>
    <w:rsid w:val="00D64E04"/>
    <w:rsid w:val="00D655BC"/>
    <w:rsid w:val="00D65A5E"/>
    <w:rsid w:val="00D669D1"/>
    <w:rsid w:val="00D7049A"/>
    <w:rsid w:val="00D704F6"/>
    <w:rsid w:val="00D722B1"/>
    <w:rsid w:val="00D74A82"/>
    <w:rsid w:val="00D74EF5"/>
    <w:rsid w:val="00D753F6"/>
    <w:rsid w:val="00D76BFD"/>
    <w:rsid w:val="00D76E5F"/>
    <w:rsid w:val="00D7737D"/>
    <w:rsid w:val="00D80897"/>
    <w:rsid w:val="00D81375"/>
    <w:rsid w:val="00D819AB"/>
    <w:rsid w:val="00D83B80"/>
    <w:rsid w:val="00D84E12"/>
    <w:rsid w:val="00D8540E"/>
    <w:rsid w:val="00D85C4D"/>
    <w:rsid w:val="00D8730B"/>
    <w:rsid w:val="00D87871"/>
    <w:rsid w:val="00D9072A"/>
    <w:rsid w:val="00D94037"/>
    <w:rsid w:val="00D94852"/>
    <w:rsid w:val="00DA039C"/>
    <w:rsid w:val="00DA10B4"/>
    <w:rsid w:val="00DA3784"/>
    <w:rsid w:val="00DA42E8"/>
    <w:rsid w:val="00DA5811"/>
    <w:rsid w:val="00DA6EBE"/>
    <w:rsid w:val="00DB0780"/>
    <w:rsid w:val="00DB1FC4"/>
    <w:rsid w:val="00DB27CC"/>
    <w:rsid w:val="00DB2A54"/>
    <w:rsid w:val="00DB4EF9"/>
    <w:rsid w:val="00DC29FE"/>
    <w:rsid w:val="00DC307F"/>
    <w:rsid w:val="00DC430C"/>
    <w:rsid w:val="00DC60FB"/>
    <w:rsid w:val="00DC7319"/>
    <w:rsid w:val="00DC742E"/>
    <w:rsid w:val="00DD014B"/>
    <w:rsid w:val="00DD33EC"/>
    <w:rsid w:val="00DD38DC"/>
    <w:rsid w:val="00DD4061"/>
    <w:rsid w:val="00DD63FF"/>
    <w:rsid w:val="00DE77DF"/>
    <w:rsid w:val="00DF1AEB"/>
    <w:rsid w:val="00DF1BBF"/>
    <w:rsid w:val="00DF3145"/>
    <w:rsid w:val="00DF4B0E"/>
    <w:rsid w:val="00E01E4B"/>
    <w:rsid w:val="00E04C99"/>
    <w:rsid w:val="00E062B0"/>
    <w:rsid w:val="00E0711E"/>
    <w:rsid w:val="00E0770C"/>
    <w:rsid w:val="00E11A14"/>
    <w:rsid w:val="00E13BEE"/>
    <w:rsid w:val="00E14DFA"/>
    <w:rsid w:val="00E15612"/>
    <w:rsid w:val="00E1590A"/>
    <w:rsid w:val="00E16D9B"/>
    <w:rsid w:val="00E1738A"/>
    <w:rsid w:val="00E17EA5"/>
    <w:rsid w:val="00E2267A"/>
    <w:rsid w:val="00E229DB"/>
    <w:rsid w:val="00E2571A"/>
    <w:rsid w:val="00E25A25"/>
    <w:rsid w:val="00E26EDC"/>
    <w:rsid w:val="00E2713C"/>
    <w:rsid w:val="00E279CD"/>
    <w:rsid w:val="00E30B42"/>
    <w:rsid w:val="00E31BA6"/>
    <w:rsid w:val="00E342D7"/>
    <w:rsid w:val="00E35C26"/>
    <w:rsid w:val="00E36219"/>
    <w:rsid w:val="00E410EA"/>
    <w:rsid w:val="00E41D5C"/>
    <w:rsid w:val="00E4285D"/>
    <w:rsid w:val="00E43386"/>
    <w:rsid w:val="00E437F7"/>
    <w:rsid w:val="00E472D3"/>
    <w:rsid w:val="00E47E7D"/>
    <w:rsid w:val="00E515DC"/>
    <w:rsid w:val="00E529F9"/>
    <w:rsid w:val="00E54B37"/>
    <w:rsid w:val="00E55017"/>
    <w:rsid w:val="00E55416"/>
    <w:rsid w:val="00E557D1"/>
    <w:rsid w:val="00E56282"/>
    <w:rsid w:val="00E616BF"/>
    <w:rsid w:val="00E63391"/>
    <w:rsid w:val="00E658AA"/>
    <w:rsid w:val="00E6656A"/>
    <w:rsid w:val="00E66CDD"/>
    <w:rsid w:val="00E6788A"/>
    <w:rsid w:val="00E70D30"/>
    <w:rsid w:val="00E716BA"/>
    <w:rsid w:val="00E72611"/>
    <w:rsid w:val="00E72C68"/>
    <w:rsid w:val="00E7435D"/>
    <w:rsid w:val="00E743A4"/>
    <w:rsid w:val="00E75977"/>
    <w:rsid w:val="00E76431"/>
    <w:rsid w:val="00E7686D"/>
    <w:rsid w:val="00E813BA"/>
    <w:rsid w:val="00E829B7"/>
    <w:rsid w:val="00E83F47"/>
    <w:rsid w:val="00E8590C"/>
    <w:rsid w:val="00E85F76"/>
    <w:rsid w:val="00E90506"/>
    <w:rsid w:val="00E932DE"/>
    <w:rsid w:val="00E93590"/>
    <w:rsid w:val="00E94506"/>
    <w:rsid w:val="00E95A7B"/>
    <w:rsid w:val="00E969E9"/>
    <w:rsid w:val="00EA01A0"/>
    <w:rsid w:val="00EA0A27"/>
    <w:rsid w:val="00EA155A"/>
    <w:rsid w:val="00EA24D4"/>
    <w:rsid w:val="00EA2851"/>
    <w:rsid w:val="00EA3515"/>
    <w:rsid w:val="00EA55FE"/>
    <w:rsid w:val="00EA79BE"/>
    <w:rsid w:val="00EB0B4F"/>
    <w:rsid w:val="00EB16A0"/>
    <w:rsid w:val="00EB1B59"/>
    <w:rsid w:val="00EB4384"/>
    <w:rsid w:val="00EB4947"/>
    <w:rsid w:val="00EB52DA"/>
    <w:rsid w:val="00EB6065"/>
    <w:rsid w:val="00EB660F"/>
    <w:rsid w:val="00EB6DA4"/>
    <w:rsid w:val="00EC0826"/>
    <w:rsid w:val="00EC11A8"/>
    <w:rsid w:val="00EC3C55"/>
    <w:rsid w:val="00EC4E99"/>
    <w:rsid w:val="00EC6B66"/>
    <w:rsid w:val="00EC7370"/>
    <w:rsid w:val="00EC760D"/>
    <w:rsid w:val="00ED2D53"/>
    <w:rsid w:val="00ED2DE8"/>
    <w:rsid w:val="00ED3A21"/>
    <w:rsid w:val="00ED3BB9"/>
    <w:rsid w:val="00ED54F9"/>
    <w:rsid w:val="00ED6597"/>
    <w:rsid w:val="00ED6982"/>
    <w:rsid w:val="00ED7D44"/>
    <w:rsid w:val="00EE0218"/>
    <w:rsid w:val="00EE0E54"/>
    <w:rsid w:val="00EE0FDD"/>
    <w:rsid w:val="00EE1033"/>
    <w:rsid w:val="00EF1403"/>
    <w:rsid w:val="00EF24BB"/>
    <w:rsid w:val="00EF2B90"/>
    <w:rsid w:val="00EF32F6"/>
    <w:rsid w:val="00EF4114"/>
    <w:rsid w:val="00EF448F"/>
    <w:rsid w:val="00EF4634"/>
    <w:rsid w:val="00EF472E"/>
    <w:rsid w:val="00EF4A5A"/>
    <w:rsid w:val="00EF4EC4"/>
    <w:rsid w:val="00EF66A9"/>
    <w:rsid w:val="00EF74C7"/>
    <w:rsid w:val="00EF74D8"/>
    <w:rsid w:val="00F00424"/>
    <w:rsid w:val="00F01898"/>
    <w:rsid w:val="00F03DB9"/>
    <w:rsid w:val="00F05EE0"/>
    <w:rsid w:val="00F06592"/>
    <w:rsid w:val="00F06985"/>
    <w:rsid w:val="00F07DE8"/>
    <w:rsid w:val="00F156B3"/>
    <w:rsid w:val="00F15FD8"/>
    <w:rsid w:val="00F20E64"/>
    <w:rsid w:val="00F21A1A"/>
    <w:rsid w:val="00F225B7"/>
    <w:rsid w:val="00F22813"/>
    <w:rsid w:val="00F22FC8"/>
    <w:rsid w:val="00F27F36"/>
    <w:rsid w:val="00F32B8C"/>
    <w:rsid w:val="00F33383"/>
    <w:rsid w:val="00F33D5B"/>
    <w:rsid w:val="00F3551E"/>
    <w:rsid w:val="00F35AEF"/>
    <w:rsid w:val="00F378CF"/>
    <w:rsid w:val="00F4030B"/>
    <w:rsid w:val="00F42F65"/>
    <w:rsid w:val="00F444F5"/>
    <w:rsid w:val="00F44E37"/>
    <w:rsid w:val="00F45702"/>
    <w:rsid w:val="00F45BC5"/>
    <w:rsid w:val="00F4602E"/>
    <w:rsid w:val="00F46BCF"/>
    <w:rsid w:val="00F47448"/>
    <w:rsid w:val="00F4752B"/>
    <w:rsid w:val="00F47853"/>
    <w:rsid w:val="00F515AF"/>
    <w:rsid w:val="00F53470"/>
    <w:rsid w:val="00F53E05"/>
    <w:rsid w:val="00F5518A"/>
    <w:rsid w:val="00F5550A"/>
    <w:rsid w:val="00F55A56"/>
    <w:rsid w:val="00F56088"/>
    <w:rsid w:val="00F572AD"/>
    <w:rsid w:val="00F6031D"/>
    <w:rsid w:val="00F61303"/>
    <w:rsid w:val="00F65606"/>
    <w:rsid w:val="00F661D5"/>
    <w:rsid w:val="00F66614"/>
    <w:rsid w:val="00F67764"/>
    <w:rsid w:val="00F71229"/>
    <w:rsid w:val="00F71232"/>
    <w:rsid w:val="00F74722"/>
    <w:rsid w:val="00F74D06"/>
    <w:rsid w:val="00F75B38"/>
    <w:rsid w:val="00F75F45"/>
    <w:rsid w:val="00F7689B"/>
    <w:rsid w:val="00F82957"/>
    <w:rsid w:val="00F83BD2"/>
    <w:rsid w:val="00F857CA"/>
    <w:rsid w:val="00F91170"/>
    <w:rsid w:val="00F91858"/>
    <w:rsid w:val="00F91F85"/>
    <w:rsid w:val="00F92C2B"/>
    <w:rsid w:val="00F92C58"/>
    <w:rsid w:val="00F936FB"/>
    <w:rsid w:val="00F94241"/>
    <w:rsid w:val="00F945CD"/>
    <w:rsid w:val="00F95ECF"/>
    <w:rsid w:val="00F966EF"/>
    <w:rsid w:val="00F9792C"/>
    <w:rsid w:val="00F97AAA"/>
    <w:rsid w:val="00FA4AD8"/>
    <w:rsid w:val="00FB076B"/>
    <w:rsid w:val="00FB3597"/>
    <w:rsid w:val="00FB53CA"/>
    <w:rsid w:val="00FC3750"/>
    <w:rsid w:val="00FC487C"/>
    <w:rsid w:val="00FC51A5"/>
    <w:rsid w:val="00FC5F49"/>
    <w:rsid w:val="00FD05AA"/>
    <w:rsid w:val="00FD0B36"/>
    <w:rsid w:val="00FD168A"/>
    <w:rsid w:val="00FD3643"/>
    <w:rsid w:val="00FD553C"/>
    <w:rsid w:val="00FD6F5E"/>
    <w:rsid w:val="00FD767D"/>
    <w:rsid w:val="00FE087D"/>
    <w:rsid w:val="00FE133D"/>
    <w:rsid w:val="00FE2090"/>
    <w:rsid w:val="00FE359D"/>
    <w:rsid w:val="00FE365F"/>
    <w:rsid w:val="00FE47EA"/>
    <w:rsid w:val="00FE4D5F"/>
    <w:rsid w:val="00FE5E73"/>
    <w:rsid w:val="00FE6F1E"/>
    <w:rsid w:val="00FE7BC4"/>
    <w:rsid w:val="00FF1883"/>
    <w:rsid w:val="00FF29D4"/>
    <w:rsid w:val="00FF388D"/>
    <w:rsid w:val="00FF3F76"/>
    <w:rsid w:val="00FF5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19F73"/>
  <w15:chartTrackingRefBased/>
  <w15:docId w15:val="{BB7904B6-8E39-4D40-8876-0816A898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A23"/>
    <w:rPr>
      <w:sz w:val="24"/>
      <w:szCs w:val="24"/>
      <w:lang w:val="de-DE" w:eastAsia="ja-JP"/>
    </w:rPr>
  </w:style>
  <w:style w:type="paragraph" w:styleId="Cabealho3">
    <w:name w:val="heading 3"/>
    <w:basedOn w:val="Normal"/>
    <w:next w:val="Normal"/>
    <w:link w:val="Cabealho3Carter"/>
    <w:autoRedefine/>
    <w:uiPriority w:val="9"/>
    <w:unhideWhenUsed/>
    <w:qFormat/>
    <w:rsid w:val="00632511"/>
    <w:pPr>
      <w:keepNext/>
      <w:keepLines/>
      <w:numPr>
        <w:ilvl w:val="2"/>
        <w:numId w:val="1"/>
      </w:numPr>
      <w:spacing w:after="120" w:line="360" w:lineRule="auto"/>
      <w:ind w:hanging="578"/>
      <w:jc w:val="both"/>
      <w:outlineLvl w:val="2"/>
    </w:pPr>
    <w:rPr>
      <w:rFonts w:eastAsia="Times New Roman"/>
      <w:b/>
      <w:bCs/>
      <w:sz w:val="28"/>
      <w:szCs w:val="20"/>
      <w:lang w:val="en-US" w:eastAsia="en-US"/>
    </w:rPr>
  </w:style>
  <w:style w:type="paragraph" w:styleId="Cabealho5">
    <w:name w:val="heading 5"/>
    <w:basedOn w:val="Normal"/>
    <w:next w:val="Normal"/>
    <w:link w:val="Cabealho5Carter"/>
    <w:uiPriority w:val="9"/>
    <w:unhideWhenUsed/>
    <w:qFormat/>
    <w:rsid w:val="00632511"/>
    <w:pPr>
      <w:keepNext/>
      <w:keepLines/>
      <w:numPr>
        <w:ilvl w:val="4"/>
        <w:numId w:val="1"/>
      </w:numPr>
      <w:spacing w:after="120" w:line="360" w:lineRule="auto"/>
      <w:jc w:val="both"/>
      <w:outlineLvl w:val="4"/>
    </w:pPr>
    <w:rPr>
      <w:rFonts w:eastAsia="Times New Roman"/>
      <w:b/>
      <w:sz w:val="28"/>
      <w:szCs w:val="20"/>
      <w:lang w:val="en-US" w:eastAsia="en-US"/>
    </w:rPr>
  </w:style>
  <w:style w:type="paragraph" w:styleId="Cabealho6">
    <w:name w:val="heading 6"/>
    <w:basedOn w:val="Normal"/>
    <w:next w:val="Normal"/>
    <w:link w:val="Cabealho6Carter"/>
    <w:uiPriority w:val="9"/>
    <w:semiHidden/>
    <w:unhideWhenUsed/>
    <w:qFormat/>
    <w:rsid w:val="00632511"/>
    <w:pPr>
      <w:keepNext/>
      <w:keepLines/>
      <w:numPr>
        <w:ilvl w:val="5"/>
        <w:numId w:val="1"/>
      </w:numPr>
      <w:spacing w:before="40"/>
      <w:outlineLvl w:val="5"/>
    </w:pPr>
    <w:rPr>
      <w:rFonts w:eastAsia="Times New Roman"/>
      <w:i/>
      <w:iCs/>
      <w:color w:val="1F3763"/>
      <w:sz w:val="20"/>
      <w:szCs w:val="20"/>
      <w:lang w:val="en-US" w:eastAsia="en-US"/>
    </w:rPr>
  </w:style>
  <w:style w:type="paragraph" w:styleId="Cabealho7">
    <w:name w:val="heading 7"/>
    <w:basedOn w:val="Normal"/>
    <w:next w:val="Normal"/>
    <w:link w:val="Cabealho7Carter"/>
    <w:uiPriority w:val="9"/>
    <w:semiHidden/>
    <w:unhideWhenUsed/>
    <w:qFormat/>
    <w:rsid w:val="00632511"/>
    <w:pPr>
      <w:keepNext/>
      <w:keepLines/>
      <w:numPr>
        <w:ilvl w:val="6"/>
        <w:numId w:val="1"/>
      </w:numPr>
      <w:spacing w:before="40"/>
      <w:outlineLvl w:val="6"/>
    </w:pPr>
    <w:rPr>
      <w:rFonts w:eastAsia="Times New Roman"/>
      <w:i/>
      <w:iCs/>
      <w:color w:val="404040"/>
      <w:sz w:val="20"/>
      <w:szCs w:val="20"/>
      <w:lang w:val="en-US" w:eastAsia="en-US"/>
    </w:rPr>
  </w:style>
  <w:style w:type="paragraph" w:styleId="Cabealho8">
    <w:name w:val="heading 8"/>
    <w:basedOn w:val="Normal"/>
    <w:next w:val="Normal"/>
    <w:link w:val="Cabealho8Carter"/>
    <w:uiPriority w:val="9"/>
    <w:semiHidden/>
    <w:unhideWhenUsed/>
    <w:qFormat/>
    <w:rsid w:val="00632511"/>
    <w:pPr>
      <w:keepNext/>
      <w:keepLines/>
      <w:numPr>
        <w:ilvl w:val="7"/>
        <w:numId w:val="1"/>
      </w:numPr>
      <w:spacing w:before="40"/>
      <w:outlineLvl w:val="7"/>
    </w:pPr>
    <w:rPr>
      <w:rFonts w:eastAsia="Times New Roman"/>
      <w:color w:val="404040"/>
      <w:sz w:val="20"/>
      <w:szCs w:val="20"/>
      <w:lang w:val="en-US" w:eastAsia="en-US"/>
    </w:rPr>
  </w:style>
  <w:style w:type="paragraph" w:styleId="Cabealho9">
    <w:name w:val="heading 9"/>
    <w:basedOn w:val="Normal"/>
    <w:next w:val="Normal"/>
    <w:link w:val="Cabealho9Carter"/>
    <w:uiPriority w:val="9"/>
    <w:semiHidden/>
    <w:unhideWhenUsed/>
    <w:qFormat/>
    <w:rsid w:val="00632511"/>
    <w:pPr>
      <w:keepNext/>
      <w:keepLines/>
      <w:numPr>
        <w:ilvl w:val="8"/>
        <w:numId w:val="1"/>
      </w:numPr>
      <w:spacing w:before="40"/>
      <w:outlineLvl w:val="8"/>
    </w:pPr>
    <w:rPr>
      <w:rFonts w:eastAsia="Times New Roman"/>
      <w:i/>
      <w:iCs/>
      <w:color w:val="404040"/>
      <w:sz w:val="20"/>
      <w:szCs w:val="20"/>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Textodenotaderodap">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Textodebalo">
    <w:name w:val="Balloon Text"/>
    <w:basedOn w:val="Normal"/>
    <w:semiHidden/>
    <w:rsid w:val="00D81375"/>
    <w:rPr>
      <w:rFonts w:ascii="Tahoma" w:hAnsi="Tahoma" w:cs="Tahoma"/>
      <w:sz w:val="16"/>
      <w:szCs w:val="16"/>
    </w:rPr>
  </w:style>
  <w:style w:type="paragraph" w:styleId="Cabealho">
    <w:name w:val="header"/>
    <w:basedOn w:val="Normal"/>
    <w:link w:val="CabealhoCarter"/>
    <w:rsid w:val="00881456"/>
    <w:pPr>
      <w:tabs>
        <w:tab w:val="center" w:pos="4536"/>
        <w:tab w:val="right" w:pos="9072"/>
      </w:tabs>
    </w:pPr>
    <w:rPr>
      <w:lang w:val="x-none"/>
    </w:rPr>
  </w:style>
  <w:style w:type="paragraph" w:styleId="Rodap">
    <w:name w:val="footer"/>
    <w:basedOn w:val="Normal"/>
    <w:link w:val="RodapCarte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CE1242"/>
    <w:pPr>
      <w:spacing w:line="480" w:lineRule="auto"/>
    </w:pPr>
    <w:rPr>
      <w:b/>
      <w:lang w:val="en-US"/>
    </w:rPr>
  </w:style>
  <w:style w:type="paragraph" w:customStyle="1" w:styleId="Head2">
    <w:name w:val="Head 2"/>
    <w:basedOn w:val="Normal"/>
    <w:autoRedefine/>
    <w:rsid w:val="00277F92"/>
    <w:pPr>
      <w:spacing w:after="120"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BE2BC6"/>
    <w:pPr>
      <w:jc w:val="both"/>
    </w:pPr>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CabealhoCarter">
    <w:name w:val="Cabeçalho Caráter"/>
    <w:link w:val="Cabealho"/>
    <w:rsid w:val="00414465"/>
    <w:rPr>
      <w:sz w:val="24"/>
      <w:szCs w:val="24"/>
      <w:lang w:eastAsia="ja-JP"/>
    </w:rPr>
  </w:style>
  <w:style w:type="character" w:styleId="Refdecomentrio">
    <w:name w:val="annotation reference"/>
    <w:uiPriority w:val="99"/>
    <w:semiHidden/>
    <w:unhideWhenUsed/>
    <w:rsid w:val="00664F6D"/>
    <w:rPr>
      <w:sz w:val="16"/>
      <w:szCs w:val="16"/>
    </w:rPr>
  </w:style>
  <w:style w:type="paragraph" w:styleId="Textodecomentrio">
    <w:name w:val="annotation text"/>
    <w:basedOn w:val="Normal"/>
    <w:link w:val="TextodecomentrioCarter"/>
    <w:uiPriority w:val="99"/>
    <w:semiHidden/>
    <w:unhideWhenUsed/>
    <w:rsid w:val="00664F6D"/>
    <w:rPr>
      <w:sz w:val="20"/>
      <w:szCs w:val="20"/>
      <w:lang w:val="x-none"/>
    </w:rPr>
  </w:style>
  <w:style w:type="character" w:customStyle="1" w:styleId="TextodecomentrioCarter">
    <w:name w:val="Texto de comentário Caráter"/>
    <w:link w:val="Textodecomentrio"/>
    <w:uiPriority w:val="99"/>
    <w:semiHidden/>
    <w:rsid w:val="00664F6D"/>
    <w:rPr>
      <w:lang w:eastAsia="ja-JP"/>
    </w:rPr>
  </w:style>
  <w:style w:type="paragraph" w:styleId="Assuntodecomentrio">
    <w:name w:val="annotation subject"/>
    <w:basedOn w:val="Textodecomentrio"/>
    <w:next w:val="Textodecomentrio"/>
    <w:link w:val="AssuntodecomentrioCarter"/>
    <w:uiPriority w:val="99"/>
    <w:semiHidden/>
    <w:unhideWhenUsed/>
    <w:rsid w:val="00664F6D"/>
    <w:rPr>
      <w:b/>
      <w:bCs/>
    </w:rPr>
  </w:style>
  <w:style w:type="character" w:customStyle="1" w:styleId="AssuntodecomentrioCarter">
    <w:name w:val="Assunto de comentário Caráter"/>
    <w:link w:val="Assuntodecomentrio"/>
    <w:uiPriority w:val="99"/>
    <w:semiHidden/>
    <w:rsid w:val="00664F6D"/>
    <w:rPr>
      <w:b/>
      <w:bCs/>
      <w:lang w:eastAsia="ja-JP"/>
    </w:rPr>
  </w:style>
  <w:style w:type="character" w:customStyle="1" w:styleId="RodapCarter">
    <w:name w:val="Rodapé Caráter"/>
    <w:link w:val="Rodap"/>
    <w:uiPriority w:val="99"/>
    <w:rsid w:val="007B7A09"/>
    <w:rPr>
      <w:sz w:val="24"/>
      <w:szCs w:val="24"/>
      <w:lang w:eastAsia="ja-JP"/>
    </w:rPr>
  </w:style>
  <w:style w:type="character" w:customStyle="1" w:styleId="Cabealho3Carter">
    <w:name w:val="Cabeçalho 3 Caráter"/>
    <w:link w:val="Cabealho3"/>
    <w:uiPriority w:val="9"/>
    <w:rsid w:val="00632511"/>
    <w:rPr>
      <w:rFonts w:eastAsia="Times New Roman"/>
      <w:b/>
      <w:bCs/>
      <w:sz w:val="28"/>
      <w:lang w:val="en-US" w:eastAsia="en-US"/>
    </w:rPr>
  </w:style>
  <w:style w:type="character" w:customStyle="1" w:styleId="Cabealho5Carter">
    <w:name w:val="Cabeçalho 5 Caráter"/>
    <w:link w:val="Cabealho5"/>
    <w:uiPriority w:val="9"/>
    <w:rsid w:val="00632511"/>
    <w:rPr>
      <w:rFonts w:eastAsia="Times New Roman"/>
      <w:b/>
      <w:sz w:val="28"/>
      <w:lang w:val="en-US" w:eastAsia="en-US"/>
    </w:rPr>
  </w:style>
  <w:style w:type="character" w:customStyle="1" w:styleId="Cabealho6Carter">
    <w:name w:val="Cabeçalho 6 Caráter"/>
    <w:link w:val="Cabealho6"/>
    <w:uiPriority w:val="9"/>
    <w:semiHidden/>
    <w:rsid w:val="00632511"/>
    <w:rPr>
      <w:rFonts w:eastAsia="Times New Roman"/>
      <w:i/>
      <w:iCs/>
      <w:color w:val="1F3763"/>
      <w:lang w:val="en-US" w:eastAsia="en-US"/>
    </w:rPr>
  </w:style>
  <w:style w:type="character" w:customStyle="1" w:styleId="Cabealho7Carter">
    <w:name w:val="Cabeçalho 7 Caráter"/>
    <w:link w:val="Cabealho7"/>
    <w:uiPriority w:val="9"/>
    <w:semiHidden/>
    <w:rsid w:val="00632511"/>
    <w:rPr>
      <w:rFonts w:eastAsia="Times New Roman"/>
      <w:i/>
      <w:iCs/>
      <w:color w:val="404040"/>
      <w:lang w:val="en-US" w:eastAsia="en-US"/>
    </w:rPr>
  </w:style>
  <w:style w:type="character" w:customStyle="1" w:styleId="Cabealho8Carter">
    <w:name w:val="Cabeçalho 8 Caráter"/>
    <w:link w:val="Cabealho8"/>
    <w:uiPriority w:val="9"/>
    <w:semiHidden/>
    <w:rsid w:val="00632511"/>
    <w:rPr>
      <w:rFonts w:eastAsia="Times New Roman"/>
      <w:color w:val="404040"/>
      <w:lang w:val="en-US" w:eastAsia="en-US"/>
    </w:rPr>
  </w:style>
  <w:style w:type="character" w:customStyle="1" w:styleId="Cabealho9Carter">
    <w:name w:val="Cabeçalho 9 Caráter"/>
    <w:link w:val="Cabealho9"/>
    <w:uiPriority w:val="9"/>
    <w:semiHidden/>
    <w:rsid w:val="00632511"/>
    <w:rPr>
      <w:rFonts w:eastAsia="Times New Roman"/>
      <w:i/>
      <w:iCs/>
      <w:color w:val="404040"/>
      <w:lang w:val="en-US" w:eastAsia="en-US"/>
    </w:rPr>
  </w:style>
  <w:style w:type="paragraph" w:customStyle="1" w:styleId="Cabealho11">
    <w:name w:val="Cabeçalho 11"/>
    <w:basedOn w:val="Listanumerada"/>
    <w:next w:val="Normal"/>
    <w:uiPriority w:val="9"/>
    <w:qFormat/>
    <w:rsid w:val="00632511"/>
    <w:pPr>
      <w:keepNext/>
      <w:spacing w:before="240" w:after="60"/>
      <w:outlineLvl w:val="0"/>
    </w:pPr>
    <w:rPr>
      <w:rFonts w:ascii="Arial" w:eastAsia="Times New Roman" w:hAnsi="Arial"/>
      <w:b/>
      <w:kern w:val="28"/>
      <w:sz w:val="28"/>
      <w:szCs w:val="20"/>
      <w:lang w:val="en-US" w:eastAsia="pt-PT"/>
    </w:rPr>
  </w:style>
  <w:style w:type="paragraph" w:styleId="Listanumerada">
    <w:name w:val="List Number"/>
    <w:basedOn w:val="Normal"/>
    <w:uiPriority w:val="99"/>
    <w:semiHidden/>
    <w:unhideWhenUsed/>
    <w:rsid w:val="00632511"/>
    <w:pPr>
      <w:ind w:left="432" w:hanging="432"/>
      <w:contextualSpacing/>
    </w:pPr>
  </w:style>
  <w:style w:type="paragraph" w:styleId="Legenda">
    <w:name w:val="caption"/>
    <w:basedOn w:val="Normal"/>
    <w:next w:val="Normal"/>
    <w:unhideWhenUsed/>
    <w:qFormat/>
    <w:rsid w:val="00692705"/>
    <w:pPr>
      <w:spacing w:after="200"/>
    </w:pPr>
    <w:rPr>
      <w:rFonts w:eastAsia="Times New Roman"/>
      <w:i/>
      <w:iCs/>
      <w:color w:val="44546A"/>
      <w:sz w:val="18"/>
      <w:szCs w:val="18"/>
      <w:lang w:val="en-US" w:eastAsia="pt-PT"/>
    </w:rPr>
  </w:style>
  <w:style w:type="character" w:styleId="Hiperligao">
    <w:name w:val="Hyperlink"/>
    <w:uiPriority w:val="99"/>
    <w:unhideWhenUsed/>
    <w:rsid w:val="007705CC"/>
    <w:rPr>
      <w:color w:val="0563C1"/>
      <w:u w:val="single"/>
    </w:rPr>
  </w:style>
  <w:style w:type="character" w:styleId="MenoNoResolvida">
    <w:name w:val="Unresolved Mention"/>
    <w:uiPriority w:val="99"/>
    <w:semiHidden/>
    <w:unhideWhenUsed/>
    <w:rsid w:val="007705CC"/>
    <w:rPr>
      <w:color w:val="808080"/>
      <w:shd w:val="clear" w:color="auto" w:fill="E6E6E6"/>
    </w:rPr>
  </w:style>
  <w:style w:type="table" w:styleId="TabelacomGrelha">
    <w:name w:val="Table Grid"/>
    <w:basedOn w:val="Tabelanormal"/>
    <w:uiPriority w:val="39"/>
    <w:rsid w:val="002A0911"/>
    <w:pPr>
      <w:jc w:val="both"/>
    </w:pPr>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2">
    <w:name w:val="Plain Table 2"/>
    <w:basedOn w:val="Tabelanormal"/>
    <w:uiPriority w:val="42"/>
    <w:rsid w:val="00AD5B0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351817"/>
    <w:pPr>
      <w:spacing w:before="100" w:beforeAutospacing="1" w:after="100" w:afterAutospacing="1"/>
    </w:pPr>
    <w:rPr>
      <w:rFonts w:eastAsia="Times New Roman"/>
      <w:lang w:val="pt-PT" w:eastAsia="pt-PT"/>
    </w:rPr>
  </w:style>
  <w:style w:type="character" w:styleId="Nmerodelinha">
    <w:name w:val="line number"/>
    <w:basedOn w:val="Tipodeletrapredefinidodopargrafo"/>
    <w:uiPriority w:val="99"/>
    <w:semiHidden/>
    <w:unhideWhenUsed/>
    <w:rsid w:val="002C0F7B"/>
  </w:style>
  <w:style w:type="character" w:customStyle="1" w:styleId="SemEspaamentoCarter">
    <w:name w:val="Sem Espaçamento Caráter"/>
    <w:basedOn w:val="Tipodeletrapredefinidodopargrafo"/>
    <w:link w:val="SemEspaamento"/>
    <w:uiPriority w:val="1"/>
    <w:locked/>
    <w:rsid w:val="005A3997"/>
  </w:style>
  <w:style w:type="paragraph" w:styleId="SemEspaamento">
    <w:name w:val="No Spacing"/>
    <w:link w:val="SemEspaamentoCarter"/>
    <w:uiPriority w:val="1"/>
    <w:qFormat/>
    <w:rsid w:val="005A3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225985">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if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7C0154D8-2B81-4B7C-93B3-E30D72BA0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1</TotalTime>
  <Pages>53</Pages>
  <Words>12138</Words>
  <Characters>69193</Characters>
  <Application>Microsoft Office Word</Application>
  <DocSecurity>0</DocSecurity>
  <Lines>576</Lines>
  <Paragraphs>162</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DOI: 10</vt:lpstr>
      <vt:lpstr>DOI: 10</vt:lpstr>
      <vt:lpstr>DOI: 10</vt:lpstr>
    </vt:vector>
  </TitlesOfParts>
  <Company>WILEY-VCH Verlag GmbH &amp; Co. KGaA</Company>
  <LinksUpToDate>false</LinksUpToDate>
  <CharactersWithSpaces>81169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dc:description/>
  <cp:lastModifiedBy>Pedro Lavrador</cp:lastModifiedBy>
  <cp:revision>2</cp:revision>
  <cp:lastPrinted>2010-04-21T16:22:00Z</cp:lastPrinted>
  <dcterms:created xsi:type="dcterms:W3CDTF">2018-10-04T14:41:00Z</dcterms:created>
  <dcterms:modified xsi:type="dcterms:W3CDTF">2018-10-04T14:41:00Z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http://www.zotero.org/styles/small</vt:lpwstr>
  </property>
  <property fmtid="{D5CDD505-2E9C-101B-9397-08002B2CF9AE}" pid="21" name="Mendeley Recent Style Name 9_1">
    <vt:lpwstr>Small</vt:lpwstr>
  </property>
</Properties>
</file>